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060298">
      <w:pPr>
        <w:rPr>
          <w:color w:val="auto"/>
          <w:sz w:val="24"/>
          <w:highlight w:val="none"/>
        </w:rPr>
      </w:pPr>
      <w:bookmarkStart w:id="0" w:name="_Hlk57884087"/>
      <w:r>
        <w:rPr>
          <w:color w:val="auto"/>
          <w:sz w:val="24"/>
          <w:highlight w:val="none"/>
        </w:rPr>
        <w:drawing>
          <wp:anchor distT="0" distB="0" distL="114935" distR="114935" simplePos="0" relativeHeight="251662336" behindDoc="0" locked="0" layoutInCell="1" allowOverlap="1">
            <wp:simplePos x="0" y="0"/>
            <wp:positionH relativeFrom="column">
              <wp:posOffset>-219075</wp:posOffset>
            </wp:positionH>
            <wp:positionV relativeFrom="paragraph">
              <wp:posOffset>-5080</wp:posOffset>
            </wp:positionV>
            <wp:extent cx="1569720" cy="576580"/>
            <wp:effectExtent l="0" t="0" r="11430" b="1397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1569720" cy="576580"/>
                    </a:xfrm>
                    <a:prstGeom prst="rect">
                      <a:avLst/>
                    </a:prstGeom>
                    <a:noFill/>
                    <a:ln>
                      <a:noFill/>
                    </a:ln>
                  </pic:spPr>
                </pic:pic>
              </a:graphicData>
            </a:graphic>
          </wp:anchor>
        </w:drawing>
      </w:r>
    </w:p>
    <w:p w14:paraId="6398FBCE">
      <w:pPr>
        <w:ind w:left="0" w:leftChars="0" w:firstLine="0" w:firstLineChars="0"/>
        <w:rPr>
          <w:rFonts w:eastAsia="仿宋_GB2312"/>
          <w:i/>
          <w:iCs/>
          <w:color w:val="auto"/>
          <w:sz w:val="36"/>
          <w:szCs w:val="36"/>
          <w:highlight w:val="none"/>
        </w:rPr>
      </w:pPr>
    </w:p>
    <w:p w14:paraId="6359B5DD">
      <w:pPr>
        <w:rPr>
          <w:color w:val="auto"/>
          <w:highlight w:val="none"/>
        </w:rPr>
      </w:pPr>
    </w:p>
    <w:p w14:paraId="06D0C46C">
      <w:pPr>
        <w:rPr>
          <w:color w:val="auto"/>
          <w:highlight w:val="none"/>
        </w:rPr>
      </w:pPr>
    </w:p>
    <w:p w14:paraId="4F14672C">
      <w:pPr>
        <w:rPr>
          <w:color w:val="auto"/>
          <w:highlight w:val="none"/>
        </w:rPr>
      </w:pPr>
    </w:p>
    <w:p w14:paraId="5A66A090">
      <w:pPr>
        <w:rPr>
          <w:color w:val="auto"/>
          <w:highlight w:val="none"/>
        </w:rPr>
      </w:pPr>
    </w:p>
    <w:p w14:paraId="267407C7">
      <w:pPr>
        <w:rPr>
          <w:color w:val="auto"/>
          <w:highlight w:val="none"/>
        </w:rPr>
      </w:pPr>
    </w:p>
    <w:p w14:paraId="1336670C">
      <w:pPr>
        <w:rPr>
          <w:color w:val="auto"/>
          <w:highlight w:val="none"/>
        </w:rPr>
      </w:pPr>
    </w:p>
    <w:p w14:paraId="42AF213A">
      <w:pPr>
        <w:keepNext w:val="0"/>
        <w:keepLines w:val="0"/>
        <w:pageBreakBefore w:val="0"/>
        <w:widowControl w:val="0"/>
        <w:kinsoku/>
        <w:wordWrap/>
        <w:overflowPunct/>
        <w:topLinePunct w:val="0"/>
        <w:autoSpaceDE/>
        <w:autoSpaceDN/>
        <w:bidi w:val="0"/>
        <w:adjustRightInd w:val="0"/>
        <w:snapToGrid w:val="0"/>
        <w:spacing w:line="1000" w:lineRule="exact"/>
        <w:ind w:firstLine="0" w:firstLineChars="0"/>
        <w:jc w:val="center"/>
        <w:textAlignment w:val="auto"/>
        <w:outlineLvl w:val="0"/>
        <w:rPr>
          <w:rFonts w:eastAsia="方正小标宋_GBK"/>
          <w:bCs/>
          <w:color w:val="auto"/>
          <w:sz w:val="72"/>
          <w:szCs w:val="72"/>
          <w:highlight w:val="none"/>
        </w:rPr>
      </w:pPr>
      <w:r>
        <w:rPr>
          <w:rFonts w:hint="eastAsia" w:ascii="宋体" w:hAnsi="宋体" w:cs="宋体"/>
          <w:b/>
          <w:color w:val="auto"/>
          <w:sz w:val="72"/>
          <w:szCs w:val="72"/>
          <w:highlight w:val="none"/>
        </w:rPr>
        <w:t>建设项目环境影响报告表</w:t>
      </w:r>
    </w:p>
    <w:p w14:paraId="71F3824A">
      <w:pPr>
        <w:keepNext w:val="0"/>
        <w:keepLines w:val="0"/>
        <w:pageBreakBefore w:val="0"/>
        <w:widowControl w:val="0"/>
        <w:kinsoku/>
        <w:wordWrap/>
        <w:overflowPunct/>
        <w:topLinePunct w:val="0"/>
        <w:autoSpaceDE/>
        <w:autoSpaceDN/>
        <w:bidi w:val="0"/>
        <w:adjustRightInd w:val="0"/>
        <w:snapToGrid w:val="0"/>
        <w:spacing w:line="800" w:lineRule="exact"/>
        <w:ind w:firstLine="0" w:firstLineChars="0"/>
        <w:jc w:val="center"/>
        <w:textAlignment w:val="auto"/>
        <w:rPr>
          <w:color w:val="auto"/>
          <w:highlight w:val="none"/>
        </w:rPr>
      </w:pPr>
      <w:r>
        <w:rPr>
          <w:rFonts w:eastAsia="楷体_GB2312"/>
          <w:bCs/>
          <w:color w:val="auto"/>
          <w:sz w:val="48"/>
          <w:szCs w:val="48"/>
          <w:highlight w:val="none"/>
        </w:rPr>
        <w:t>（污染影响类）</w:t>
      </w:r>
    </w:p>
    <w:p w14:paraId="36133F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楷体_GB2312"/>
          <w:bCs/>
          <w:color w:val="auto"/>
          <w:sz w:val="48"/>
          <w:szCs w:val="48"/>
          <w:highlight w:val="none"/>
          <w:lang w:eastAsia="zh-CN"/>
        </w:rPr>
      </w:pPr>
    </w:p>
    <w:p w14:paraId="467B81BC">
      <w:pPr>
        <w:rPr>
          <w:color w:val="auto"/>
          <w:highlight w:val="none"/>
        </w:rPr>
      </w:pPr>
    </w:p>
    <w:p w14:paraId="742EE966">
      <w:pPr>
        <w:jc w:val="left"/>
        <w:rPr>
          <w:color w:val="auto"/>
          <w:highlight w:val="none"/>
        </w:rPr>
      </w:pPr>
    </w:p>
    <w:p w14:paraId="4F055EBA">
      <w:pPr>
        <w:jc w:val="left"/>
        <w:rPr>
          <w:color w:val="auto"/>
          <w:highlight w:val="none"/>
        </w:rPr>
      </w:pPr>
    </w:p>
    <w:p w14:paraId="15CEDBA2">
      <w:pPr>
        <w:jc w:val="left"/>
        <w:rPr>
          <w:color w:val="auto"/>
          <w:highlight w:val="none"/>
        </w:rPr>
      </w:pPr>
    </w:p>
    <w:p w14:paraId="4AFCF603">
      <w:pPr>
        <w:jc w:val="left"/>
        <w:rPr>
          <w:color w:val="auto"/>
          <w:highlight w:val="none"/>
        </w:rPr>
      </w:pPr>
    </w:p>
    <w:p w14:paraId="0977A7C0">
      <w:pPr>
        <w:jc w:val="left"/>
        <w:rPr>
          <w:color w:val="auto"/>
          <w:highlight w:val="none"/>
        </w:rPr>
      </w:pP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8"/>
        <w:gridCol w:w="6048"/>
      </w:tblGrid>
      <w:tr w14:paraId="0DD7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627" w:type="pct"/>
            <w:tcBorders>
              <w:top w:val="nil"/>
              <w:left w:val="nil"/>
              <w:bottom w:val="nil"/>
              <w:right w:val="nil"/>
            </w:tcBorders>
            <w:vAlign w:val="bottom"/>
          </w:tcPr>
          <w:p w14:paraId="48DF6D5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仿宋"/>
                <w:color w:val="auto"/>
                <w:sz w:val="32"/>
                <w:szCs w:val="32"/>
                <w:highlight w:val="none"/>
              </w:rPr>
            </w:pPr>
            <w:r>
              <w:rPr>
                <w:rFonts w:hint="eastAsia" w:ascii="Times New Roman" w:hAnsi="Times New Roman" w:eastAsia="宋体" w:cs="仿宋"/>
                <w:color w:val="auto"/>
                <w:sz w:val="32"/>
                <w:szCs w:val="32"/>
                <w:highlight w:val="none"/>
              </w:rPr>
              <w:t>项目名称：</w:t>
            </w:r>
          </w:p>
        </w:tc>
        <w:tc>
          <w:tcPr>
            <w:tcW w:w="3372" w:type="pct"/>
            <w:tcBorders>
              <w:top w:val="nil"/>
              <w:left w:val="nil"/>
              <w:bottom w:val="single" w:color="auto" w:sz="4" w:space="0"/>
              <w:right w:val="nil"/>
            </w:tcBorders>
            <w:shd w:val="clear" w:color="auto" w:fill="auto"/>
            <w:vAlign w:val="bottom"/>
          </w:tcPr>
          <w:p w14:paraId="1E312D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color w:val="auto"/>
                <w:sz w:val="32"/>
                <w:szCs w:val="32"/>
                <w:highlight w:val="none"/>
                <w:lang w:val="en-US" w:eastAsia="zh-CN"/>
              </w:rPr>
            </w:pPr>
            <w:r>
              <w:rPr>
                <w:rFonts w:hint="eastAsia" w:cs="仿宋"/>
                <w:color w:val="auto"/>
                <w:sz w:val="32"/>
                <w:szCs w:val="32"/>
                <w:highlight w:val="none"/>
                <w:lang w:val="en-US" w:eastAsia="zh-CN"/>
              </w:rPr>
              <w:t>康缘医药科技园1号楼改建项目</w:t>
            </w:r>
          </w:p>
        </w:tc>
      </w:tr>
      <w:tr w14:paraId="78EE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7" w:type="pct"/>
            <w:tcBorders>
              <w:top w:val="nil"/>
              <w:left w:val="nil"/>
              <w:bottom w:val="nil"/>
              <w:right w:val="nil"/>
            </w:tcBorders>
            <w:vAlign w:val="bottom"/>
          </w:tcPr>
          <w:p w14:paraId="5D13B8B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仿宋"/>
                <w:color w:val="auto"/>
                <w:sz w:val="32"/>
                <w:szCs w:val="32"/>
                <w:highlight w:val="none"/>
              </w:rPr>
            </w:pPr>
            <w:r>
              <w:rPr>
                <w:rFonts w:hint="eastAsia" w:ascii="Times New Roman" w:hAnsi="Times New Roman" w:eastAsia="宋体" w:cs="仿宋"/>
                <w:color w:val="auto"/>
                <w:sz w:val="32"/>
                <w:szCs w:val="32"/>
                <w:highlight w:val="none"/>
              </w:rPr>
              <w:t>建设单位（盖章）：</w:t>
            </w:r>
          </w:p>
        </w:tc>
        <w:tc>
          <w:tcPr>
            <w:tcW w:w="3372" w:type="pct"/>
            <w:tcBorders>
              <w:top w:val="single" w:color="auto" w:sz="4" w:space="0"/>
              <w:left w:val="nil"/>
              <w:bottom w:val="single" w:color="auto" w:sz="4" w:space="0"/>
              <w:right w:val="nil"/>
            </w:tcBorders>
            <w:shd w:val="clear" w:color="auto" w:fill="auto"/>
            <w:vAlign w:val="bottom"/>
          </w:tcPr>
          <w:p w14:paraId="74A400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仿宋"/>
                <w:color w:val="auto"/>
                <w:sz w:val="32"/>
                <w:szCs w:val="32"/>
                <w:highlight w:val="none"/>
                <w:lang w:val="en-US" w:eastAsia="zh-CN"/>
              </w:rPr>
            </w:pPr>
            <w:r>
              <w:rPr>
                <w:rFonts w:hint="eastAsia" w:cs="仿宋"/>
                <w:color w:val="auto"/>
                <w:sz w:val="32"/>
                <w:szCs w:val="32"/>
                <w:highlight w:val="none"/>
                <w:lang w:val="en-US" w:eastAsia="zh-CN"/>
              </w:rPr>
              <w:t>江苏康缘医药科技发展有限责任公司</w:t>
            </w:r>
          </w:p>
        </w:tc>
      </w:tr>
      <w:tr w14:paraId="12C3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7" w:type="pct"/>
            <w:tcBorders>
              <w:top w:val="nil"/>
              <w:left w:val="nil"/>
              <w:bottom w:val="nil"/>
              <w:right w:val="nil"/>
            </w:tcBorders>
            <w:vAlign w:val="bottom"/>
          </w:tcPr>
          <w:p w14:paraId="3057FF1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仿宋"/>
                <w:color w:val="auto"/>
                <w:sz w:val="32"/>
                <w:szCs w:val="32"/>
                <w:highlight w:val="none"/>
              </w:rPr>
            </w:pPr>
            <w:r>
              <w:rPr>
                <w:rFonts w:hint="eastAsia" w:ascii="Times New Roman" w:hAnsi="Times New Roman" w:eastAsia="宋体" w:cs="仿宋"/>
                <w:color w:val="auto"/>
                <w:sz w:val="32"/>
                <w:szCs w:val="32"/>
                <w:highlight w:val="none"/>
              </w:rPr>
              <w:t>编制日期：</w:t>
            </w:r>
          </w:p>
        </w:tc>
        <w:tc>
          <w:tcPr>
            <w:tcW w:w="3372" w:type="pct"/>
            <w:tcBorders>
              <w:top w:val="single" w:color="auto" w:sz="4" w:space="0"/>
              <w:left w:val="nil"/>
              <w:right w:val="nil"/>
            </w:tcBorders>
            <w:vAlign w:val="bottom"/>
          </w:tcPr>
          <w:p w14:paraId="33554E75">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仿宋"/>
                <w:color w:val="auto"/>
                <w:kern w:val="2"/>
                <w:sz w:val="32"/>
                <w:szCs w:val="32"/>
                <w:highlight w:val="none"/>
                <w:lang w:val="en-US" w:eastAsia="zh-CN" w:bidi="ar-SA"/>
              </w:rPr>
            </w:pPr>
            <w:r>
              <w:rPr>
                <w:rFonts w:hint="default" w:ascii="Times New Roman" w:hAnsi="Times New Roman" w:eastAsia="宋体" w:cs="仿宋"/>
                <w:color w:val="auto"/>
                <w:sz w:val="32"/>
                <w:szCs w:val="32"/>
                <w:highlight w:val="none"/>
              </w:rPr>
              <w:t>202</w:t>
            </w:r>
            <w:r>
              <w:rPr>
                <w:rFonts w:hint="eastAsia" w:cs="仿宋"/>
                <w:color w:val="auto"/>
                <w:sz w:val="32"/>
                <w:szCs w:val="32"/>
                <w:highlight w:val="none"/>
                <w:lang w:val="en-US" w:eastAsia="zh-CN"/>
              </w:rPr>
              <w:t>5</w:t>
            </w:r>
            <w:r>
              <w:rPr>
                <w:rFonts w:hint="eastAsia" w:ascii="Times New Roman" w:hAnsi="Times New Roman" w:eastAsia="宋体" w:cs="仿宋"/>
                <w:color w:val="auto"/>
                <w:sz w:val="32"/>
                <w:szCs w:val="32"/>
                <w:highlight w:val="none"/>
              </w:rPr>
              <w:t>年</w:t>
            </w:r>
            <w:r>
              <w:rPr>
                <w:rFonts w:hint="eastAsia" w:cs="仿宋"/>
                <w:color w:val="auto"/>
                <w:sz w:val="32"/>
                <w:szCs w:val="32"/>
                <w:highlight w:val="none"/>
                <w:lang w:val="en-US" w:eastAsia="zh-CN"/>
              </w:rPr>
              <w:t>4</w:t>
            </w:r>
            <w:r>
              <w:rPr>
                <w:rFonts w:hint="eastAsia" w:ascii="Times New Roman" w:hAnsi="Times New Roman" w:eastAsia="宋体" w:cs="仿宋"/>
                <w:color w:val="auto"/>
                <w:sz w:val="32"/>
                <w:szCs w:val="32"/>
                <w:highlight w:val="none"/>
              </w:rPr>
              <w:t>月</w:t>
            </w:r>
          </w:p>
        </w:tc>
      </w:tr>
    </w:tbl>
    <w:p w14:paraId="74AD1304">
      <w:pPr>
        <w:ind w:firstLine="1040"/>
        <w:rPr>
          <w:color w:val="auto"/>
          <w:highlight w:val="none"/>
        </w:rPr>
      </w:pPr>
    </w:p>
    <w:p w14:paraId="287CAAF7">
      <w:pPr>
        <w:adjustRightInd w:val="0"/>
        <w:snapToGrid w:val="0"/>
        <w:spacing w:line="288" w:lineRule="auto"/>
        <w:ind w:firstLine="1040"/>
        <w:rPr>
          <w:color w:val="auto"/>
          <w:highlight w:val="none"/>
        </w:rPr>
      </w:pPr>
    </w:p>
    <w:p w14:paraId="2A39CBA7">
      <w:pPr>
        <w:adjustRightInd w:val="0"/>
        <w:snapToGrid w:val="0"/>
        <w:spacing w:line="288" w:lineRule="auto"/>
        <w:ind w:firstLine="1040"/>
        <w:rPr>
          <w:color w:val="auto"/>
          <w:highlight w:val="none"/>
        </w:rPr>
      </w:pPr>
    </w:p>
    <w:p w14:paraId="7BBAD40F">
      <w:pPr>
        <w:adjustRightInd w:val="0"/>
        <w:snapToGrid w:val="0"/>
        <w:spacing w:line="288" w:lineRule="auto"/>
        <w:ind w:firstLine="1040"/>
        <w:rPr>
          <w:color w:val="auto"/>
          <w:highlight w:val="none"/>
        </w:rPr>
      </w:pPr>
    </w:p>
    <w:p w14:paraId="52A6A9F9">
      <w:pPr>
        <w:adjustRightInd w:val="0"/>
        <w:snapToGrid w:val="0"/>
        <w:spacing w:line="288" w:lineRule="auto"/>
        <w:ind w:firstLine="1040"/>
        <w:rPr>
          <w:color w:val="auto"/>
          <w:highlight w:val="none"/>
        </w:rPr>
      </w:pPr>
    </w:p>
    <w:p w14:paraId="6FE46465">
      <w:pPr>
        <w:adjustRightInd w:val="0"/>
        <w:snapToGrid w:val="0"/>
        <w:spacing w:line="288" w:lineRule="auto"/>
        <w:ind w:firstLine="1040"/>
        <w:rPr>
          <w:color w:val="auto"/>
          <w:highlight w:val="none"/>
        </w:rPr>
      </w:pPr>
    </w:p>
    <w:p w14:paraId="2109561B">
      <w:pPr>
        <w:adjustRightInd w:val="0"/>
        <w:snapToGrid w:val="0"/>
        <w:spacing w:line="288" w:lineRule="auto"/>
        <w:ind w:firstLine="1040"/>
        <w:rPr>
          <w:color w:val="auto"/>
          <w:highlight w:val="none"/>
        </w:rPr>
      </w:pPr>
    </w:p>
    <w:p w14:paraId="241DED79">
      <w:pPr>
        <w:adjustRightInd w:val="0"/>
        <w:snapToGrid w:val="0"/>
        <w:spacing w:line="288" w:lineRule="auto"/>
        <w:ind w:firstLine="1040"/>
        <w:rPr>
          <w:color w:val="auto"/>
          <w:highlight w:val="none"/>
        </w:rPr>
      </w:pPr>
    </w:p>
    <w:p w14:paraId="6340CB0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auto"/>
          <w:sz w:val="36"/>
          <w:szCs w:val="36"/>
          <w:highlight w:val="none"/>
          <w:lang w:val="en-US" w:eastAsia="zh-CN"/>
        </w:rPr>
      </w:pPr>
      <w:r>
        <w:rPr>
          <w:rFonts w:hint="eastAsia" w:ascii="宋体" w:hAnsi="宋体" w:eastAsia="宋体" w:cs="宋体"/>
          <w:b w:val="0"/>
          <w:bCs w:val="0"/>
          <w:color w:val="auto"/>
          <w:sz w:val="36"/>
          <w:szCs w:val="36"/>
          <w:highlight w:val="none"/>
        </w:rPr>
        <w:t>中华人民共和国生态环境部</w:t>
      </w:r>
      <w:r>
        <w:rPr>
          <w:rFonts w:hint="eastAsia" w:ascii="宋体" w:hAnsi="宋体" w:cs="宋体"/>
          <w:b w:val="0"/>
          <w:bCs w:val="0"/>
          <w:color w:val="auto"/>
          <w:sz w:val="36"/>
          <w:szCs w:val="36"/>
          <w:highlight w:val="none"/>
          <w:lang w:val="en-US" w:eastAsia="zh-CN"/>
        </w:rPr>
        <w:t>制</w:t>
      </w:r>
    </w:p>
    <w:p w14:paraId="7B0FAD40">
      <w:pPr>
        <w:adjustRightInd w:val="0"/>
        <w:snapToGrid w:val="0"/>
        <w:spacing w:line="288" w:lineRule="auto"/>
        <w:jc w:val="center"/>
        <w:rPr>
          <w:rFonts w:eastAsia="仿宋_GB2312"/>
          <w:color w:val="auto"/>
          <w:sz w:val="36"/>
          <w:szCs w:val="36"/>
          <w:highlight w:val="none"/>
        </w:rPr>
        <w:sectPr>
          <w:footerReference r:id="rId5" w:type="default"/>
          <w:footerReference r:id="rId6" w:type="even"/>
          <w:pgSz w:w="11906" w:h="16838"/>
          <w:pgMar w:top="1440" w:right="1576" w:bottom="1440" w:left="1576" w:header="851" w:footer="1077" w:gutter="0"/>
          <w:pgBorders>
            <w:top w:val="none" w:sz="0" w:space="0"/>
            <w:left w:val="none" w:sz="0" w:space="0"/>
            <w:bottom w:val="none" w:sz="0" w:space="0"/>
            <w:right w:val="none" w:sz="0" w:space="0"/>
          </w:pgBorders>
          <w:pgNumType w:start="3"/>
          <w:cols w:space="720" w:num="1"/>
          <w:docGrid w:linePitch="312" w:charSpace="0"/>
        </w:sectPr>
      </w:pPr>
    </w:p>
    <w:bookmarkEnd w:id="0"/>
    <w:p w14:paraId="403BA127">
      <w:pPr>
        <w:pStyle w:val="2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一、建设项目基本情况</w:t>
      </w:r>
    </w:p>
    <w:tbl>
      <w:tblPr>
        <w:tblStyle w:val="32"/>
        <w:tblW w:w="89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25"/>
        <w:gridCol w:w="2994"/>
        <w:gridCol w:w="2007"/>
        <w:gridCol w:w="2943"/>
      </w:tblGrid>
      <w:tr w14:paraId="1DF9C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5" w:type="dxa"/>
            <w:tcMar>
              <w:top w:w="16" w:type="dxa"/>
              <w:left w:w="16" w:type="dxa"/>
              <w:right w:w="16" w:type="dxa"/>
            </w:tcMar>
            <w:vAlign w:val="center"/>
          </w:tcPr>
          <w:p w14:paraId="5CAC61DE">
            <w:pPr>
              <w:adjustRightInd w:val="0"/>
              <w:snapToGrid w:val="0"/>
              <w:spacing w:line="240" w:lineRule="auto"/>
              <w:jc w:val="center"/>
              <w:rPr>
                <w:b/>
                <w:bCs/>
                <w:color w:val="auto"/>
                <w:sz w:val="24"/>
                <w:highlight w:val="none"/>
              </w:rPr>
            </w:pPr>
            <w:r>
              <w:rPr>
                <w:b/>
                <w:bCs/>
                <w:color w:val="auto"/>
                <w:sz w:val="24"/>
                <w:highlight w:val="none"/>
              </w:rPr>
              <w:t>建设项目名称</w:t>
            </w:r>
          </w:p>
        </w:tc>
        <w:tc>
          <w:tcPr>
            <w:tcW w:w="7944" w:type="dxa"/>
            <w:gridSpan w:val="3"/>
            <w:vAlign w:val="center"/>
          </w:tcPr>
          <w:p w14:paraId="5D15AED1">
            <w:pPr>
              <w:adjustRightInd w:val="0"/>
              <w:snapToGrid w:val="0"/>
              <w:spacing w:line="240" w:lineRule="auto"/>
              <w:jc w:val="center"/>
              <w:rPr>
                <w:rFonts w:hint="eastAsia" w:eastAsia="宋体"/>
                <w:color w:val="auto"/>
                <w:sz w:val="24"/>
                <w:highlight w:val="none"/>
                <w:lang w:eastAsia="zh-CN"/>
              </w:rPr>
            </w:pPr>
            <w:r>
              <w:rPr>
                <w:rFonts w:hint="eastAsia"/>
                <w:color w:val="auto"/>
                <w:sz w:val="24"/>
                <w:highlight w:val="none"/>
                <w:lang w:eastAsia="zh-CN"/>
              </w:rPr>
              <w:t>康缘医药科技园1号楼改建项目</w:t>
            </w:r>
          </w:p>
        </w:tc>
      </w:tr>
      <w:tr w14:paraId="2C973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5" w:type="dxa"/>
            <w:tcMar>
              <w:top w:w="16" w:type="dxa"/>
              <w:left w:w="16" w:type="dxa"/>
              <w:right w:w="16" w:type="dxa"/>
            </w:tcMar>
            <w:vAlign w:val="center"/>
          </w:tcPr>
          <w:p w14:paraId="460634FA">
            <w:pPr>
              <w:adjustRightInd w:val="0"/>
              <w:snapToGrid w:val="0"/>
              <w:spacing w:line="240" w:lineRule="auto"/>
              <w:jc w:val="center"/>
              <w:rPr>
                <w:b/>
                <w:bCs/>
                <w:color w:val="auto"/>
                <w:sz w:val="24"/>
                <w:highlight w:val="none"/>
              </w:rPr>
            </w:pPr>
            <w:r>
              <w:rPr>
                <w:b/>
                <w:bCs/>
                <w:color w:val="auto"/>
                <w:sz w:val="24"/>
                <w:highlight w:val="none"/>
              </w:rPr>
              <w:t>项目代码</w:t>
            </w:r>
          </w:p>
        </w:tc>
        <w:tc>
          <w:tcPr>
            <w:tcW w:w="7944" w:type="dxa"/>
            <w:gridSpan w:val="3"/>
            <w:vAlign w:val="center"/>
          </w:tcPr>
          <w:p w14:paraId="1F929A9B">
            <w:pPr>
              <w:adjustRightInd w:val="0"/>
              <w:snapToGrid w:val="0"/>
              <w:spacing w:line="240" w:lineRule="auto"/>
              <w:jc w:val="center"/>
              <w:rPr>
                <w:rFonts w:hint="eastAsia" w:eastAsia="宋体"/>
                <w:color w:val="auto"/>
                <w:sz w:val="24"/>
                <w:highlight w:val="none"/>
                <w:lang w:eastAsia="zh-CN"/>
              </w:rPr>
            </w:pPr>
            <w:r>
              <w:rPr>
                <w:rFonts w:hint="eastAsia"/>
                <w:color w:val="auto"/>
                <w:sz w:val="24"/>
                <w:highlight w:val="none"/>
                <w:lang w:eastAsia="zh-CN"/>
              </w:rPr>
              <w:t>2503-320115-89-01-413549</w:t>
            </w:r>
          </w:p>
        </w:tc>
      </w:tr>
      <w:tr w14:paraId="6176F4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5" w:type="dxa"/>
            <w:tcMar>
              <w:top w:w="16" w:type="dxa"/>
              <w:left w:w="16" w:type="dxa"/>
              <w:right w:w="16" w:type="dxa"/>
            </w:tcMar>
            <w:vAlign w:val="center"/>
          </w:tcPr>
          <w:p w14:paraId="3FB32C17">
            <w:pPr>
              <w:adjustRightInd w:val="0"/>
              <w:snapToGrid w:val="0"/>
              <w:spacing w:line="240" w:lineRule="auto"/>
              <w:jc w:val="center"/>
              <w:rPr>
                <w:b/>
                <w:bCs/>
                <w:color w:val="auto"/>
                <w:sz w:val="24"/>
                <w:highlight w:val="none"/>
              </w:rPr>
            </w:pPr>
            <w:r>
              <w:rPr>
                <w:b/>
                <w:bCs/>
                <w:color w:val="auto"/>
                <w:sz w:val="24"/>
                <w:highlight w:val="none"/>
              </w:rPr>
              <w:t>建设单位联系人</w:t>
            </w:r>
          </w:p>
        </w:tc>
        <w:tc>
          <w:tcPr>
            <w:tcW w:w="2994" w:type="dxa"/>
            <w:shd w:val="clear" w:color="auto" w:fill="auto"/>
            <w:vAlign w:val="center"/>
          </w:tcPr>
          <w:p w14:paraId="44AF57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olor w:val="auto"/>
                <w:highlight w:val="none"/>
              </w:rPr>
              <w:t>吕玲玲</w:t>
            </w:r>
          </w:p>
        </w:tc>
        <w:tc>
          <w:tcPr>
            <w:tcW w:w="2007" w:type="dxa"/>
            <w:shd w:val="clear" w:color="auto" w:fill="auto"/>
            <w:vAlign w:val="center"/>
          </w:tcPr>
          <w:p w14:paraId="11DF56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ascii="Times New Roman" w:hAnsi="Times New Roman" w:eastAsia="宋体"/>
                <w:b/>
                <w:bCs/>
                <w:color w:val="auto"/>
                <w:highlight w:val="none"/>
              </w:rPr>
              <w:t>联系方式</w:t>
            </w:r>
          </w:p>
        </w:tc>
        <w:tc>
          <w:tcPr>
            <w:tcW w:w="2943" w:type="dxa"/>
            <w:shd w:val="clear" w:color="auto" w:fill="auto"/>
            <w:vAlign w:val="center"/>
          </w:tcPr>
          <w:p w14:paraId="56273C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olor w:val="auto"/>
                <w:highlight w:val="none"/>
              </w:rPr>
              <w:t>13675155204</w:t>
            </w:r>
          </w:p>
        </w:tc>
      </w:tr>
      <w:tr w14:paraId="70278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5" w:type="dxa"/>
            <w:tcMar>
              <w:top w:w="16" w:type="dxa"/>
              <w:left w:w="16" w:type="dxa"/>
              <w:right w:w="16" w:type="dxa"/>
            </w:tcMar>
            <w:vAlign w:val="center"/>
          </w:tcPr>
          <w:p w14:paraId="1F6F11B9">
            <w:pPr>
              <w:adjustRightInd w:val="0"/>
              <w:snapToGrid w:val="0"/>
              <w:spacing w:line="240" w:lineRule="auto"/>
              <w:jc w:val="center"/>
              <w:rPr>
                <w:b/>
                <w:bCs/>
                <w:color w:val="auto"/>
                <w:sz w:val="24"/>
                <w:highlight w:val="none"/>
              </w:rPr>
            </w:pPr>
            <w:r>
              <w:rPr>
                <w:b/>
                <w:bCs/>
                <w:color w:val="auto"/>
                <w:sz w:val="24"/>
                <w:highlight w:val="none"/>
              </w:rPr>
              <w:t>建设地点</w:t>
            </w:r>
          </w:p>
        </w:tc>
        <w:tc>
          <w:tcPr>
            <w:tcW w:w="7944" w:type="dxa"/>
            <w:gridSpan w:val="3"/>
            <w:vAlign w:val="center"/>
          </w:tcPr>
          <w:p w14:paraId="1D559134">
            <w:pPr>
              <w:adjustRightInd w:val="0"/>
              <w:snapToGrid w:val="0"/>
              <w:spacing w:line="240" w:lineRule="auto"/>
              <w:jc w:val="center"/>
              <w:rPr>
                <w:rFonts w:hint="eastAsia" w:eastAsia="宋体"/>
                <w:color w:val="auto"/>
                <w:sz w:val="24"/>
                <w:highlight w:val="none"/>
                <w:lang w:eastAsia="zh-CN"/>
              </w:rPr>
            </w:pPr>
            <w:r>
              <w:rPr>
                <w:color w:val="auto"/>
                <w:sz w:val="24"/>
                <w:highlight w:val="none"/>
                <w:u w:val="single"/>
              </w:rPr>
              <w:t>江苏</w:t>
            </w:r>
            <w:r>
              <w:rPr>
                <w:color w:val="auto"/>
                <w:sz w:val="24"/>
                <w:highlight w:val="none"/>
              </w:rPr>
              <w:t>省</w:t>
            </w:r>
            <w:r>
              <w:rPr>
                <w:rFonts w:hint="eastAsia"/>
                <w:color w:val="auto"/>
                <w:sz w:val="24"/>
                <w:highlight w:val="none"/>
              </w:rPr>
              <w:t xml:space="preserve"> </w:t>
            </w:r>
            <w:r>
              <w:rPr>
                <w:color w:val="auto"/>
                <w:sz w:val="24"/>
                <w:highlight w:val="none"/>
                <w:u w:val="single"/>
              </w:rPr>
              <w:t>南京</w:t>
            </w:r>
            <w:r>
              <w:rPr>
                <w:color w:val="auto"/>
                <w:sz w:val="24"/>
                <w:highlight w:val="none"/>
              </w:rPr>
              <w:t>市</w:t>
            </w:r>
            <w:r>
              <w:rPr>
                <w:rFonts w:hint="eastAsia"/>
                <w:color w:val="auto"/>
                <w:sz w:val="24"/>
                <w:highlight w:val="none"/>
              </w:rPr>
              <w:t xml:space="preserve"> </w:t>
            </w:r>
            <w:r>
              <w:rPr>
                <w:rFonts w:hint="eastAsia"/>
                <w:color w:val="auto"/>
                <w:sz w:val="24"/>
                <w:highlight w:val="none"/>
                <w:u w:val="single"/>
              </w:rPr>
              <w:t>江宁</w:t>
            </w:r>
            <w:r>
              <w:rPr>
                <w:rFonts w:hint="eastAsia"/>
                <w:color w:val="auto"/>
                <w:sz w:val="24"/>
                <w:highlight w:val="none"/>
              </w:rPr>
              <w:t xml:space="preserve">区 </w:t>
            </w:r>
            <w:r>
              <w:rPr>
                <w:rFonts w:hint="eastAsia"/>
                <w:color w:val="auto"/>
                <w:sz w:val="24"/>
                <w:highlight w:val="none"/>
                <w:u w:val="single"/>
                <w:lang w:eastAsia="zh-CN"/>
              </w:rPr>
              <w:t>高新园龙眠大道578号</w:t>
            </w:r>
          </w:p>
        </w:tc>
      </w:tr>
      <w:tr w14:paraId="626AB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5" w:type="dxa"/>
            <w:tcMar>
              <w:top w:w="16" w:type="dxa"/>
              <w:left w:w="16" w:type="dxa"/>
              <w:right w:w="16" w:type="dxa"/>
            </w:tcMar>
            <w:vAlign w:val="center"/>
          </w:tcPr>
          <w:p w14:paraId="01FD5BA7">
            <w:pPr>
              <w:adjustRightInd w:val="0"/>
              <w:snapToGrid w:val="0"/>
              <w:spacing w:line="240" w:lineRule="auto"/>
              <w:jc w:val="center"/>
              <w:rPr>
                <w:b/>
                <w:bCs/>
                <w:color w:val="auto"/>
                <w:sz w:val="24"/>
                <w:highlight w:val="none"/>
              </w:rPr>
            </w:pPr>
            <w:r>
              <w:rPr>
                <w:b/>
                <w:bCs/>
                <w:color w:val="auto"/>
                <w:sz w:val="24"/>
                <w:highlight w:val="none"/>
              </w:rPr>
              <w:t>地理坐标</w:t>
            </w:r>
          </w:p>
        </w:tc>
        <w:tc>
          <w:tcPr>
            <w:tcW w:w="7944" w:type="dxa"/>
            <w:gridSpan w:val="3"/>
            <w:vAlign w:val="center"/>
          </w:tcPr>
          <w:p w14:paraId="14DC1208">
            <w:pPr>
              <w:spacing w:line="240" w:lineRule="auto"/>
              <w:jc w:val="center"/>
              <w:rPr>
                <w:color w:val="auto"/>
                <w:sz w:val="24"/>
                <w:highlight w:val="none"/>
              </w:rPr>
            </w:pPr>
            <w:r>
              <w:rPr>
                <w:rFonts w:hint="eastAsia"/>
                <w:color w:val="auto"/>
                <w:sz w:val="24"/>
                <w:highlight w:val="none"/>
              </w:rPr>
              <w:t>（118度53分24.496秒，31度55分37.911秒）</w:t>
            </w:r>
          </w:p>
        </w:tc>
      </w:tr>
      <w:tr w14:paraId="41D623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5" w:type="dxa"/>
            <w:tcMar>
              <w:top w:w="16" w:type="dxa"/>
              <w:left w:w="16" w:type="dxa"/>
              <w:right w:w="16" w:type="dxa"/>
            </w:tcMar>
            <w:vAlign w:val="center"/>
          </w:tcPr>
          <w:p w14:paraId="11AEA6FF">
            <w:pPr>
              <w:adjustRightInd w:val="0"/>
              <w:snapToGrid w:val="0"/>
              <w:spacing w:line="240" w:lineRule="auto"/>
              <w:jc w:val="center"/>
              <w:rPr>
                <w:b/>
                <w:bCs/>
                <w:color w:val="auto"/>
                <w:sz w:val="24"/>
                <w:highlight w:val="none"/>
              </w:rPr>
            </w:pPr>
            <w:r>
              <w:rPr>
                <w:b/>
                <w:bCs/>
                <w:color w:val="auto"/>
                <w:sz w:val="24"/>
                <w:highlight w:val="none"/>
              </w:rPr>
              <w:t>国民经济</w:t>
            </w:r>
          </w:p>
          <w:p w14:paraId="31FFFA27">
            <w:pPr>
              <w:adjustRightInd w:val="0"/>
              <w:snapToGrid w:val="0"/>
              <w:spacing w:line="240" w:lineRule="auto"/>
              <w:jc w:val="center"/>
              <w:rPr>
                <w:b/>
                <w:bCs/>
                <w:color w:val="auto"/>
                <w:sz w:val="24"/>
                <w:highlight w:val="none"/>
              </w:rPr>
            </w:pPr>
            <w:r>
              <w:rPr>
                <w:b/>
                <w:bCs/>
                <w:color w:val="auto"/>
                <w:sz w:val="24"/>
                <w:highlight w:val="none"/>
              </w:rPr>
              <w:t>行业类别</w:t>
            </w:r>
          </w:p>
        </w:tc>
        <w:tc>
          <w:tcPr>
            <w:tcW w:w="2994" w:type="dxa"/>
            <w:shd w:val="clear" w:color="auto" w:fill="auto"/>
            <w:vAlign w:val="center"/>
          </w:tcPr>
          <w:p w14:paraId="50607033">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M7340</w:t>
            </w:r>
            <w:r>
              <w:rPr>
                <w:rFonts w:hint="default" w:ascii="Times New Roman" w:hAnsi="Times New Roman" w:eastAsia="宋体" w:cs="Times New Roman"/>
                <w:color w:val="auto"/>
                <w:sz w:val="24"/>
                <w:szCs w:val="24"/>
                <w:highlight w:val="none"/>
                <w:lang w:val="en-US" w:eastAsia="zh-CN"/>
              </w:rPr>
              <w:t>医学研究和试验发展</w:t>
            </w:r>
          </w:p>
        </w:tc>
        <w:tc>
          <w:tcPr>
            <w:tcW w:w="2007" w:type="dxa"/>
            <w:shd w:val="clear" w:color="auto" w:fill="auto"/>
            <w:vAlign w:val="center"/>
          </w:tcPr>
          <w:p w14:paraId="2B915AD9">
            <w:pPr>
              <w:adjustRightInd w:val="0"/>
              <w:snapToGrid w:val="0"/>
              <w:spacing w:line="24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建设项目</w:t>
            </w:r>
          </w:p>
          <w:p w14:paraId="3EED86BF">
            <w:pPr>
              <w:adjustRightInd w:val="0"/>
              <w:snapToGrid w:val="0"/>
              <w:spacing w:line="240" w:lineRule="auto"/>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sz w:val="24"/>
                <w:highlight w:val="none"/>
              </w:rPr>
              <w:t>行业类别</w:t>
            </w:r>
          </w:p>
        </w:tc>
        <w:tc>
          <w:tcPr>
            <w:tcW w:w="2943" w:type="dxa"/>
            <w:shd w:val="clear" w:color="auto" w:fill="auto"/>
            <w:vAlign w:val="center"/>
          </w:tcPr>
          <w:p w14:paraId="0DC30771">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98</w:t>
            </w:r>
            <w:r>
              <w:rPr>
                <w:rFonts w:hint="eastAsia" w:ascii="Times New Roman" w:hAnsi="Times New Roman" w:eastAsia="宋体" w:cs="Times New Roman"/>
                <w:color w:val="auto"/>
                <w:sz w:val="24"/>
                <w:szCs w:val="24"/>
                <w:highlight w:val="none"/>
                <w:lang w:val="en-US" w:eastAsia="zh-CN"/>
              </w:rPr>
              <w:t>专业实验室、研发（试验）基地</w:t>
            </w:r>
          </w:p>
        </w:tc>
      </w:tr>
      <w:tr w14:paraId="545925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5" w:type="dxa"/>
            <w:tcMar>
              <w:top w:w="16" w:type="dxa"/>
              <w:left w:w="16" w:type="dxa"/>
              <w:right w:w="16" w:type="dxa"/>
            </w:tcMar>
            <w:vAlign w:val="center"/>
          </w:tcPr>
          <w:p w14:paraId="2C58333C">
            <w:pPr>
              <w:adjustRightInd w:val="0"/>
              <w:snapToGrid w:val="0"/>
              <w:spacing w:line="240" w:lineRule="auto"/>
              <w:jc w:val="center"/>
              <w:rPr>
                <w:b/>
                <w:bCs/>
                <w:color w:val="auto"/>
                <w:sz w:val="24"/>
                <w:highlight w:val="none"/>
              </w:rPr>
            </w:pPr>
            <w:r>
              <w:rPr>
                <w:b/>
                <w:bCs/>
                <w:color w:val="auto"/>
                <w:sz w:val="24"/>
                <w:highlight w:val="none"/>
              </w:rPr>
              <w:t>建设性质</w:t>
            </w:r>
          </w:p>
        </w:tc>
        <w:tc>
          <w:tcPr>
            <w:tcW w:w="2994" w:type="dxa"/>
            <w:vAlign w:val="center"/>
          </w:tcPr>
          <w:p w14:paraId="0442C8C2">
            <w:pPr>
              <w:spacing w:line="240" w:lineRule="auto"/>
              <w:jc w:val="left"/>
              <w:rPr>
                <w:rFonts w:hint="eastAsia" w:eastAsia="宋体"/>
                <w:color w:val="auto"/>
                <w:sz w:val="24"/>
                <w:highlight w:val="none"/>
                <w:lang w:eastAsia="zh-CN"/>
              </w:rPr>
            </w:pPr>
            <w:r>
              <w:rPr>
                <w:color w:val="auto"/>
                <w:sz w:val="24"/>
                <w:highlight w:val="none"/>
              </w:rPr>
              <w:sym w:font="Wingdings 2" w:char="00A3"/>
            </w:r>
            <w:r>
              <w:rPr>
                <w:color w:val="auto"/>
                <w:sz w:val="24"/>
                <w:highlight w:val="none"/>
              </w:rPr>
              <w:t>新建</w:t>
            </w:r>
            <w:r>
              <w:rPr>
                <w:rFonts w:hint="eastAsia"/>
                <w:color w:val="auto"/>
                <w:sz w:val="24"/>
                <w:highlight w:val="none"/>
                <w:lang w:eastAsia="zh-CN"/>
              </w:rPr>
              <w:t>（</w:t>
            </w:r>
            <w:r>
              <w:rPr>
                <w:rFonts w:hint="eastAsia"/>
                <w:color w:val="auto"/>
                <w:sz w:val="24"/>
                <w:highlight w:val="none"/>
                <w:lang w:val="en-US" w:eastAsia="zh-CN"/>
              </w:rPr>
              <w:t>迁建</w:t>
            </w:r>
            <w:r>
              <w:rPr>
                <w:rFonts w:hint="eastAsia"/>
                <w:color w:val="auto"/>
                <w:sz w:val="24"/>
                <w:highlight w:val="none"/>
                <w:lang w:eastAsia="zh-CN"/>
              </w:rPr>
              <w:t>）</w:t>
            </w:r>
          </w:p>
          <w:p w14:paraId="2484339F">
            <w:pPr>
              <w:spacing w:line="240" w:lineRule="auto"/>
              <w:jc w:val="left"/>
              <w:rPr>
                <w:color w:val="auto"/>
                <w:sz w:val="24"/>
                <w:highlight w:val="none"/>
              </w:rPr>
            </w:pPr>
            <w:r>
              <w:rPr>
                <w:color w:val="auto"/>
                <w:sz w:val="24"/>
                <w:highlight w:val="none"/>
              </w:rPr>
              <w:sym w:font="Wingdings 2" w:char="0052"/>
            </w:r>
            <w:r>
              <w:rPr>
                <w:color w:val="auto"/>
                <w:sz w:val="24"/>
                <w:highlight w:val="none"/>
              </w:rPr>
              <w:t>改建</w:t>
            </w:r>
          </w:p>
          <w:p w14:paraId="212F1D47">
            <w:pPr>
              <w:spacing w:line="240" w:lineRule="auto"/>
              <w:jc w:val="left"/>
              <w:rPr>
                <w:color w:val="auto"/>
                <w:sz w:val="24"/>
                <w:highlight w:val="none"/>
              </w:rPr>
            </w:pPr>
            <w:r>
              <w:rPr>
                <w:color w:val="auto"/>
                <w:sz w:val="24"/>
                <w:highlight w:val="none"/>
              </w:rPr>
              <w:sym w:font="Wingdings 2" w:char="00A3"/>
            </w:r>
            <w:r>
              <w:rPr>
                <w:color w:val="auto"/>
                <w:sz w:val="24"/>
                <w:highlight w:val="none"/>
              </w:rPr>
              <w:t>扩建</w:t>
            </w:r>
          </w:p>
          <w:p w14:paraId="43882751">
            <w:pPr>
              <w:spacing w:line="240" w:lineRule="auto"/>
              <w:jc w:val="left"/>
              <w:rPr>
                <w:color w:val="auto"/>
                <w:sz w:val="24"/>
                <w:highlight w:val="none"/>
              </w:rPr>
            </w:pPr>
            <w:r>
              <w:rPr>
                <w:color w:val="auto"/>
                <w:sz w:val="24"/>
                <w:highlight w:val="none"/>
              </w:rPr>
              <w:sym w:font="Wingdings 2" w:char="00A3"/>
            </w:r>
            <w:r>
              <w:rPr>
                <w:color w:val="auto"/>
                <w:sz w:val="24"/>
                <w:highlight w:val="none"/>
              </w:rPr>
              <w:t>技术改造</w:t>
            </w:r>
          </w:p>
        </w:tc>
        <w:tc>
          <w:tcPr>
            <w:tcW w:w="2007" w:type="dxa"/>
            <w:vAlign w:val="center"/>
          </w:tcPr>
          <w:p w14:paraId="2588AF41">
            <w:pPr>
              <w:adjustRightInd w:val="0"/>
              <w:snapToGrid w:val="0"/>
              <w:spacing w:line="240" w:lineRule="auto"/>
              <w:jc w:val="center"/>
              <w:rPr>
                <w:b/>
                <w:bCs/>
                <w:color w:val="auto"/>
                <w:sz w:val="24"/>
                <w:highlight w:val="none"/>
              </w:rPr>
            </w:pPr>
            <w:r>
              <w:rPr>
                <w:b/>
                <w:bCs/>
                <w:color w:val="auto"/>
                <w:sz w:val="24"/>
                <w:highlight w:val="none"/>
              </w:rPr>
              <w:t>建设项目</w:t>
            </w:r>
          </w:p>
          <w:p w14:paraId="03079DF7">
            <w:pPr>
              <w:adjustRightInd w:val="0"/>
              <w:snapToGrid w:val="0"/>
              <w:spacing w:line="240" w:lineRule="auto"/>
              <w:jc w:val="center"/>
              <w:rPr>
                <w:b/>
                <w:bCs/>
                <w:color w:val="auto"/>
                <w:sz w:val="24"/>
                <w:highlight w:val="none"/>
              </w:rPr>
            </w:pPr>
            <w:r>
              <w:rPr>
                <w:b/>
                <w:bCs/>
                <w:color w:val="auto"/>
                <w:sz w:val="24"/>
                <w:highlight w:val="none"/>
              </w:rPr>
              <w:t>申报情形</w:t>
            </w:r>
          </w:p>
        </w:tc>
        <w:tc>
          <w:tcPr>
            <w:tcW w:w="2943" w:type="dxa"/>
            <w:vAlign w:val="center"/>
          </w:tcPr>
          <w:p w14:paraId="2035F030">
            <w:pPr>
              <w:spacing w:line="240" w:lineRule="auto"/>
              <w:jc w:val="left"/>
              <w:rPr>
                <w:color w:val="auto"/>
                <w:sz w:val="24"/>
                <w:highlight w:val="none"/>
              </w:rPr>
            </w:pPr>
            <w:r>
              <w:rPr>
                <w:color w:val="auto"/>
                <w:sz w:val="24"/>
                <w:highlight w:val="none"/>
              </w:rPr>
              <w:sym w:font="Wingdings 2" w:char="0052"/>
            </w:r>
            <w:r>
              <w:rPr>
                <w:color w:val="auto"/>
                <w:sz w:val="24"/>
                <w:highlight w:val="none"/>
              </w:rPr>
              <w:t xml:space="preserve">首次申报项目             </w:t>
            </w:r>
            <w:r>
              <w:rPr>
                <w:color w:val="auto"/>
                <w:sz w:val="24"/>
                <w:highlight w:val="none"/>
              </w:rPr>
              <w:sym w:font="Wingdings 2" w:char="00A3"/>
            </w:r>
            <w:r>
              <w:rPr>
                <w:color w:val="auto"/>
                <w:sz w:val="24"/>
                <w:highlight w:val="none"/>
              </w:rPr>
              <w:t>不予批准后再次申报项目</w:t>
            </w:r>
          </w:p>
          <w:p w14:paraId="1C9870FB">
            <w:pPr>
              <w:spacing w:line="240" w:lineRule="auto"/>
              <w:jc w:val="left"/>
              <w:rPr>
                <w:color w:val="auto"/>
                <w:sz w:val="24"/>
                <w:highlight w:val="none"/>
              </w:rPr>
            </w:pPr>
            <w:r>
              <w:rPr>
                <w:color w:val="auto"/>
                <w:sz w:val="24"/>
                <w:highlight w:val="none"/>
              </w:rPr>
              <w:sym w:font="Wingdings 2" w:char="00A3"/>
            </w:r>
            <w:r>
              <w:rPr>
                <w:color w:val="auto"/>
                <w:sz w:val="24"/>
                <w:highlight w:val="none"/>
              </w:rPr>
              <w:t xml:space="preserve">超五年重新审核项目     </w:t>
            </w:r>
          </w:p>
          <w:p w14:paraId="53C81E05">
            <w:pPr>
              <w:spacing w:line="240" w:lineRule="auto"/>
              <w:jc w:val="left"/>
              <w:rPr>
                <w:color w:val="auto"/>
                <w:sz w:val="24"/>
                <w:highlight w:val="none"/>
              </w:rPr>
            </w:pPr>
            <w:r>
              <w:rPr>
                <w:color w:val="auto"/>
                <w:sz w:val="24"/>
                <w:highlight w:val="none"/>
              </w:rPr>
              <w:sym w:font="Wingdings 2" w:char="00A3"/>
            </w:r>
            <w:r>
              <w:rPr>
                <w:color w:val="auto"/>
                <w:sz w:val="24"/>
                <w:highlight w:val="none"/>
              </w:rPr>
              <w:t>重大变动重新报批项目</w:t>
            </w:r>
          </w:p>
        </w:tc>
      </w:tr>
      <w:tr w14:paraId="651B45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5" w:type="dxa"/>
            <w:tcMar>
              <w:top w:w="16" w:type="dxa"/>
              <w:left w:w="16" w:type="dxa"/>
              <w:right w:w="16" w:type="dxa"/>
            </w:tcMar>
            <w:vAlign w:val="center"/>
          </w:tcPr>
          <w:p w14:paraId="2F4A8769">
            <w:pPr>
              <w:adjustRightInd w:val="0"/>
              <w:snapToGrid w:val="0"/>
              <w:spacing w:line="240" w:lineRule="auto"/>
              <w:jc w:val="center"/>
              <w:rPr>
                <w:b/>
                <w:bCs/>
                <w:color w:val="auto"/>
                <w:sz w:val="24"/>
                <w:highlight w:val="none"/>
              </w:rPr>
            </w:pPr>
            <w:r>
              <w:rPr>
                <w:b/>
                <w:bCs/>
                <w:color w:val="auto"/>
                <w:sz w:val="24"/>
                <w:highlight w:val="none"/>
              </w:rPr>
              <w:t>项目审批（核准/</w:t>
            </w:r>
          </w:p>
          <w:p w14:paraId="1366571F">
            <w:pPr>
              <w:adjustRightInd w:val="0"/>
              <w:snapToGrid w:val="0"/>
              <w:spacing w:line="240" w:lineRule="auto"/>
              <w:jc w:val="center"/>
              <w:rPr>
                <w:b/>
                <w:bCs/>
                <w:color w:val="auto"/>
                <w:sz w:val="24"/>
                <w:highlight w:val="none"/>
              </w:rPr>
            </w:pPr>
            <w:r>
              <w:rPr>
                <w:b/>
                <w:bCs/>
                <w:color w:val="auto"/>
                <w:sz w:val="24"/>
                <w:highlight w:val="none"/>
              </w:rPr>
              <w:t>备案）部门（选填）</w:t>
            </w:r>
          </w:p>
        </w:tc>
        <w:tc>
          <w:tcPr>
            <w:tcW w:w="2994" w:type="dxa"/>
            <w:vAlign w:val="center"/>
          </w:tcPr>
          <w:p w14:paraId="05B02766">
            <w:pPr>
              <w:bidi w:val="0"/>
              <w:spacing w:line="240" w:lineRule="auto"/>
              <w:jc w:val="center"/>
              <w:rPr>
                <w:color w:val="auto"/>
                <w:sz w:val="24"/>
                <w:highlight w:val="none"/>
              </w:rPr>
            </w:pPr>
            <w:r>
              <w:rPr>
                <w:rFonts w:hint="eastAsia" w:ascii="Times New Roman" w:hAnsi="Times New Roman" w:eastAsia="宋体" w:cs="Times New Roman"/>
                <w:lang w:val="en-US" w:eastAsia="zh-CN"/>
              </w:rPr>
              <w:t>南京市江宁区政务服务管理办公室</w:t>
            </w:r>
          </w:p>
        </w:tc>
        <w:tc>
          <w:tcPr>
            <w:tcW w:w="2007" w:type="dxa"/>
            <w:vAlign w:val="center"/>
          </w:tcPr>
          <w:p w14:paraId="132780A0">
            <w:pPr>
              <w:adjustRightInd w:val="0"/>
              <w:snapToGrid w:val="0"/>
              <w:spacing w:line="240" w:lineRule="auto"/>
              <w:jc w:val="center"/>
              <w:rPr>
                <w:b/>
                <w:bCs/>
                <w:color w:val="auto"/>
                <w:sz w:val="24"/>
                <w:highlight w:val="none"/>
              </w:rPr>
            </w:pPr>
            <w:r>
              <w:rPr>
                <w:b/>
                <w:bCs/>
                <w:color w:val="auto"/>
                <w:sz w:val="24"/>
                <w:highlight w:val="none"/>
              </w:rPr>
              <w:t>项目审批（核准/</w:t>
            </w:r>
          </w:p>
          <w:p w14:paraId="3F1072C0">
            <w:pPr>
              <w:adjustRightInd w:val="0"/>
              <w:snapToGrid w:val="0"/>
              <w:spacing w:line="240" w:lineRule="auto"/>
              <w:jc w:val="center"/>
              <w:rPr>
                <w:b/>
                <w:bCs/>
                <w:color w:val="auto"/>
                <w:sz w:val="24"/>
                <w:highlight w:val="none"/>
              </w:rPr>
            </w:pPr>
            <w:r>
              <w:rPr>
                <w:b/>
                <w:bCs/>
                <w:color w:val="auto"/>
                <w:sz w:val="24"/>
                <w:highlight w:val="none"/>
              </w:rPr>
              <w:t>备案）文号（选填）</w:t>
            </w:r>
          </w:p>
        </w:tc>
        <w:tc>
          <w:tcPr>
            <w:tcW w:w="2943" w:type="dxa"/>
            <w:vAlign w:val="center"/>
          </w:tcPr>
          <w:p w14:paraId="2A99E1D9">
            <w:pPr>
              <w:adjustRightInd w:val="0"/>
              <w:snapToGrid w:val="0"/>
              <w:spacing w:line="240" w:lineRule="auto"/>
              <w:jc w:val="center"/>
              <w:rPr>
                <w:color w:val="auto"/>
                <w:sz w:val="24"/>
                <w:highlight w:val="none"/>
              </w:rPr>
            </w:pPr>
            <w:r>
              <w:rPr>
                <w:rFonts w:hint="eastAsia"/>
                <w:color w:val="auto"/>
                <w:sz w:val="24"/>
                <w:highlight w:val="none"/>
              </w:rPr>
              <w:t>江宁政务投备〔2025〕270号</w:t>
            </w:r>
          </w:p>
        </w:tc>
      </w:tr>
      <w:tr w14:paraId="2EB96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5" w:type="dxa"/>
            <w:tcMar>
              <w:top w:w="16" w:type="dxa"/>
              <w:left w:w="16" w:type="dxa"/>
              <w:right w:w="16" w:type="dxa"/>
            </w:tcMar>
            <w:vAlign w:val="center"/>
          </w:tcPr>
          <w:p w14:paraId="41587179">
            <w:pPr>
              <w:adjustRightInd w:val="0"/>
              <w:snapToGrid w:val="0"/>
              <w:spacing w:line="240" w:lineRule="auto"/>
              <w:jc w:val="center"/>
              <w:rPr>
                <w:b/>
                <w:bCs/>
                <w:color w:val="auto"/>
                <w:sz w:val="24"/>
                <w:highlight w:val="none"/>
              </w:rPr>
            </w:pPr>
            <w:r>
              <w:rPr>
                <w:b/>
                <w:bCs/>
                <w:color w:val="auto"/>
                <w:sz w:val="24"/>
                <w:highlight w:val="none"/>
              </w:rPr>
              <w:t>总投资（万元）</w:t>
            </w:r>
          </w:p>
        </w:tc>
        <w:tc>
          <w:tcPr>
            <w:tcW w:w="2994" w:type="dxa"/>
            <w:vAlign w:val="center"/>
          </w:tcPr>
          <w:p w14:paraId="57BA72CD">
            <w:pPr>
              <w:adjustRightInd w:val="0"/>
              <w:snapToGrid w:val="0"/>
              <w:spacing w:line="240" w:lineRule="auto"/>
              <w:jc w:val="center"/>
              <w:rPr>
                <w:rFonts w:hint="default" w:eastAsia="宋体"/>
                <w:color w:val="auto"/>
                <w:sz w:val="24"/>
                <w:highlight w:val="none"/>
                <w:lang w:val="en-US" w:eastAsia="zh-CN"/>
              </w:rPr>
            </w:pPr>
            <w:r>
              <w:rPr>
                <w:rFonts w:hint="eastAsia"/>
                <w:color w:val="auto"/>
                <w:highlight w:val="none"/>
                <w:lang w:val="en-US" w:eastAsia="zh-CN"/>
              </w:rPr>
              <w:t>10076.9</w:t>
            </w:r>
          </w:p>
        </w:tc>
        <w:tc>
          <w:tcPr>
            <w:tcW w:w="2007" w:type="dxa"/>
            <w:tcMar>
              <w:top w:w="16" w:type="dxa"/>
              <w:left w:w="16" w:type="dxa"/>
              <w:right w:w="16" w:type="dxa"/>
            </w:tcMar>
            <w:vAlign w:val="center"/>
          </w:tcPr>
          <w:p w14:paraId="432D01F1">
            <w:pPr>
              <w:adjustRightInd w:val="0"/>
              <w:snapToGrid w:val="0"/>
              <w:spacing w:line="240" w:lineRule="auto"/>
              <w:jc w:val="center"/>
              <w:rPr>
                <w:b/>
                <w:bCs/>
                <w:color w:val="auto"/>
                <w:sz w:val="24"/>
                <w:highlight w:val="none"/>
              </w:rPr>
            </w:pPr>
            <w:r>
              <w:rPr>
                <w:b/>
                <w:bCs/>
                <w:color w:val="auto"/>
                <w:sz w:val="24"/>
                <w:highlight w:val="none"/>
              </w:rPr>
              <w:t>环保投资（万元）</w:t>
            </w:r>
          </w:p>
        </w:tc>
        <w:tc>
          <w:tcPr>
            <w:tcW w:w="2943" w:type="dxa"/>
            <w:vAlign w:val="center"/>
          </w:tcPr>
          <w:p w14:paraId="5BCDD143">
            <w:pPr>
              <w:adjustRightInd w:val="0"/>
              <w:snapToGrid w:val="0"/>
              <w:spacing w:line="240" w:lineRule="auto"/>
              <w:jc w:val="center"/>
              <w:rPr>
                <w:rFonts w:hint="default" w:eastAsia="宋体"/>
                <w:color w:val="auto"/>
                <w:sz w:val="24"/>
                <w:highlight w:val="none"/>
                <w:lang w:val="en-US" w:eastAsia="zh-CN"/>
              </w:rPr>
            </w:pPr>
            <w:r>
              <w:rPr>
                <w:rFonts w:hint="eastAsia"/>
                <w:color w:val="auto"/>
                <w:sz w:val="24"/>
                <w:highlight w:val="none"/>
                <w:lang w:val="en-US" w:eastAsia="zh-CN"/>
              </w:rPr>
              <w:t>80</w:t>
            </w:r>
          </w:p>
        </w:tc>
      </w:tr>
      <w:tr w14:paraId="264E1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5" w:type="dxa"/>
            <w:tcMar>
              <w:top w:w="16" w:type="dxa"/>
              <w:left w:w="16" w:type="dxa"/>
              <w:right w:w="16" w:type="dxa"/>
            </w:tcMar>
            <w:vAlign w:val="center"/>
          </w:tcPr>
          <w:p w14:paraId="0D7425A4">
            <w:pPr>
              <w:adjustRightInd w:val="0"/>
              <w:snapToGrid w:val="0"/>
              <w:spacing w:line="240" w:lineRule="auto"/>
              <w:jc w:val="center"/>
              <w:rPr>
                <w:b/>
                <w:bCs/>
                <w:color w:val="auto"/>
                <w:sz w:val="24"/>
                <w:highlight w:val="none"/>
              </w:rPr>
            </w:pPr>
            <w:r>
              <w:rPr>
                <w:b/>
                <w:bCs/>
                <w:color w:val="auto"/>
                <w:sz w:val="24"/>
                <w:highlight w:val="none"/>
              </w:rPr>
              <w:t>环保投资占比（%）</w:t>
            </w:r>
          </w:p>
        </w:tc>
        <w:tc>
          <w:tcPr>
            <w:tcW w:w="2994" w:type="dxa"/>
            <w:vAlign w:val="center"/>
          </w:tcPr>
          <w:p w14:paraId="1D95EE02">
            <w:pPr>
              <w:adjustRightInd w:val="0"/>
              <w:snapToGrid w:val="0"/>
              <w:spacing w:line="240" w:lineRule="auto"/>
              <w:jc w:val="center"/>
              <w:rPr>
                <w:rFonts w:hint="default" w:eastAsia="宋体"/>
                <w:color w:val="auto"/>
                <w:sz w:val="24"/>
                <w:highlight w:val="none"/>
                <w:lang w:val="en-US" w:eastAsia="zh-CN"/>
              </w:rPr>
            </w:pPr>
            <w:r>
              <w:rPr>
                <w:rFonts w:hint="eastAsia"/>
                <w:color w:val="auto"/>
                <w:sz w:val="24"/>
                <w:highlight w:val="none"/>
                <w:lang w:val="en-US" w:eastAsia="zh-CN"/>
              </w:rPr>
              <w:t>0.79</w:t>
            </w:r>
          </w:p>
        </w:tc>
        <w:tc>
          <w:tcPr>
            <w:tcW w:w="2007" w:type="dxa"/>
            <w:tcMar>
              <w:top w:w="16" w:type="dxa"/>
              <w:left w:w="16" w:type="dxa"/>
              <w:right w:w="16" w:type="dxa"/>
            </w:tcMar>
            <w:vAlign w:val="center"/>
          </w:tcPr>
          <w:p w14:paraId="47F95720">
            <w:pPr>
              <w:adjustRightInd w:val="0"/>
              <w:snapToGrid w:val="0"/>
              <w:spacing w:line="240" w:lineRule="auto"/>
              <w:jc w:val="center"/>
              <w:rPr>
                <w:b/>
                <w:bCs/>
                <w:color w:val="auto"/>
                <w:sz w:val="24"/>
                <w:highlight w:val="none"/>
              </w:rPr>
            </w:pPr>
            <w:r>
              <w:rPr>
                <w:b/>
                <w:bCs/>
                <w:color w:val="auto"/>
                <w:sz w:val="24"/>
                <w:highlight w:val="none"/>
              </w:rPr>
              <w:t>施工工期</w:t>
            </w:r>
          </w:p>
        </w:tc>
        <w:tc>
          <w:tcPr>
            <w:tcW w:w="2943" w:type="dxa"/>
            <w:vAlign w:val="center"/>
          </w:tcPr>
          <w:p w14:paraId="6ABB0BB4">
            <w:pPr>
              <w:adjustRightInd w:val="0"/>
              <w:snapToGrid w:val="0"/>
              <w:spacing w:line="240" w:lineRule="auto"/>
              <w:jc w:val="center"/>
              <w:rPr>
                <w:color w:val="auto"/>
                <w:sz w:val="24"/>
                <w:highlight w:val="none"/>
              </w:rPr>
            </w:pPr>
            <w:r>
              <w:rPr>
                <w:rFonts w:hint="eastAsia"/>
                <w:color w:val="auto"/>
                <w:sz w:val="24"/>
                <w:highlight w:val="none"/>
                <w:lang w:val="en-US" w:eastAsia="zh-CN"/>
              </w:rPr>
              <w:t>6</w:t>
            </w:r>
            <w:r>
              <w:rPr>
                <w:rFonts w:hint="eastAsia"/>
                <w:color w:val="auto"/>
                <w:sz w:val="24"/>
                <w:highlight w:val="none"/>
              </w:rPr>
              <w:t>个月</w:t>
            </w:r>
          </w:p>
        </w:tc>
      </w:tr>
      <w:tr w14:paraId="52BDF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25" w:type="dxa"/>
            <w:tcMar>
              <w:top w:w="16" w:type="dxa"/>
              <w:left w:w="16" w:type="dxa"/>
              <w:right w:w="16" w:type="dxa"/>
            </w:tcMar>
            <w:vAlign w:val="center"/>
          </w:tcPr>
          <w:p w14:paraId="2B4FBAD0">
            <w:pPr>
              <w:adjustRightInd w:val="0"/>
              <w:snapToGrid w:val="0"/>
              <w:spacing w:line="240" w:lineRule="auto"/>
              <w:jc w:val="center"/>
              <w:rPr>
                <w:b/>
                <w:bCs/>
                <w:color w:val="auto"/>
                <w:sz w:val="24"/>
                <w:highlight w:val="none"/>
              </w:rPr>
            </w:pPr>
            <w:r>
              <w:rPr>
                <w:b/>
                <w:bCs/>
                <w:color w:val="auto"/>
                <w:sz w:val="24"/>
                <w:highlight w:val="none"/>
              </w:rPr>
              <w:t>是否开工建设</w:t>
            </w:r>
          </w:p>
        </w:tc>
        <w:tc>
          <w:tcPr>
            <w:tcW w:w="2994" w:type="dxa"/>
            <w:vAlign w:val="center"/>
          </w:tcPr>
          <w:p w14:paraId="3904CC35">
            <w:pPr>
              <w:adjustRightInd w:val="0"/>
              <w:snapToGrid w:val="0"/>
              <w:spacing w:line="240" w:lineRule="auto"/>
              <w:rPr>
                <w:color w:val="auto"/>
                <w:sz w:val="24"/>
                <w:highlight w:val="none"/>
              </w:rPr>
            </w:pPr>
            <w:r>
              <w:rPr>
                <w:color w:val="auto"/>
                <w:sz w:val="24"/>
                <w:highlight w:val="none"/>
              </w:rPr>
              <w:sym w:font="Wingdings 2" w:char="0052"/>
            </w:r>
            <w:r>
              <w:rPr>
                <w:color w:val="auto"/>
                <w:sz w:val="24"/>
                <w:highlight w:val="none"/>
              </w:rPr>
              <w:t>否</w:t>
            </w:r>
          </w:p>
          <w:p w14:paraId="5E26AB72">
            <w:pPr>
              <w:adjustRightInd w:val="0"/>
              <w:snapToGrid w:val="0"/>
              <w:spacing w:line="240" w:lineRule="auto"/>
              <w:rPr>
                <w:rFonts w:hint="default" w:eastAsia="宋体"/>
                <w:color w:val="auto"/>
                <w:sz w:val="24"/>
                <w:highlight w:val="none"/>
                <w:lang w:val="en-US" w:eastAsia="zh-CN"/>
              </w:rPr>
            </w:pPr>
            <w:r>
              <w:rPr>
                <w:color w:val="auto"/>
                <w:sz w:val="24"/>
                <w:highlight w:val="none"/>
              </w:rPr>
              <w:sym w:font="Wingdings 2" w:char="00A3"/>
            </w:r>
            <w:r>
              <w:rPr>
                <w:color w:val="auto"/>
                <w:sz w:val="24"/>
                <w:highlight w:val="none"/>
              </w:rPr>
              <w:t>是：</w:t>
            </w:r>
          </w:p>
        </w:tc>
        <w:tc>
          <w:tcPr>
            <w:tcW w:w="2007" w:type="dxa"/>
            <w:tcMar>
              <w:top w:w="16" w:type="dxa"/>
              <w:left w:w="16" w:type="dxa"/>
              <w:right w:w="16" w:type="dxa"/>
            </w:tcMar>
            <w:vAlign w:val="center"/>
          </w:tcPr>
          <w:p w14:paraId="589D4665">
            <w:pPr>
              <w:adjustRightInd w:val="0"/>
              <w:snapToGrid w:val="0"/>
              <w:spacing w:line="240" w:lineRule="auto"/>
              <w:jc w:val="center"/>
              <w:rPr>
                <w:b/>
                <w:bCs/>
                <w:color w:val="auto"/>
                <w:spacing w:val="-6"/>
                <w:sz w:val="24"/>
                <w:highlight w:val="none"/>
              </w:rPr>
            </w:pPr>
            <w:r>
              <w:rPr>
                <w:b/>
                <w:bCs/>
                <w:color w:val="auto"/>
                <w:spacing w:val="-6"/>
                <w:sz w:val="24"/>
                <w:highlight w:val="none"/>
              </w:rPr>
              <w:t>用地（用海）</w:t>
            </w:r>
          </w:p>
          <w:p w14:paraId="18E7A90D">
            <w:pPr>
              <w:adjustRightInd w:val="0"/>
              <w:snapToGrid w:val="0"/>
              <w:spacing w:line="240" w:lineRule="auto"/>
              <w:jc w:val="center"/>
              <w:rPr>
                <w:b/>
                <w:bCs/>
                <w:color w:val="auto"/>
                <w:sz w:val="24"/>
                <w:highlight w:val="none"/>
              </w:rPr>
            </w:pPr>
            <w:r>
              <w:rPr>
                <w:b/>
                <w:bCs/>
                <w:color w:val="auto"/>
                <w:spacing w:val="-6"/>
                <w:sz w:val="24"/>
                <w:highlight w:val="none"/>
              </w:rPr>
              <w:t>面积（m</w:t>
            </w:r>
            <w:r>
              <w:rPr>
                <w:b/>
                <w:bCs/>
                <w:color w:val="auto"/>
                <w:spacing w:val="-6"/>
                <w:sz w:val="24"/>
                <w:highlight w:val="none"/>
                <w:vertAlign w:val="superscript"/>
              </w:rPr>
              <w:t>2</w:t>
            </w:r>
            <w:r>
              <w:rPr>
                <w:b/>
                <w:bCs/>
                <w:color w:val="auto"/>
                <w:spacing w:val="-6"/>
                <w:sz w:val="24"/>
                <w:highlight w:val="none"/>
              </w:rPr>
              <w:t>）</w:t>
            </w:r>
          </w:p>
        </w:tc>
        <w:tc>
          <w:tcPr>
            <w:tcW w:w="2943" w:type="dxa"/>
            <w:vAlign w:val="center"/>
          </w:tcPr>
          <w:p w14:paraId="11D53EB7">
            <w:pPr>
              <w:adjustRightInd w:val="0"/>
              <w:snapToGrid w:val="0"/>
              <w:spacing w:line="240" w:lineRule="auto"/>
              <w:jc w:val="center"/>
              <w:rPr>
                <w:rFonts w:hint="default" w:eastAsia="宋体"/>
                <w:color w:val="auto"/>
                <w:sz w:val="24"/>
                <w:highlight w:val="none"/>
                <w:lang w:val="en-US" w:eastAsia="zh-CN"/>
              </w:rPr>
            </w:pPr>
            <w:r>
              <w:rPr>
                <w:rFonts w:hint="eastAsia"/>
                <w:color w:val="auto"/>
                <w:sz w:val="24"/>
                <w:highlight w:val="none"/>
                <w:lang w:val="en-US" w:eastAsia="zh-CN"/>
              </w:rPr>
              <w:t>46157.23（建筑面积）</w:t>
            </w:r>
          </w:p>
        </w:tc>
      </w:tr>
      <w:tr w14:paraId="3CC89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5" w:type="dxa"/>
            <w:vAlign w:val="center"/>
          </w:tcPr>
          <w:p w14:paraId="5DE52FC2">
            <w:pPr>
              <w:autoSpaceDE w:val="0"/>
              <w:autoSpaceDN w:val="0"/>
              <w:adjustRightInd w:val="0"/>
              <w:snapToGrid w:val="0"/>
              <w:spacing w:line="240" w:lineRule="auto"/>
              <w:jc w:val="center"/>
              <w:rPr>
                <w:b/>
                <w:bCs/>
                <w:color w:val="auto"/>
                <w:kern w:val="0"/>
                <w:sz w:val="24"/>
                <w:highlight w:val="none"/>
              </w:rPr>
            </w:pPr>
            <w:r>
              <w:rPr>
                <w:b/>
                <w:bCs/>
                <w:color w:val="auto"/>
                <w:kern w:val="0"/>
                <w:sz w:val="24"/>
                <w:highlight w:val="none"/>
              </w:rPr>
              <w:t>专项评价设置情况</w:t>
            </w:r>
          </w:p>
        </w:tc>
        <w:tc>
          <w:tcPr>
            <w:tcW w:w="7944" w:type="dxa"/>
            <w:gridSpan w:val="3"/>
            <w:vAlign w:val="center"/>
          </w:tcPr>
          <w:p w14:paraId="3A99DEC0">
            <w:pPr>
              <w:bidi w:val="0"/>
              <w:rPr>
                <w:rFonts w:hint="default"/>
                <w:lang w:val="en-US" w:eastAsia="zh-CN"/>
              </w:rPr>
            </w:pPr>
            <w:r>
              <w:rPr>
                <w:rFonts w:hint="eastAsia"/>
              </w:rPr>
              <w:t>根据《有毒有害大气污染物名录</w:t>
            </w:r>
            <w:r>
              <w:rPr>
                <w:rFonts w:hint="eastAsia"/>
                <w:lang w:eastAsia="zh-CN"/>
              </w:rPr>
              <w:t>（</w:t>
            </w:r>
            <w:r>
              <w:rPr>
                <w:rFonts w:hint="eastAsia"/>
                <w:lang w:val="en-US" w:eastAsia="zh-CN"/>
              </w:rPr>
              <w:t>2018年</w:t>
            </w:r>
            <w:r>
              <w:rPr>
                <w:rFonts w:hint="eastAsia"/>
                <w:lang w:eastAsia="zh-CN"/>
              </w:rPr>
              <w:t>）</w:t>
            </w:r>
            <w:r>
              <w:rPr>
                <w:rFonts w:hint="eastAsia"/>
              </w:rPr>
              <w:t>》，本项目排放</w:t>
            </w:r>
            <w:r>
              <w:rPr>
                <w:rFonts w:hint="eastAsia"/>
                <w:lang w:val="en-US" w:eastAsia="zh-CN"/>
              </w:rPr>
              <w:t>废</w:t>
            </w:r>
            <w:r>
              <w:rPr>
                <w:rFonts w:hint="eastAsia"/>
              </w:rPr>
              <w:t>气中涉及的有毒有害大气污染物为二氯甲烷</w:t>
            </w:r>
            <w:r>
              <w:rPr>
                <w:rFonts w:hint="eastAsia"/>
                <w:lang w:eastAsia="zh-CN"/>
              </w:rPr>
              <w:t>、</w:t>
            </w:r>
            <w:r>
              <w:rPr>
                <w:rFonts w:hint="eastAsia"/>
              </w:rPr>
              <w:t>乙腈</w:t>
            </w:r>
            <w:r>
              <w:rPr>
                <w:rFonts w:hint="eastAsia"/>
                <w:lang w:eastAsia="zh-CN"/>
              </w:rPr>
              <w:t>（</w:t>
            </w:r>
            <w:r>
              <w:rPr>
                <w:rFonts w:hint="eastAsia"/>
              </w:rPr>
              <w:t>属于氰化物</w:t>
            </w:r>
            <w:r>
              <w:rPr>
                <w:rFonts w:hint="eastAsia"/>
                <w:lang w:eastAsia="zh-CN"/>
              </w:rPr>
              <w:t>）</w:t>
            </w:r>
            <w:r>
              <w:rPr>
                <w:rFonts w:hint="eastAsia"/>
              </w:rPr>
              <w:t>，且厂界500m范围内有南京江宁高等职业技术学校</w:t>
            </w:r>
            <w:r>
              <w:rPr>
                <w:rFonts w:hint="eastAsia"/>
                <w:lang w:eastAsia="zh-CN"/>
              </w:rPr>
              <w:t>、</w:t>
            </w:r>
            <w:r>
              <w:rPr>
                <w:rFonts w:hint="eastAsia"/>
              </w:rPr>
              <w:t>南京旅游职业学院</w:t>
            </w:r>
            <w:r>
              <w:rPr>
                <w:rFonts w:hint="eastAsia"/>
                <w:lang w:eastAsia="zh-CN"/>
              </w:rPr>
              <w:t>、</w:t>
            </w:r>
            <w:r>
              <w:rPr>
                <w:rFonts w:hint="eastAsia"/>
              </w:rPr>
              <w:t>弘阳上院</w:t>
            </w:r>
            <w:r>
              <w:rPr>
                <w:rFonts w:hint="eastAsia"/>
                <w:lang w:eastAsia="zh-CN"/>
              </w:rPr>
              <w:t>、</w:t>
            </w:r>
            <w:r>
              <w:rPr>
                <w:rFonts w:hint="eastAsia"/>
              </w:rPr>
              <w:t>月华路小学</w:t>
            </w:r>
            <w:r>
              <w:rPr>
                <w:rFonts w:hint="eastAsia"/>
                <w:lang w:eastAsia="zh-CN"/>
              </w:rPr>
              <w:t>、</w:t>
            </w:r>
            <w:r>
              <w:rPr>
                <w:rFonts w:hint="eastAsia"/>
              </w:rPr>
              <w:t>商苑新村等</w:t>
            </w:r>
            <w:r>
              <w:rPr>
                <w:rFonts w:hint="eastAsia"/>
                <w:lang w:val="en-US" w:eastAsia="zh-CN"/>
              </w:rPr>
              <w:t>环境空气保护目标</w:t>
            </w:r>
            <w:r>
              <w:rPr>
                <w:rFonts w:hint="eastAsia"/>
              </w:rPr>
              <w:t>，根据《建设项目环境影响报告表编制技术指南</w:t>
            </w:r>
            <w:r>
              <w:rPr>
                <w:rFonts w:hint="eastAsia"/>
                <w:lang w:eastAsia="zh-CN"/>
              </w:rPr>
              <w:t>（</w:t>
            </w:r>
            <w:r>
              <w:rPr>
                <w:rFonts w:hint="eastAsia"/>
              </w:rPr>
              <w:t>污染影响类</w:t>
            </w:r>
            <w:r>
              <w:rPr>
                <w:rFonts w:hint="eastAsia"/>
                <w:lang w:eastAsia="zh-CN"/>
              </w:rPr>
              <w:t>）（</w:t>
            </w:r>
            <w:r>
              <w:rPr>
                <w:rFonts w:hint="eastAsia"/>
              </w:rPr>
              <w:t>试行</w:t>
            </w:r>
            <w:r>
              <w:rPr>
                <w:rFonts w:hint="eastAsia"/>
                <w:lang w:eastAsia="zh-CN"/>
              </w:rPr>
              <w:t>）</w:t>
            </w:r>
            <w:r>
              <w:rPr>
                <w:rFonts w:hint="eastAsia"/>
              </w:rPr>
              <w:t>》表1</w:t>
            </w:r>
            <w:r>
              <w:rPr>
                <w:rFonts w:hint="eastAsia"/>
                <w:lang w:val="en-US" w:eastAsia="zh-CN"/>
              </w:rPr>
              <w:t>专项</w:t>
            </w:r>
            <w:r>
              <w:rPr>
                <w:rFonts w:hint="eastAsia"/>
              </w:rPr>
              <w:t>评价设置原则表，本项目需设置大气专项评价。</w:t>
            </w:r>
          </w:p>
        </w:tc>
      </w:tr>
      <w:tr w14:paraId="57197B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025" w:type="dxa"/>
            <w:vAlign w:val="center"/>
          </w:tcPr>
          <w:p w14:paraId="3EC0B5FC">
            <w:pPr>
              <w:autoSpaceDE w:val="0"/>
              <w:autoSpaceDN w:val="0"/>
              <w:adjustRightInd w:val="0"/>
              <w:snapToGrid w:val="0"/>
              <w:spacing w:line="240" w:lineRule="auto"/>
              <w:jc w:val="center"/>
              <w:rPr>
                <w:b/>
                <w:bCs/>
                <w:color w:val="auto"/>
                <w:sz w:val="24"/>
                <w:highlight w:val="none"/>
              </w:rPr>
            </w:pPr>
            <w:r>
              <w:rPr>
                <w:b/>
                <w:bCs/>
                <w:color w:val="auto"/>
                <w:sz w:val="24"/>
                <w:highlight w:val="none"/>
              </w:rPr>
              <w:t>规划</w:t>
            </w:r>
          </w:p>
          <w:p w14:paraId="3B65EF6D">
            <w:pPr>
              <w:autoSpaceDE w:val="0"/>
              <w:autoSpaceDN w:val="0"/>
              <w:adjustRightInd w:val="0"/>
              <w:snapToGrid w:val="0"/>
              <w:spacing w:line="240" w:lineRule="auto"/>
              <w:jc w:val="center"/>
              <w:rPr>
                <w:b/>
                <w:bCs/>
                <w:color w:val="auto"/>
                <w:kern w:val="0"/>
                <w:sz w:val="24"/>
                <w:highlight w:val="none"/>
              </w:rPr>
            </w:pPr>
            <w:r>
              <w:rPr>
                <w:b/>
                <w:bCs/>
                <w:color w:val="auto"/>
                <w:sz w:val="24"/>
                <w:highlight w:val="none"/>
              </w:rPr>
              <w:t>情况</w:t>
            </w:r>
          </w:p>
        </w:tc>
        <w:tc>
          <w:tcPr>
            <w:tcW w:w="7944" w:type="dxa"/>
            <w:gridSpan w:val="3"/>
            <w:vAlign w:val="center"/>
          </w:tcPr>
          <w:p w14:paraId="3271DFCD">
            <w:pPr>
              <w:bidi w:val="0"/>
              <w:rPr>
                <w:rFonts w:hint="eastAsia" w:eastAsia="宋体"/>
                <w:color w:val="auto"/>
                <w:kern w:val="0"/>
                <w:highlight w:val="none"/>
                <w:lang w:val="en-US" w:eastAsia="zh-CN"/>
              </w:rPr>
            </w:pPr>
            <w:r>
              <w:rPr>
                <w:b/>
                <w:bCs/>
                <w:color w:val="auto"/>
                <w:highlight w:val="none"/>
              </w:rPr>
              <w:t>规划名称：</w:t>
            </w:r>
            <w:r>
              <w:rPr>
                <w:color w:val="auto"/>
                <w:highlight w:val="none"/>
              </w:rPr>
              <w:t>《江宁经济技术开发区总体发展规划（</w:t>
            </w:r>
            <w:r>
              <w:rPr>
                <w:rFonts w:hint="eastAsia"/>
                <w:color w:val="auto"/>
                <w:highlight w:val="none"/>
              </w:rPr>
              <w:t>2020-2035</w:t>
            </w:r>
            <w:r>
              <w:rPr>
                <w:color w:val="auto"/>
                <w:highlight w:val="none"/>
              </w:rPr>
              <w:t>）》</w:t>
            </w:r>
          </w:p>
        </w:tc>
      </w:tr>
      <w:tr w14:paraId="2DB397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5" w:type="dxa"/>
            <w:vAlign w:val="center"/>
          </w:tcPr>
          <w:p w14:paraId="23791CA6">
            <w:pPr>
              <w:adjustRightInd w:val="0"/>
              <w:snapToGrid w:val="0"/>
              <w:spacing w:line="240" w:lineRule="auto"/>
              <w:jc w:val="center"/>
              <w:rPr>
                <w:b/>
                <w:bCs/>
                <w:color w:val="auto"/>
                <w:kern w:val="0"/>
                <w:sz w:val="24"/>
                <w:highlight w:val="none"/>
              </w:rPr>
            </w:pPr>
            <w:r>
              <w:rPr>
                <w:b/>
                <w:bCs/>
                <w:color w:val="auto"/>
                <w:sz w:val="24"/>
                <w:highlight w:val="none"/>
              </w:rPr>
              <w:t>规划环境影响评价情况</w:t>
            </w:r>
          </w:p>
        </w:tc>
        <w:tc>
          <w:tcPr>
            <w:tcW w:w="7944" w:type="dxa"/>
            <w:gridSpan w:val="3"/>
            <w:vAlign w:val="center"/>
          </w:tcPr>
          <w:p w14:paraId="2887D4A4">
            <w:pPr>
              <w:bidi w:val="0"/>
              <w:rPr>
                <w:color w:val="auto"/>
                <w:highlight w:val="none"/>
              </w:rPr>
            </w:pPr>
            <w:r>
              <w:rPr>
                <w:b/>
                <w:bCs/>
                <w:color w:val="auto"/>
                <w:highlight w:val="none"/>
              </w:rPr>
              <w:t>规划环境影响评价文件：</w:t>
            </w:r>
            <w:r>
              <w:rPr>
                <w:color w:val="auto"/>
                <w:highlight w:val="none"/>
              </w:rPr>
              <w:t>《江宁经济技术开发区总体发展规划（20</w:t>
            </w:r>
            <w:r>
              <w:rPr>
                <w:rFonts w:hint="eastAsia"/>
                <w:color w:val="auto"/>
                <w:highlight w:val="none"/>
              </w:rPr>
              <w:t>20</w:t>
            </w:r>
            <w:r>
              <w:rPr>
                <w:color w:val="auto"/>
                <w:highlight w:val="none"/>
              </w:rPr>
              <w:t>-203</w:t>
            </w:r>
            <w:r>
              <w:rPr>
                <w:rFonts w:hint="eastAsia"/>
                <w:color w:val="auto"/>
                <w:highlight w:val="none"/>
              </w:rPr>
              <w:t>5</w:t>
            </w:r>
            <w:r>
              <w:rPr>
                <w:color w:val="auto"/>
                <w:highlight w:val="none"/>
              </w:rPr>
              <w:t>）环境影响报告书》</w:t>
            </w:r>
          </w:p>
          <w:p w14:paraId="1A40BD2F">
            <w:pPr>
              <w:bidi w:val="0"/>
              <w:rPr>
                <w:color w:val="auto"/>
                <w:highlight w:val="none"/>
              </w:rPr>
            </w:pPr>
            <w:r>
              <w:rPr>
                <w:b/>
                <w:bCs/>
                <w:color w:val="auto"/>
                <w:highlight w:val="none"/>
              </w:rPr>
              <w:t>召集审查机关：</w:t>
            </w:r>
            <w:r>
              <w:rPr>
                <w:color w:val="auto"/>
                <w:highlight w:val="none"/>
              </w:rPr>
              <w:t>中华人民共和国</w:t>
            </w:r>
            <w:r>
              <w:rPr>
                <w:rFonts w:hint="eastAsia"/>
                <w:color w:val="auto"/>
                <w:highlight w:val="none"/>
              </w:rPr>
              <w:t>生态环境部</w:t>
            </w:r>
          </w:p>
          <w:p w14:paraId="638FBE6E">
            <w:pPr>
              <w:bidi w:val="0"/>
              <w:rPr>
                <w:color w:val="auto"/>
                <w:highlight w:val="none"/>
              </w:rPr>
            </w:pPr>
            <w:r>
              <w:rPr>
                <w:b/>
                <w:bCs/>
                <w:color w:val="auto"/>
                <w:highlight w:val="none"/>
              </w:rPr>
              <w:t>审查文件名称：</w:t>
            </w:r>
            <w:r>
              <w:rPr>
                <w:color w:val="auto"/>
                <w:highlight w:val="none"/>
              </w:rPr>
              <w:t>关于《江宁经济技术开发区总体发展规划（20</w:t>
            </w:r>
            <w:r>
              <w:rPr>
                <w:rFonts w:hint="eastAsia"/>
                <w:color w:val="auto"/>
                <w:highlight w:val="none"/>
              </w:rPr>
              <w:t>20-</w:t>
            </w:r>
            <w:r>
              <w:rPr>
                <w:color w:val="auto"/>
                <w:highlight w:val="none"/>
              </w:rPr>
              <w:t>203</w:t>
            </w:r>
            <w:r>
              <w:rPr>
                <w:rFonts w:hint="eastAsia"/>
                <w:color w:val="auto"/>
                <w:highlight w:val="none"/>
              </w:rPr>
              <w:t>5</w:t>
            </w:r>
            <w:r>
              <w:rPr>
                <w:color w:val="auto"/>
                <w:highlight w:val="none"/>
              </w:rPr>
              <w:t>）环境影响报告书》的审查意见</w:t>
            </w:r>
          </w:p>
          <w:p w14:paraId="1375F3EA">
            <w:pPr>
              <w:bidi w:val="0"/>
              <w:rPr>
                <w:rFonts w:hint="eastAsia"/>
                <w:color w:val="auto"/>
                <w:highlight w:val="none"/>
                <w:lang w:eastAsia="zh-CN"/>
              </w:rPr>
            </w:pPr>
            <w:r>
              <w:rPr>
                <w:rFonts w:hint="eastAsia"/>
                <w:b/>
                <w:bCs/>
                <w:color w:val="auto"/>
                <w:highlight w:val="none"/>
              </w:rPr>
              <w:t>审批文号：</w:t>
            </w:r>
            <w:r>
              <w:rPr>
                <w:color w:val="auto"/>
                <w:highlight w:val="none"/>
              </w:rPr>
              <w:t>环审</w:t>
            </w:r>
            <w:r>
              <w:rPr>
                <w:rFonts w:hint="eastAsia"/>
                <w:color w:val="auto"/>
                <w:highlight w:val="none"/>
                <w:lang w:eastAsia="zh-CN"/>
              </w:rPr>
              <w:t>〔2022〕46号</w:t>
            </w:r>
          </w:p>
        </w:tc>
      </w:tr>
      <w:tr w14:paraId="0A9C9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5" w:type="dxa"/>
            <w:vAlign w:val="center"/>
          </w:tcPr>
          <w:p w14:paraId="5B49B0BB">
            <w:pPr>
              <w:autoSpaceDE w:val="0"/>
              <w:autoSpaceDN w:val="0"/>
              <w:adjustRightInd w:val="0"/>
              <w:snapToGrid w:val="0"/>
              <w:spacing w:line="240" w:lineRule="auto"/>
              <w:jc w:val="center"/>
              <w:rPr>
                <w:b/>
                <w:bCs/>
                <w:color w:val="auto"/>
                <w:kern w:val="0"/>
                <w:sz w:val="24"/>
                <w:highlight w:val="none"/>
              </w:rPr>
            </w:pPr>
            <w:r>
              <w:rPr>
                <w:b/>
                <w:bCs/>
                <w:color w:val="auto"/>
                <w:kern w:val="0"/>
                <w:sz w:val="24"/>
                <w:highlight w:val="none"/>
              </w:rPr>
              <w:t>规划及规划环境影响评价符合性</w:t>
            </w:r>
          </w:p>
          <w:p w14:paraId="2B12C26E">
            <w:pPr>
              <w:autoSpaceDE w:val="0"/>
              <w:autoSpaceDN w:val="0"/>
              <w:adjustRightInd w:val="0"/>
              <w:snapToGrid w:val="0"/>
              <w:spacing w:line="240" w:lineRule="auto"/>
              <w:jc w:val="center"/>
              <w:rPr>
                <w:color w:val="auto"/>
                <w:kern w:val="0"/>
                <w:szCs w:val="21"/>
                <w:highlight w:val="none"/>
              </w:rPr>
            </w:pPr>
            <w:r>
              <w:rPr>
                <w:b/>
                <w:bCs/>
                <w:color w:val="auto"/>
                <w:kern w:val="0"/>
                <w:sz w:val="24"/>
                <w:highlight w:val="none"/>
              </w:rPr>
              <w:t>分析</w:t>
            </w:r>
          </w:p>
        </w:tc>
        <w:tc>
          <w:tcPr>
            <w:tcW w:w="7944" w:type="dxa"/>
            <w:gridSpan w:val="3"/>
            <w:vAlign w:val="center"/>
          </w:tcPr>
          <w:p w14:paraId="49ED3046">
            <w:pPr>
              <w:bidi w:val="0"/>
              <w:ind w:firstLine="482" w:firstLineChars="200"/>
              <w:rPr>
                <w:b/>
                <w:bCs/>
                <w:color w:val="auto"/>
                <w:highlight w:val="none"/>
              </w:rPr>
            </w:pPr>
            <w:bookmarkStart w:id="1" w:name="_Hlk61892052"/>
            <w:r>
              <w:rPr>
                <w:b/>
                <w:bCs/>
                <w:color w:val="auto"/>
                <w:highlight w:val="none"/>
                <w:lang w:val="en-US" w:eastAsia="zh-CN"/>
              </w:rPr>
              <w:t>1、</w:t>
            </w:r>
            <w:r>
              <w:rPr>
                <w:rFonts w:hint="eastAsia"/>
                <w:b/>
                <w:bCs/>
                <w:color w:val="auto"/>
                <w:highlight w:val="none"/>
              </w:rPr>
              <w:t>与土地利用规划相符性分析</w:t>
            </w:r>
          </w:p>
          <w:p w14:paraId="38DCD149">
            <w:pPr>
              <w:numPr>
                <w:ilvl w:val="0"/>
                <w:numId w:val="0"/>
              </w:numPr>
              <w:bidi w:val="0"/>
              <w:ind w:firstLine="480" w:firstLineChars="200"/>
              <w:rPr>
                <w:rFonts w:ascii="Times New Roman" w:hAnsi="Times New Roman" w:eastAsia="宋体" w:cs="Times New Roman"/>
                <w:b/>
                <w:bCs/>
                <w:color w:val="auto"/>
                <w:kern w:val="2"/>
                <w:sz w:val="24"/>
                <w:szCs w:val="24"/>
                <w:highlight w:val="none"/>
                <w:lang w:val="en-US" w:eastAsia="zh-CN" w:bidi="ar-SA"/>
              </w:rPr>
            </w:pPr>
            <w:r>
              <w:rPr>
                <w:rFonts w:hint="eastAsia"/>
                <w:color w:val="auto"/>
                <w:highlight w:val="none"/>
              </w:rPr>
              <w:t>本项目位于</w:t>
            </w:r>
            <w:r>
              <w:rPr>
                <w:rFonts w:hint="eastAsia"/>
                <w:color w:val="auto"/>
                <w:highlight w:val="none"/>
                <w:lang w:eastAsia="zh-CN"/>
              </w:rPr>
              <w:t>南京市江宁区高新园龙眠大道578号</w:t>
            </w:r>
            <w:r>
              <w:rPr>
                <w:rFonts w:hint="eastAsia"/>
                <w:color w:val="auto"/>
                <w:highlight w:val="none"/>
              </w:rPr>
              <w:t>，根据</w:t>
            </w:r>
            <w:r>
              <w:rPr>
                <w:rFonts w:hint="eastAsia"/>
                <w:color w:val="auto"/>
                <w:highlight w:val="none"/>
                <w:lang w:val="en-US" w:eastAsia="zh-CN"/>
              </w:rPr>
              <w:t>企业</w:t>
            </w:r>
            <w:r>
              <w:rPr>
                <w:rFonts w:hint="eastAsia"/>
                <w:color w:val="auto"/>
                <w:highlight w:val="none"/>
              </w:rPr>
              <w:t>提供的</w:t>
            </w:r>
            <w:r>
              <w:rPr>
                <w:rFonts w:hint="eastAsia"/>
                <w:color w:val="auto"/>
                <w:highlight w:val="none"/>
                <w:lang w:val="en-US" w:eastAsia="zh-CN"/>
              </w:rPr>
              <w:t>不动产权</w:t>
            </w:r>
            <w:r>
              <w:rPr>
                <w:rFonts w:hint="eastAsia"/>
                <w:color w:val="auto"/>
                <w:highlight w:val="none"/>
              </w:rPr>
              <w:t>证（附件</w:t>
            </w:r>
            <w:r>
              <w:rPr>
                <w:rFonts w:hint="eastAsia"/>
                <w:color w:val="auto"/>
                <w:highlight w:val="none"/>
                <w:lang w:val="en-US" w:eastAsia="zh-CN"/>
              </w:rPr>
              <w:t>5</w:t>
            </w:r>
            <w:r>
              <w:rPr>
                <w:rFonts w:hint="eastAsia"/>
                <w:color w:val="auto"/>
                <w:highlight w:val="none"/>
              </w:rPr>
              <w:t>），项目所在地块用地类型为</w:t>
            </w:r>
            <w:r>
              <w:rPr>
                <w:rFonts w:hint="eastAsia"/>
                <w:color w:val="auto"/>
                <w:highlight w:val="none"/>
                <w:lang w:val="en-US" w:eastAsia="zh-CN"/>
              </w:rPr>
              <w:t>科教</w:t>
            </w:r>
            <w:r>
              <w:rPr>
                <w:rFonts w:hint="eastAsia"/>
                <w:color w:val="auto"/>
                <w:highlight w:val="none"/>
              </w:rPr>
              <w:t>用地。根据《江宁经济技术开发区总体发展</w:t>
            </w:r>
            <w:sdt>
              <w:sdtPr>
                <w:rPr>
                  <w:color w:val="auto"/>
                  <w:highlight w:val="none"/>
                </w:rPr>
                <w:alias w:val="敏感词检查"/>
                <w:tag w:val="auto"/>
                <w:id w:val="3160446"/>
              </w:sdtPr>
              <w:sdtEndPr>
                <w:rPr>
                  <w:color w:val="auto"/>
                  <w:highlight w:val="none"/>
                </w:rPr>
              </w:sdtEndPr>
              <w:sdtContent>
                <w:bookmarkStart w:id="2" w:name="bkPolitics3160446"/>
                <w:r>
                  <w:rPr>
                    <w:rFonts w:hint="eastAsia"/>
                    <w:color w:val="auto"/>
                    <w:highlight w:val="none"/>
                  </w:rPr>
                  <w:t>规划（2020-2035）</w:t>
                </w:r>
                <w:bookmarkEnd w:id="2"/>
              </w:sdtContent>
            </w:sdt>
            <w:r>
              <w:rPr>
                <w:rFonts w:hint="eastAsia"/>
                <w:color w:val="auto"/>
                <w:highlight w:val="none"/>
              </w:rPr>
              <w:t>环境影响评价报告书》中</w:t>
            </w:r>
            <w:r>
              <w:rPr>
                <w:rFonts w:hint="eastAsia"/>
                <w:color w:val="auto"/>
                <w:highlight w:val="none"/>
                <w:lang w:eastAsia="zh-CN"/>
              </w:rPr>
              <w:t>江宁经济技术开发区</w:t>
            </w:r>
            <w:r>
              <w:rPr>
                <w:rFonts w:hint="eastAsia"/>
                <w:color w:val="auto"/>
                <w:highlight w:val="none"/>
              </w:rPr>
              <w:t>近期土地利用规划图-2025年（附图</w:t>
            </w:r>
            <w:r>
              <w:rPr>
                <w:rFonts w:hint="eastAsia"/>
                <w:color w:val="auto"/>
                <w:highlight w:val="none"/>
                <w:lang w:val="en-US" w:eastAsia="zh-CN"/>
              </w:rPr>
              <w:t>7</w:t>
            </w:r>
            <w:r>
              <w:rPr>
                <w:rFonts w:hint="eastAsia"/>
                <w:color w:val="auto"/>
                <w:highlight w:val="none"/>
              </w:rPr>
              <w:t>）</w:t>
            </w:r>
            <w:r>
              <w:rPr>
                <w:rFonts w:hint="eastAsia"/>
                <w:color w:val="auto"/>
                <w:highlight w:val="none"/>
                <w:lang w:eastAsia="zh-CN"/>
              </w:rPr>
              <w:t>、江宁经济技术开发区</w:t>
            </w:r>
            <w:r>
              <w:rPr>
                <w:rFonts w:hint="eastAsia"/>
                <w:color w:val="auto"/>
                <w:highlight w:val="none"/>
                <w:lang w:val="en-US" w:eastAsia="zh-CN"/>
              </w:rPr>
              <w:t>远</w:t>
            </w:r>
            <w:r>
              <w:rPr>
                <w:rFonts w:hint="eastAsia"/>
                <w:color w:val="auto"/>
                <w:highlight w:val="none"/>
              </w:rPr>
              <w:t>期土地利用规划图-20</w:t>
            </w:r>
            <w:r>
              <w:rPr>
                <w:rFonts w:hint="eastAsia"/>
                <w:color w:val="auto"/>
                <w:highlight w:val="none"/>
                <w:lang w:val="en-US" w:eastAsia="zh-CN"/>
              </w:rPr>
              <w:t>3</w:t>
            </w:r>
            <w:r>
              <w:rPr>
                <w:rFonts w:hint="eastAsia"/>
                <w:color w:val="auto"/>
                <w:highlight w:val="none"/>
              </w:rPr>
              <w:t>5年（附图</w:t>
            </w:r>
            <w:r>
              <w:rPr>
                <w:rFonts w:hint="eastAsia"/>
                <w:color w:val="auto"/>
                <w:highlight w:val="none"/>
                <w:lang w:val="en-US" w:eastAsia="zh-CN"/>
              </w:rPr>
              <w:t>8</w:t>
            </w:r>
            <w:r>
              <w:rPr>
                <w:rFonts w:hint="eastAsia"/>
                <w:color w:val="auto"/>
                <w:highlight w:val="none"/>
              </w:rPr>
              <w:t>），项目所在地块</w:t>
            </w:r>
            <w:r>
              <w:rPr>
                <w:rFonts w:hint="eastAsia"/>
                <w:color w:val="auto"/>
                <w:highlight w:val="none"/>
                <w:lang w:val="en-US" w:eastAsia="zh-CN"/>
              </w:rPr>
              <w:t>为</w:t>
            </w:r>
            <w:r>
              <w:rPr>
                <w:rFonts w:hint="eastAsia"/>
                <w:color w:val="auto"/>
                <w:sz w:val="24"/>
                <w:highlight w:val="none"/>
                <w:lang w:val="en-US" w:eastAsia="zh-CN"/>
              </w:rPr>
              <w:t>科研设计</w:t>
            </w:r>
            <w:r>
              <w:rPr>
                <w:rFonts w:hint="eastAsia" w:ascii="Times New Roman" w:hAnsi="Times New Roman" w:eastAsia="宋体"/>
                <w:color w:val="auto"/>
                <w:sz w:val="24"/>
                <w:highlight w:val="none"/>
              </w:rPr>
              <w:t>用地</w:t>
            </w:r>
            <w:r>
              <w:rPr>
                <w:rFonts w:hint="eastAsia"/>
                <w:color w:val="auto"/>
                <w:highlight w:val="none"/>
              </w:rPr>
              <w:t>。</w:t>
            </w:r>
            <w:r>
              <w:rPr>
                <w:rFonts w:hint="eastAsia"/>
                <w:color w:val="auto"/>
                <w:highlight w:val="none"/>
                <w:lang w:val="en-US" w:eastAsia="zh-CN"/>
              </w:rPr>
              <w:t>综上，</w:t>
            </w:r>
            <w:r>
              <w:rPr>
                <w:rFonts w:hint="eastAsia"/>
                <w:color w:val="auto"/>
                <w:highlight w:val="none"/>
              </w:rPr>
              <w:t>本项目与用地规划相符。</w:t>
            </w:r>
          </w:p>
          <w:p w14:paraId="7D508903">
            <w:pPr>
              <w:numPr>
                <w:ilvl w:val="0"/>
                <w:numId w:val="0"/>
              </w:numPr>
              <w:bidi w:val="0"/>
              <w:ind w:firstLine="482" w:firstLineChars="200"/>
              <w:rPr>
                <w:b/>
                <w:bCs/>
                <w:color w:val="auto"/>
                <w:highlight w:val="none"/>
              </w:rPr>
            </w:pPr>
            <w:r>
              <w:rPr>
                <w:rFonts w:hint="eastAsia" w:cs="Times New Roman"/>
                <w:b/>
                <w:bCs/>
                <w:color w:val="auto"/>
                <w:kern w:val="2"/>
                <w:sz w:val="24"/>
                <w:szCs w:val="24"/>
                <w:highlight w:val="none"/>
                <w:lang w:val="en-US" w:eastAsia="zh-CN" w:bidi="ar-SA"/>
              </w:rPr>
              <w:t>2</w:t>
            </w:r>
            <w:r>
              <w:rPr>
                <w:rFonts w:ascii="Times New Roman" w:hAnsi="Times New Roman" w:eastAsia="宋体" w:cs="Times New Roman"/>
                <w:b/>
                <w:bCs/>
                <w:color w:val="auto"/>
                <w:kern w:val="2"/>
                <w:sz w:val="24"/>
                <w:szCs w:val="24"/>
                <w:highlight w:val="none"/>
                <w:lang w:val="en-US" w:eastAsia="zh-CN" w:bidi="ar-SA"/>
              </w:rPr>
              <w:t>、</w:t>
            </w:r>
            <w:r>
              <w:rPr>
                <w:rFonts w:hint="eastAsia"/>
                <w:b/>
                <w:bCs/>
                <w:color w:val="auto"/>
                <w:highlight w:val="none"/>
              </w:rPr>
              <w:t>与规划</w:t>
            </w:r>
            <w:r>
              <w:rPr>
                <w:rFonts w:hint="eastAsia"/>
                <w:b/>
                <w:bCs/>
                <w:color w:val="auto"/>
                <w:highlight w:val="none"/>
                <w:lang w:val="en-US" w:eastAsia="zh-CN"/>
              </w:rPr>
              <w:t>产业政策</w:t>
            </w:r>
            <w:r>
              <w:rPr>
                <w:rFonts w:hint="eastAsia"/>
                <w:b/>
                <w:bCs/>
                <w:color w:val="auto"/>
                <w:highlight w:val="none"/>
              </w:rPr>
              <w:t>相符性分析</w:t>
            </w:r>
          </w:p>
          <w:p w14:paraId="2C6A0DBC">
            <w:pPr>
              <w:numPr>
                <w:ilvl w:val="0"/>
                <w:numId w:val="0"/>
              </w:numPr>
              <w:bidi w:val="0"/>
              <w:ind w:firstLine="480" w:firstLineChars="200"/>
              <w:rPr>
                <w:rFonts w:hint="eastAsia" w:eastAsia="宋体"/>
                <w:color w:val="auto"/>
                <w:highlight w:val="none"/>
                <w:lang w:eastAsia="zh-CN"/>
              </w:rPr>
            </w:pPr>
            <w:r>
              <w:rPr>
                <w:rFonts w:hint="eastAsia"/>
                <w:color w:val="auto"/>
                <w:highlight w:val="none"/>
              </w:rPr>
              <w:t>本项目位于</w:t>
            </w:r>
            <w:r>
              <w:rPr>
                <w:rFonts w:hint="eastAsia"/>
                <w:color w:val="auto"/>
                <w:highlight w:val="none"/>
                <w:lang w:eastAsia="zh-CN"/>
              </w:rPr>
              <w:t>南京市江宁区高新园龙眠大道578号</w:t>
            </w:r>
            <w:r>
              <w:rPr>
                <w:rFonts w:hint="eastAsia"/>
                <w:color w:val="auto"/>
                <w:highlight w:val="none"/>
              </w:rPr>
              <w:t>，属于</w:t>
            </w:r>
            <w:r>
              <w:rPr>
                <w:rFonts w:hint="eastAsia"/>
                <w:color w:val="auto"/>
                <w:highlight w:val="none"/>
                <w:lang w:eastAsia="zh-CN"/>
              </w:rPr>
              <w:t>江宁经济技术开发区</w:t>
            </w:r>
            <w:r>
              <w:rPr>
                <w:rFonts w:hint="eastAsia"/>
                <w:color w:val="auto"/>
                <w:highlight w:val="none"/>
              </w:rPr>
              <w:t>规划中的淳化-湖熟片区，其鼓励发展的产业政策和限制、禁止发展的产业清单如下表</w:t>
            </w:r>
            <w:r>
              <w:rPr>
                <w:rFonts w:hint="eastAsia"/>
                <w:color w:val="auto"/>
                <w:highlight w:val="none"/>
                <w:lang w:eastAsia="zh-CN"/>
              </w:rPr>
              <w:t>。</w:t>
            </w:r>
          </w:p>
          <w:p w14:paraId="599661CA">
            <w:pPr>
              <w:pStyle w:val="43"/>
              <w:rPr>
                <w:color w:val="auto"/>
                <w:highlight w:val="none"/>
              </w:rPr>
            </w:pPr>
            <w:r>
              <w:rPr>
                <w:rFonts w:hint="eastAsia"/>
                <w:color w:val="auto"/>
                <w:highlight w:val="none"/>
              </w:rPr>
              <w:t>淳化-湖熟片区鼓励发展的产业建议和禁止发展的产业清单</w:t>
            </w:r>
          </w:p>
          <w:tbl>
            <w:tblPr>
              <w:tblStyle w:val="32"/>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1069"/>
              <w:gridCol w:w="3890"/>
              <w:gridCol w:w="2767"/>
            </w:tblGrid>
            <w:tr w14:paraId="2F2E264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692" w:type="pct"/>
                  <w:tcBorders>
                    <w:tl2br w:val="nil"/>
                    <w:tr2bl w:val="nil"/>
                  </w:tcBorders>
                  <w:noWrap w:val="0"/>
                  <w:vAlign w:val="center"/>
                </w:tcPr>
                <w:p w14:paraId="52234AB4">
                  <w:pPr>
                    <w:pStyle w:val="41"/>
                    <w:bidi w:val="0"/>
                    <w:rPr>
                      <w:rFonts w:hint="eastAsia" w:eastAsia="宋体"/>
                      <w:b/>
                      <w:bCs/>
                      <w:color w:val="auto"/>
                      <w:highlight w:val="none"/>
                      <w:lang w:val="en-US" w:eastAsia="zh-CN"/>
                    </w:rPr>
                  </w:pPr>
                  <w:r>
                    <w:rPr>
                      <w:rFonts w:hint="eastAsia"/>
                      <w:b/>
                      <w:bCs/>
                      <w:color w:val="auto"/>
                      <w:highlight w:val="none"/>
                      <w:lang w:val="en-US" w:eastAsia="zh-CN"/>
                    </w:rPr>
                    <w:t>类别</w:t>
                  </w:r>
                </w:p>
              </w:tc>
              <w:tc>
                <w:tcPr>
                  <w:tcW w:w="2517" w:type="pct"/>
                  <w:tcBorders>
                    <w:tl2br w:val="nil"/>
                    <w:tr2bl w:val="nil"/>
                  </w:tcBorders>
                  <w:noWrap w:val="0"/>
                  <w:vAlign w:val="center"/>
                </w:tcPr>
                <w:p w14:paraId="3181B390">
                  <w:pPr>
                    <w:pStyle w:val="41"/>
                    <w:bidi w:val="0"/>
                    <w:rPr>
                      <w:rFonts w:hint="default"/>
                      <w:b/>
                      <w:bCs/>
                      <w:color w:val="auto"/>
                      <w:highlight w:val="none"/>
                      <w:lang w:val="en-US" w:eastAsia="zh-CN"/>
                    </w:rPr>
                  </w:pPr>
                  <w:r>
                    <w:rPr>
                      <w:rFonts w:hint="eastAsia"/>
                      <w:b/>
                      <w:bCs/>
                      <w:color w:val="auto"/>
                      <w:highlight w:val="none"/>
                      <w:lang w:val="en-US" w:eastAsia="zh-CN"/>
                    </w:rPr>
                    <w:t>具体要求</w:t>
                  </w:r>
                </w:p>
              </w:tc>
              <w:tc>
                <w:tcPr>
                  <w:tcW w:w="1790" w:type="pct"/>
                  <w:tcBorders>
                    <w:tl2br w:val="nil"/>
                    <w:tr2bl w:val="nil"/>
                  </w:tcBorders>
                  <w:noWrap w:val="0"/>
                  <w:vAlign w:val="center"/>
                </w:tcPr>
                <w:p w14:paraId="75167663">
                  <w:pPr>
                    <w:pStyle w:val="41"/>
                    <w:bidi w:val="0"/>
                    <w:jc w:val="center"/>
                    <w:rPr>
                      <w:rFonts w:hint="eastAsia"/>
                      <w:color w:val="auto"/>
                      <w:highlight w:val="none"/>
                      <w:lang w:eastAsia="zh-CN"/>
                    </w:rPr>
                  </w:pPr>
                  <w:r>
                    <w:rPr>
                      <w:rFonts w:hint="eastAsia"/>
                      <w:b/>
                      <w:bCs/>
                      <w:color w:val="auto"/>
                      <w:highlight w:val="none"/>
                      <w:lang w:val="en-US" w:eastAsia="zh-CN"/>
                    </w:rPr>
                    <w:t>本项目情况</w:t>
                  </w:r>
                </w:p>
              </w:tc>
            </w:tr>
            <w:tr w14:paraId="3309197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0" w:hRule="atLeast"/>
              </w:trPr>
              <w:tc>
                <w:tcPr>
                  <w:tcW w:w="692" w:type="pct"/>
                  <w:tcBorders>
                    <w:tl2br w:val="nil"/>
                    <w:tr2bl w:val="nil"/>
                  </w:tcBorders>
                  <w:noWrap w:val="0"/>
                  <w:vAlign w:val="center"/>
                </w:tcPr>
                <w:p w14:paraId="1B66D8C9">
                  <w:pPr>
                    <w:pStyle w:val="41"/>
                    <w:bidi w:val="0"/>
                    <w:rPr>
                      <w:rFonts w:hint="eastAsia"/>
                      <w:color w:val="auto"/>
                      <w:highlight w:val="none"/>
                      <w:lang w:val="en-US" w:eastAsia="zh-CN"/>
                    </w:rPr>
                  </w:pPr>
                  <w:r>
                    <w:rPr>
                      <w:rFonts w:hint="eastAsia"/>
                      <w:b/>
                      <w:bCs/>
                      <w:color w:val="auto"/>
                      <w:highlight w:val="none"/>
                      <w:lang w:val="en-US" w:eastAsia="zh-CN"/>
                    </w:rPr>
                    <w:t>主导产业发展方向</w:t>
                  </w:r>
                </w:p>
              </w:tc>
              <w:tc>
                <w:tcPr>
                  <w:tcW w:w="2517" w:type="pct"/>
                  <w:tcBorders>
                    <w:tl2br w:val="nil"/>
                    <w:tr2bl w:val="nil"/>
                  </w:tcBorders>
                  <w:noWrap w:val="0"/>
                  <w:vAlign w:val="center"/>
                </w:tcPr>
                <w:p w14:paraId="2D291063">
                  <w:pPr>
                    <w:pStyle w:val="41"/>
                    <w:bidi w:val="0"/>
                    <w:jc w:val="left"/>
                    <w:rPr>
                      <w:rFonts w:hint="eastAsia"/>
                      <w:color w:val="auto"/>
                      <w:highlight w:val="none"/>
                      <w:lang w:val="en-US" w:eastAsia="zh-CN"/>
                    </w:rPr>
                  </w:pPr>
                  <w:r>
                    <w:rPr>
                      <w:rFonts w:hint="eastAsia"/>
                      <w:color w:val="auto"/>
                      <w:highlight w:val="none"/>
                    </w:rPr>
                    <w:t>生物医药、新能源、高端装备制造、节能环保和新材料等</w:t>
                  </w:r>
                </w:p>
              </w:tc>
              <w:tc>
                <w:tcPr>
                  <w:tcW w:w="1790" w:type="pct"/>
                  <w:tcBorders>
                    <w:tl2br w:val="nil"/>
                    <w:tr2bl w:val="nil"/>
                  </w:tcBorders>
                  <w:noWrap w:val="0"/>
                  <w:vAlign w:val="center"/>
                </w:tcPr>
                <w:p w14:paraId="68318025">
                  <w:pPr>
                    <w:pStyle w:val="41"/>
                    <w:bidi w:val="0"/>
                    <w:jc w:val="left"/>
                    <w:rPr>
                      <w:rFonts w:hint="default" w:eastAsia="宋体"/>
                      <w:color w:val="auto"/>
                      <w:highlight w:val="none"/>
                      <w:lang w:val="en-US" w:eastAsia="zh-CN"/>
                    </w:rPr>
                  </w:pPr>
                  <w:r>
                    <w:rPr>
                      <w:rFonts w:hint="eastAsia"/>
                      <w:color w:val="auto"/>
                      <w:highlight w:val="none"/>
                    </w:rPr>
                    <w:t>本项目</w:t>
                  </w:r>
                  <w:r>
                    <w:rPr>
                      <w:rFonts w:hint="eastAsia"/>
                      <w:color w:val="auto"/>
                      <w:highlight w:val="none"/>
                      <w:lang w:val="en-US" w:eastAsia="zh-CN"/>
                    </w:rPr>
                    <w:t>主要进行中药研发</w:t>
                  </w:r>
                  <w:r>
                    <w:rPr>
                      <w:rFonts w:hint="eastAsia"/>
                      <w:color w:val="auto"/>
                      <w:highlight w:val="none"/>
                      <w:lang w:eastAsia="zh-CN"/>
                    </w:rPr>
                    <w:t>，</w:t>
                  </w:r>
                  <w:r>
                    <w:rPr>
                      <w:rFonts w:hint="eastAsia"/>
                      <w:color w:val="auto"/>
                      <w:highlight w:val="none"/>
                      <w:lang w:val="en-US" w:eastAsia="zh-CN"/>
                    </w:rPr>
                    <w:t>不属于主导产业。</w:t>
                  </w:r>
                </w:p>
              </w:tc>
            </w:tr>
            <w:tr w14:paraId="5863E9F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0" w:hRule="atLeast"/>
              </w:trPr>
              <w:tc>
                <w:tcPr>
                  <w:tcW w:w="692" w:type="pct"/>
                  <w:tcBorders>
                    <w:tl2br w:val="nil"/>
                    <w:tr2bl w:val="nil"/>
                  </w:tcBorders>
                  <w:noWrap w:val="0"/>
                  <w:vAlign w:val="center"/>
                </w:tcPr>
                <w:p w14:paraId="26B5D22F">
                  <w:pPr>
                    <w:pStyle w:val="41"/>
                    <w:bidi w:val="0"/>
                    <w:rPr>
                      <w:rFonts w:hint="eastAsia"/>
                      <w:b/>
                      <w:bCs/>
                      <w:color w:val="auto"/>
                      <w:highlight w:val="none"/>
                      <w:lang w:val="en-US" w:eastAsia="zh-CN"/>
                    </w:rPr>
                  </w:pPr>
                  <w:r>
                    <w:rPr>
                      <w:rFonts w:hint="eastAsia"/>
                      <w:b/>
                      <w:bCs/>
                      <w:color w:val="auto"/>
                      <w:highlight w:val="none"/>
                      <w:lang w:val="en-US" w:eastAsia="zh-CN"/>
                    </w:rPr>
                    <w:t>重点发展</w:t>
                  </w:r>
                </w:p>
              </w:tc>
              <w:tc>
                <w:tcPr>
                  <w:tcW w:w="2517" w:type="pct"/>
                  <w:tcBorders>
                    <w:tl2br w:val="nil"/>
                    <w:tr2bl w:val="nil"/>
                  </w:tcBorders>
                  <w:noWrap w:val="0"/>
                  <w:vAlign w:val="center"/>
                </w:tcPr>
                <w:p w14:paraId="5CB740F6">
                  <w:pPr>
                    <w:pStyle w:val="41"/>
                    <w:bidi w:val="0"/>
                    <w:jc w:val="left"/>
                    <w:rPr>
                      <w:rFonts w:hint="eastAsia"/>
                      <w:b w:val="0"/>
                      <w:bCs w:val="0"/>
                      <w:color w:val="auto"/>
                      <w:highlight w:val="none"/>
                      <w:lang w:eastAsia="zh-CN"/>
                    </w:rPr>
                  </w:pPr>
                  <w:r>
                    <w:rPr>
                      <w:rFonts w:hint="eastAsia"/>
                      <w:b/>
                      <w:bCs/>
                      <w:color w:val="auto"/>
                      <w:highlight w:val="none"/>
                    </w:rPr>
                    <w:t>生物医药</w:t>
                  </w:r>
                  <w:r>
                    <w:rPr>
                      <w:rFonts w:hint="eastAsia"/>
                      <w:b/>
                      <w:bCs/>
                      <w:color w:val="auto"/>
                      <w:highlight w:val="none"/>
                      <w:lang w:eastAsia="zh-CN"/>
                    </w:rPr>
                    <w:t>：</w:t>
                  </w:r>
                  <w:r>
                    <w:rPr>
                      <w:rFonts w:hint="eastAsia"/>
                      <w:b w:val="0"/>
                      <w:bCs w:val="0"/>
                      <w:color w:val="auto"/>
                      <w:highlight w:val="none"/>
                    </w:rPr>
                    <w:t>生物药</w:t>
                  </w:r>
                  <w:r>
                    <w:rPr>
                      <w:rFonts w:hint="eastAsia"/>
                      <w:b w:val="0"/>
                      <w:bCs w:val="0"/>
                      <w:color w:val="auto"/>
                      <w:highlight w:val="none"/>
                      <w:lang w:eastAsia="zh-CN"/>
                    </w:rPr>
                    <w:t>（</w:t>
                  </w:r>
                  <w:r>
                    <w:rPr>
                      <w:rFonts w:hint="eastAsia"/>
                      <w:b w:val="0"/>
                      <w:bCs w:val="0"/>
                      <w:color w:val="auto"/>
                      <w:highlight w:val="none"/>
                    </w:rPr>
                    <w:t>抗体药物、抗体偶连药物</w:t>
                  </w:r>
                  <w:r>
                    <w:rPr>
                      <w:rFonts w:hint="eastAsia"/>
                      <w:b w:val="0"/>
                      <w:bCs w:val="0"/>
                      <w:color w:val="auto"/>
                      <w:highlight w:val="none"/>
                      <w:lang w:eastAsia="zh-CN"/>
                    </w:rPr>
                    <w:t>（</w:t>
                  </w:r>
                  <w:r>
                    <w:rPr>
                      <w:rFonts w:hint="eastAsia"/>
                      <w:b w:val="0"/>
                      <w:bCs w:val="0"/>
                      <w:color w:val="auto"/>
                      <w:highlight w:val="none"/>
                    </w:rPr>
                    <w:t>ADC</w:t>
                  </w:r>
                  <w:r>
                    <w:rPr>
                      <w:rFonts w:hint="eastAsia"/>
                      <w:b w:val="0"/>
                      <w:bCs w:val="0"/>
                      <w:color w:val="auto"/>
                      <w:highlight w:val="none"/>
                      <w:lang w:eastAsia="zh-CN"/>
                    </w:rPr>
                    <w:t>）</w:t>
                  </w:r>
                  <w:r>
                    <w:rPr>
                      <w:rFonts w:hint="eastAsia"/>
                      <w:b w:val="0"/>
                      <w:bCs w:val="0"/>
                      <w:color w:val="auto"/>
                      <w:highlight w:val="none"/>
                    </w:rPr>
                    <w:t>、全新结构蛋白及多</w:t>
                  </w:r>
                  <w:r>
                    <w:rPr>
                      <w:rFonts w:hint="eastAsia"/>
                      <w:b w:val="0"/>
                      <w:bCs w:val="0"/>
                      <w:color w:val="auto"/>
                      <w:highlight w:val="none"/>
                      <w:lang w:val="en-US" w:eastAsia="zh-CN"/>
                    </w:rPr>
                    <w:t>肽</w:t>
                  </w:r>
                  <w:r>
                    <w:rPr>
                      <w:rFonts w:hint="eastAsia"/>
                      <w:b w:val="0"/>
                      <w:bCs w:val="0"/>
                      <w:color w:val="auto"/>
                      <w:highlight w:val="none"/>
                    </w:rPr>
                    <w:t>药物、融合蛋白、多</w:t>
                  </w:r>
                  <w:r>
                    <w:rPr>
                      <w:rFonts w:hint="eastAsia"/>
                      <w:b w:val="0"/>
                      <w:bCs w:val="0"/>
                      <w:color w:val="auto"/>
                      <w:highlight w:val="none"/>
                      <w:lang w:val="en-US" w:eastAsia="zh-CN"/>
                    </w:rPr>
                    <w:t>肽</w:t>
                  </w:r>
                  <w:r>
                    <w:rPr>
                      <w:rFonts w:hint="eastAsia"/>
                      <w:b w:val="0"/>
                      <w:bCs w:val="0"/>
                      <w:color w:val="auto"/>
                      <w:highlight w:val="none"/>
                    </w:rPr>
                    <w:t>药物、核酸药物及系统靶点药物等</w:t>
                  </w:r>
                  <w:r>
                    <w:rPr>
                      <w:rFonts w:hint="eastAsia"/>
                      <w:b w:val="0"/>
                      <w:bCs w:val="0"/>
                      <w:color w:val="auto"/>
                      <w:highlight w:val="none"/>
                      <w:lang w:eastAsia="zh-CN"/>
                    </w:rPr>
                    <w:t>）</w:t>
                  </w:r>
                  <w:r>
                    <w:rPr>
                      <w:rFonts w:hint="eastAsia"/>
                      <w:b w:val="0"/>
                      <w:bCs w:val="0"/>
                      <w:color w:val="auto"/>
                      <w:highlight w:val="none"/>
                    </w:rPr>
                    <w:t>、新型化药</w:t>
                  </w:r>
                  <w:r>
                    <w:rPr>
                      <w:rFonts w:hint="eastAsia"/>
                      <w:b w:val="0"/>
                      <w:bCs w:val="0"/>
                      <w:color w:val="auto"/>
                      <w:highlight w:val="none"/>
                      <w:lang w:eastAsia="zh-CN"/>
                    </w:rPr>
                    <w:t>（</w:t>
                  </w:r>
                  <w:r>
                    <w:rPr>
                      <w:rFonts w:hint="eastAsia"/>
                      <w:b w:val="0"/>
                      <w:bCs w:val="0"/>
                      <w:color w:val="auto"/>
                      <w:highlight w:val="none"/>
                    </w:rPr>
                    <w:t>新机制、新靶点、新结构，新剂型、药物缓控释技术、给药新技术等</w:t>
                  </w:r>
                  <w:r>
                    <w:rPr>
                      <w:rFonts w:hint="eastAsia"/>
                      <w:b w:val="0"/>
                      <w:bCs w:val="0"/>
                      <w:color w:val="auto"/>
                      <w:highlight w:val="none"/>
                      <w:lang w:eastAsia="zh-CN"/>
                    </w:rPr>
                    <w:t>）</w:t>
                  </w:r>
                  <w:r>
                    <w:rPr>
                      <w:rFonts w:hint="eastAsia"/>
                      <w:b w:val="0"/>
                      <w:bCs w:val="0"/>
                      <w:color w:val="auto"/>
                      <w:highlight w:val="none"/>
                    </w:rPr>
                    <w:t>、细胞与基因治疗</w:t>
                  </w:r>
                  <w:r>
                    <w:rPr>
                      <w:rFonts w:hint="eastAsia"/>
                      <w:b w:val="0"/>
                      <w:bCs w:val="0"/>
                      <w:color w:val="auto"/>
                      <w:highlight w:val="none"/>
                      <w:lang w:eastAsia="zh-CN"/>
                    </w:rPr>
                    <w:t>（</w:t>
                  </w:r>
                  <w:r>
                    <w:rPr>
                      <w:rFonts w:hint="eastAsia"/>
                      <w:b w:val="0"/>
                      <w:bCs w:val="0"/>
                      <w:color w:val="auto"/>
                      <w:highlight w:val="none"/>
                    </w:rPr>
                    <w:t>基因工程药物、以CAR</w:t>
                  </w:r>
                  <w:r>
                    <w:rPr>
                      <w:rFonts w:hint="eastAsia"/>
                      <w:b w:val="0"/>
                      <w:bCs w:val="0"/>
                      <w:color w:val="auto"/>
                      <w:highlight w:val="none"/>
                      <w:lang w:val="en-US" w:eastAsia="zh-CN"/>
                    </w:rPr>
                    <w:t>-</w:t>
                  </w:r>
                  <w:r>
                    <w:rPr>
                      <w:rFonts w:hint="eastAsia"/>
                      <w:b w:val="0"/>
                      <w:bCs w:val="0"/>
                      <w:color w:val="auto"/>
                      <w:highlight w:val="none"/>
                    </w:rPr>
                    <w:t>T技术为代表的免疫细胞治疗、干细胞药物、</w:t>
                  </w:r>
                  <w:r>
                    <w:rPr>
                      <w:rFonts w:hint="eastAsia"/>
                      <w:b w:val="0"/>
                      <w:bCs w:val="0"/>
                      <w:color w:val="auto"/>
                      <w:highlight w:val="none"/>
                      <w:lang w:eastAsia="zh-CN"/>
                    </w:rPr>
                    <w:t>基</w:t>
                  </w:r>
                  <w:r>
                    <w:rPr>
                      <w:rFonts w:hint="eastAsia"/>
                      <w:b w:val="0"/>
                      <w:bCs w:val="0"/>
                      <w:color w:val="auto"/>
                      <w:highlight w:val="none"/>
                    </w:rPr>
                    <w:t>因检测、基因编辑等</w:t>
                  </w:r>
                  <w:r>
                    <w:rPr>
                      <w:rFonts w:hint="eastAsia"/>
                      <w:b w:val="0"/>
                      <w:bCs w:val="0"/>
                      <w:color w:val="auto"/>
                      <w:highlight w:val="none"/>
                      <w:lang w:eastAsia="zh-CN"/>
                    </w:rPr>
                    <w:t>）</w:t>
                  </w:r>
                  <w:r>
                    <w:rPr>
                      <w:rFonts w:hint="eastAsia"/>
                      <w:b w:val="0"/>
                      <w:bCs w:val="0"/>
                      <w:color w:val="auto"/>
                      <w:highlight w:val="none"/>
                    </w:rPr>
                    <w:t>、新型疫苗</w:t>
                  </w:r>
                  <w:r>
                    <w:rPr>
                      <w:rFonts w:hint="eastAsia"/>
                      <w:b w:val="0"/>
                      <w:bCs w:val="0"/>
                      <w:color w:val="auto"/>
                      <w:highlight w:val="none"/>
                      <w:lang w:eastAsia="zh-CN"/>
                    </w:rPr>
                    <w:t>（</w:t>
                  </w:r>
                  <w:r>
                    <w:rPr>
                      <w:rFonts w:hint="eastAsia"/>
                      <w:b w:val="0"/>
                      <w:bCs w:val="0"/>
                      <w:color w:val="auto"/>
                      <w:highlight w:val="none"/>
                    </w:rPr>
                    <w:t>单位疫苗、合成</w:t>
                  </w:r>
                  <w:r>
                    <w:rPr>
                      <w:rFonts w:hint="eastAsia"/>
                      <w:b w:val="0"/>
                      <w:bCs w:val="0"/>
                      <w:color w:val="auto"/>
                      <w:highlight w:val="none"/>
                      <w:lang w:val="en-US" w:eastAsia="zh-CN"/>
                    </w:rPr>
                    <w:t>肽</w:t>
                  </w:r>
                  <w:r>
                    <w:rPr>
                      <w:rFonts w:hint="eastAsia"/>
                      <w:b w:val="0"/>
                      <w:bCs w:val="0"/>
                      <w:color w:val="auto"/>
                      <w:highlight w:val="none"/>
                    </w:rPr>
                    <w:t>疫苗、抗体疫苗、基因工程疫苗、核酸疫苗等</w:t>
                  </w:r>
                  <w:r>
                    <w:rPr>
                      <w:rFonts w:hint="eastAsia"/>
                      <w:b w:val="0"/>
                      <w:bCs w:val="0"/>
                      <w:color w:val="auto"/>
                      <w:highlight w:val="none"/>
                      <w:lang w:eastAsia="zh-CN"/>
                    </w:rPr>
                    <w:t>）</w:t>
                  </w:r>
                  <w:r>
                    <w:rPr>
                      <w:rFonts w:hint="eastAsia"/>
                      <w:b w:val="0"/>
                      <w:bCs w:val="0"/>
                      <w:color w:val="auto"/>
                      <w:highlight w:val="none"/>
                    </w:rPr>
                    <w:t>、研发服务外包与生产</w:t>
                  </w:r>
                  <w:r>
                    <w:rPr>
                      <w:rFonts w:hint="eastAsia"/>
                      <w:b w:val="0"/>
                      <w:bCs w:val="0"/>
                      <w:color w:val="auto"/>
                      <w:highlight w:val="none"/>
                      <w:lang w:eastAsia="zh-CN"/>
                    </w:rPr>
                    <w:t>（</w:t>
                  </w:r>
                  <w:r>
                    <w:rPr>
                      <w:rFonts w:hint="eastAsia"/>
                      <w:b w:val="0"/>
                      <w:bCs w:val="0"/>
                      <w:color w:val="auto"/>
                      <w:highlight w:val="none"/>
                    </w:rPr>
                    <w:t>临床前CRO、临床CRO，高端制剂研发与生产外包、CDMO等</w:t>
                  </w:r>
                  <w:r>
                    <w:rPr>
                      <w:rFonts w:hint="eastAsia"/>
                      <w:b w:val="0"/>
                      <w:bCs w:val="0"/>
                      <w:color w:val="auto"/>
                      <w:highlight w:val="none"/>
                      <w:lang w:eastAsia="zh-CN"/>
                    </w:rPr>
                    <w:t>）</w:t>
                  </w:r>
                  <w:r>
                    <w:rPr>
                      <w:rFonts w:hint="eastAsia"/>
                      <w:b w:val="0"/>
                      <w:bCs w:val="0"/>
                      <w:color w:val="auto"/>
                      <w:highlight w:val="none"/>
                    </w:rPr>
                    <w:t>、</w:t>
                  </w:r>
                  <w:r>
                    <w:rPr>
                      <w:rFonts w:hint="eastAsia"/>
                      <w:b/>
                      <w:bCs/>
                      <w:color w:val="auto"/>
                      <w:highlight w:val="none"/>
                    </w:rPr>
                    <w:t>高端医疗器械</w:t>
                  </w:r>
                  <w:r>
                    <w:rPr>
                      <w:rFonts w:hint="eastAsia"/>
                      <w:b w:val="0"/>
                      <w:bCs w:val="0"/>
                      <w:color w:val="auto"/>
                      <w:highlight w:val="none"/>
                      <w:lang w:eastAsia="zh-CN"/>
                    </w:rPr>
                    <w:t>（</w:t>
                  </w:r>
                  <w:r>
                    <w:rPr>
                      <w:rFonts w:hint="eastAsia"/>
                      <w:b w:val="0"/>
                      <w:bCs w:val="0"/>
                      <w:color w:val="auto"/>
                      <w:highlight w:val="none"/>
                    </w:rPr>
                    <w:t>影像设备、植介入器械、医疗机器人、NGS设备、体外诊断仪器与设备、高值耗材、人工器官、手术精准定位</w:t>
                  </w:r>
                  <w:r>
                    <w:rPr>
                      <w:rFonts w:hint="eastAsia"/>
                      <w:b w:val="0"/>
                      <w:bCs w:val="0"/>
                      <w:color w:val="auto"/>
                      <w:highlight w:val="none"/>
                      <w:lang w:eastAsia="zh-CN"/>
                    </w:rPr>
                    <w:t>与</w:t>
                  </w:r>
                  <w:r>
                    <w:rPr>
                      <w:rFonts w:hint="eastAsia"/>
                      <w:b w:val="0"/>
                      <w:bCs w:val="0"/>
                      <w:color w:val="auto"/>
                      <w:highlight w:val="none"/>
                    </w:rPr>
                    <w:t>导航系统、高值耗材、放疗设备、维纳医疗器械、慢病管理、医疗大数据AI、分子诊断等</w:t>
                  </w:r>
                  <w:r>
                    <w:rPr>
                      <w:rFonts w:hint="eastAsia"/>
                      <w:b w:val="0"/>
                      <w:bCs w:val="0"/>
                      <w:color w:val="auto"/>
                      <w:highlight w:val="none"/>
                      <w:lang w:eastAsia="zh-CN"/>
                    </w:rPr>
                    <w:t>）；</w:t>
                  </w:r>
                  <w:r>
                    <w:rPr>
                      <w:rFonts w:hint="eastAsia"/>
                      <w:b w:val="0"/>
                      <w:bCs w:val="0"/>
                      <w:color w:val="auto"/>
                      <w:highlight w:val="none"/>
                    </w:rPr>
                    <w:t>其他产业</w:t>
                  </w:r>
                  <w:r>
                    <w:rPr>
                      <w:rFonts w:hint="eastAsia"/>
                      <w:b w:val="0"/>
                      <w:bCs w:val="0"/>
                      <w:color w:val="auto"/>
                      <w:highlight w:val="none"/>
                      <w:lang w:eastAsia="zh-CN"/>
                    </w:rPr>
                    <w:t>（</w:t>
                  </w:r>
                  <w:r>
                    <w:rPr>
                      <w:rFonts w:hint="eastAsia"/>
                      <w:b w:val="0"/>
                      <w:bCs w:val="0"/>
                      <w:color w:val="auto"/>
                      <w:highlight w:val="none"/>
                    </w:rPr>
                    <w:t>再生医学、合成生物学、生物信息学与大数据前沿技术、精准医疗、人工智能等</w:t>
                  </w:r>
                  <w:r>
                    <w:rPr>
                      <w:rFonts w:hint="eastAsia"/>
                      <w:b w:val="0"/>
                      <w:bCs w:val="0"/>
                      <w:color w:val="auto"/>
                      <w:highlight w:val="none"/>
                      <w:lang w:eastAsia="zh-CN"/>
                    </w:rPr>
                    <w:t>）</w:t>
                  </w:r>
                  <w:r>
                    <w:rPr>
                      <w:rFonts w:hint="eastAsia"/>
                      <w:b w:val="0"/>
                      <w:bCs w:val="0"/>
                      <w:color w:val="auto"/>
                      <w:highlight w:val="none"/>
                    </w:rPr>
                    <w:t>、研发服务外包等</w:t>
                  </w:r>
                  <w:r>
                    <w:rPr>
                      <w:rFonts w:hint="eastAsia"/>
                      <w:b w:val="0"/>
                      <w:bCs w:val="0"/>
                      <w:color w:val="auto"/>
                      <w:highlight w:val="none"/>
                      <w:lang w:eastAsia="zh-CN"/>
                    </w:rPr>
                    <w:t>；</w:t>
                  </w:r>
                </w:p>
                <w:p w14:paraId="18780B86">
                  <w:pPr>
                    <w:pStyle w:val="41"/>
                    <w:bidi w:val="0"/>
                    <w:jc w:val="left"/>
                    <w:rPr>
                      <w:rFonts w:hint="eastAsia"/>
                      <w:b w:val="0"/>
                      <w:bCs w:val="0"/>
                      <w:color w:val="auto"/>
                      <w:highlight w:val="none"/>
                    </w:rPr>
                  </w:pPr>
                  <w:r>
                    <w:rPr>
                      <w:rFonts w:hint="eastAsia"/>
                      <w:b/>
                      <w:bCs/>
                      <w:color w:val="auto"/>
                      <w:highlight w:val="none"/>
                    </w:rPr>
                    <w:t>新</w:t>
                  </w:r>
                  <w:r>
                    <w:rPr>
                      <w:rFonts w:hint="eastAsia"/>
                      <w:b/>
                      <w:bCs/>
                      <w:color w:val="auto"/>
                      <w:highlight w:val="none"/>
                      <w:lang w:val="en-US" w:eastAsia="zh-CN"/>
                    </w:rPr>
                    <w:t>能源：</w:t>
                  </w:r>
                  <w:r>
                    <w:rPr>
                      <w:rFonts w:hint="eastAsia"/>
                      <w:b w:val="0"/>
                      <w:bCs w:val="0"/>
                      <w:color w:val="auto"/>
                      <w:highlight w:val="none"/>
                    </w:rPr>
                    <w:t>光伏产业加快产业链下游产业发展。风电产业鼓励大型高效风电机组和关键零部件。</w:t>
                  </w:r>
                </w:p>
                <w:p w14:paraId="60D401A2">
                  <w:pPr>
                    <w:pStyle w:val="41"/>
                    <w:bidi w:val="0"/>
                    <w:jc w:val="left"/>
                    <w:rPr>
                      <w:rFonts w:hint="eastAsia"/>
                      <w:b w:val="0"/>
                      <w:bCs w:val="0"/>
                      <w:color w:val="auto"/>
                      <w:highlight w:val="none"/>
                    </w:rPr>
                  </w:pPr>
                  <w:r>
                    <w:rPr>
                      <w:rFonts w:hint="eastAsia"/>
                      <w:b/>
                      <w:bCs/>
                      <w:color w:val="auto"/>
                      <w:highlight w:val="none"/>
                    </w:rPr>
                    <w:t>节能环保和新材料</w:t>
                  </w:r>
                  <w:r>
                    <w:rPr>
                      <w:rFonts w:hint="eastAsia"/>
                      <w:b/>
                      <w:bCs/>
                      <w:color w:val="auto"/>
                      <w:highlight w:val="none"/>
                      <w:lang w:eastAsia="zh-CN"/>
                    </w:rPr>
                    <w:t>：</w:t>
                  </w:r>
                  <w:r>
                    <w:rPr>
                      <w:rFonts w:hint="eastAsia"/>
                      <w:b w:val="0"/>
                      <w:bCs w:val="0"/>
                      <w:color w:val="auto"/>
                      <w:highlight w:val="none"/>
                    </w:rPr>
                    <w:t>重点开发非金属陶瓷变压器、陶瓷永久电机</w:t>
                  </w:r>
                  <w:r>
                    <w:rPr>
                      <w:rFonts w:hint="eastAsia"/>
                      <w:b w:val="0"/>
                      <w:bCs w:val="0"/>
                      <w:color w:val="auto"/>
                      <w:highlight w:val="none"/>
                      <w:lang w:eastAsia="zh-CN"/>
                    </w:rPr>
                    <w:t>、</w:t>
                  </w:r>
                  <w:r>
                    <w:rPr>
                      <w:rFonts w:hint="eastAsia"/>
                      <w:b w:val="0"/>
                      <w:bCs w:val="0"/>
                      <w:color w:val="auto"/>
                      <w:highlight w:val="none"/>
                    </w:rPr>
                    <w:t>高低压潜水电机、小型绕组永磁耦合调速</w:t>
                  </w:r>
                  <w:r>
                    <w:rPr>
                      <w:rFonts w:hint="eastAsia"/>
                      <w:b w:val="0"/>
                      <w:bCs w:val="0"/>
                      <w:color w:val="auto"/>
                      <w:highlight w:val="none"/>
                      <w:lang w:val="en-US" w:eastAsia="zh-CN"/>
                    </w:rPr>
                    <w:t>器</w:t>
                  </w:r>
                  <w:r>
                    <w:rPr>
                      <w:rFonts w:hint="eastAsia"/>
                      <w:b w:val="0"/>
                      <w:bCs w:val="0"/>
                      <w:color w:val="auto"/>
                      <w:highlight w:val="none"/>
                    </w:rPr>
                    <w:t>、无刷永磁耦合重载软起动器等环保装备。</w:t>
                  </w:r>
                </w:p>
                <w:p w14:paraId="21064500">
                  <w:pPr>
                    <w:pStyle w:val="41"/>
                    <w:bidi w:val="0"/>
                    <w:jc w:val="left"/>
                    <w:rPr>
                      <w:rFonts w:hint="eastAsia"/>
                      <w:color w:val="auto"/>
                      <w:highlight w:val="none"/>
                      <w:lang w:val="en-US" w:eastAsia="zh-CN"/>
                    </w:rPr>
                  </w:pPr>
                  <w:r>
                    <w:rPr>
                      <w:rFonts w:hint="eastAsia"/>
                      <w:b/>
                      <w:bCs/>
                      <w:color w:val="auto"/>
                      <w:highlight w:val="none"/>
                    </w:rPr>
                    <w:t>新材料</w:t>
                  </w:r>
                  <w:r>
                    <w:rPr>
                      <w:rFonts w:hint="eastAsia"/>
                      <w:b/>
                      <w:bCs/>
                      <w:color w:val="auto"/>
                      <w:highlight w:val="none"/>
                      <w:lang w:eastAsia="zh-CN"/>
                    </w:rPr>
                    <w:t>：</w:t>
                  </w:r>
                  <w:r>
                    <w:rPr>
                      <w:rFonts w:hint="eastAsia"/>
                      <w:b w:val="0"/>
                      <w:bCs w:val="0"/>
                      <w:color w:val="auto"/>
                      <w:highlight w:val="none"/>
                    </w:rPr>
                    <w:t>依托现有产业基础，引进培育一批龙头骨干企业，加强与国际一流高校院所合作，推动关键核心技术攻关。鼓励发展生物相容材料、化合物半导体、纳米金属材料、增材制造、先进陶瓷等方向。</w:t>
                  </w:r>
                </w:p>
              </w:tc>
              <w:tc>
                <w:tcPr>
                  <w:tcW w:w="1790" w:type="pct"/>
                  <w:tcBorders>
                    <w:tl2br w:val="nil"/>
                    <w:tr2bl w:val="nil"/>
                  </w:tcBorders>
                  <w:noWrap w:val="0"/>
                  <w:vAlign w:val="center"/>
                </w:tcPr>
                <w:p w14:paraId="06D057CE">
                  <w:pPr>
                    <w:pStyle w:val="41"/>
                    <w:bidi w:val="0"/>
                    <w:jc w:val="left"/>
                    <w:rPr>
                      <w:rFonts w:hint="eastAsia"/>
                      <w:color w:val="auto"/>
                      <w:highlight w:val="none"/>
                      <w:lang w:val="en-US" w:eastAsia="zh-CN"/>
                    </w:rPr>
                  </w:pPr>
                  <w:r>
                    <w:rPr>
                      <w:rFonts w:hint="eastAsia"/>
                      <w:color w:val="auto"/>
                      <w:highlight w:val="none"/>
                    </w:rPr>
                    <w:t>本项目</w:t>
                  </w:r>
                  <w:r>
                    <w:rPr>
                      <w:rFonts w:hint="eastAsia"/>
                      <w:color w:val="auto"/>
                      <w:highlight w:val="none"/>
                      <w:lang w:val="en-US" w:eastAsia="zh-CN"/>
                    </w:rPr>
                    <w:t>主要进行中药研发</w:t>
                  </w:r>
                  <w:r>
                    <w:rPr>
                      <w:rFonts w:hint="eastAsia"/>
                      <w:color w:val="auto"/>
                      <w:highlight w:val="none"/>
                      <w:lang w:eastAsia="zh-CN"/>
                    </w:rPr>
                    <w:t>，</w:t>
                  </w:r>
                  <w:r>
                    <w:rPr>
                      <w:rFonts w:hint="eastAsia"/>
                      <w:color w:val="auto"/>
                      <w:highlight w:val="none"/>
                      <w:lang w:val="en-US" w:eastAsia="zh-CN"/>
                    </w:rPr>
                    <w:t>不</w:t>
                  </w:r>
                  <w:r>
                    <w:rPr>
                      <w:rFonts w:hint="eastAsia"/>
                      <w:color w:val="auto"/>
                      <w:highlight w:val="none"/>
                    </w:rPr>
                    <w:t>属于淳化-湖熟片区的重点发展产业</w:t>
                  </w:r>
                  <w:r>
                    <w:rPr>
                      <w:rFonts w:hint="eastAsia"/>
                      <w:color w:val="auto"/>
                      <w:highlight w:val="none"/>
                      <w:lang w:eastAsia="zh-CN"/>
                    </w:rPr>
                    <w:t>。</w:t>
                  </w:r>
                </w:p>
              </w:tc>
            </w:tr>
            <w:tr w14:paraId="62C5536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0" w:hRule="atLeast"/>
              </w:trPr>
              <w:tc>
                <w:tcPr>
                  <w:tcW w:w="692" w:type="pct"/>
                  <w:tcBorders>
                    <w:tl2br w:val="nil"/>
                    <w:tr2bl w:val="nil"/>
                  </w:tcBorders>
                  <w:noWrap w:val="0"/>
                  <w:vAlign w:val="center"/>
                </w:tcPr>
                <w:p w14:paraId="3A524271">
                  <w:pPr>
                    <w:pStyle w:val="41"/>
                    <w:bidi w:val="0"/>
                    <w:rPr>
                      <w:rFonts w:hint="eastAsia"/>
                      <w:b/>
                      <w:bCs/>
                      <w:color w:val="auto"/>
                      <w:highlight w:val="none"/>
                      <w:lang w:val="en-US" w:eastAsia="zh-CN"/>
                    </w:rPr>
                  </w:pPr>
                  <w:r>
                    <w:rPr>
                      <w:rFonts w:hint="eastAsia"/>
                      <w:b/>
                      <w:bCs/>
                      <w:color w:val="auto"/>
                      <w:highlight w:val="none"/>
                      <w:lang w:val="en-US" w:eastAsia="zh-CN"/>
                    </w:rPr>
                    <w:t>限制、禁止发展产业清单</w:t>
                  </w:r>
                </w:p>
              </w:tc>
              <w:tc>
                <w:tcPr>
                  <w:tcW w:w="2517" w:type="pct"/>
                  <w:tcBorders>
                    <w:tl2br w:val="nil"/>
                    <w:tr2bl w:val="nil"/>
                  </w:tcBorders>
                  <w:noWrap w:val="0"/>
                  <w:vAlign w:val="center"/>
                </w:tcPr>
                <w:p w14:paraId="57DB99C1">
                  <w:pPr>
                    <w:pStyle w:val="41"/>
                    <w:bidi w:val="0"/>
                    <w:jc w:val="left"/>
                    <w:rPr>
                      <w:rFonts w:hint="eastAsia"/>
                      <w:b w:val="0"/>
                      <w:bCs w:val="0"/>
                      <w:color w:val="auto"/>
                      <w:highlight w:val="none"/>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rPr>
                    <w:t>生物医药产业</w:t>
                  </w:r>
                  <w:r>
                    <w:rPr>
                      <w:rFonts w:hint="eastAsia"/>
                      <w:b/>
                      <w:bCs/>
                      <w:color w:val="auto"/>
                      <w:highlight w:val="none"/>
                      <w:lang w:eastAsia="zh-CN"/>
                    </w:rPr>
                    <w:t>：</w:t>
                  </w:r>
                  <w:r>
                    <w:rPr>
                      <w:rFonts w:hint="eastAsia"/>
                      <w:b w:val="0"/>
                      <w:bCs w:val="0"/>
                      <w:color w:val="auto"/>
                      <w:highlight w:val="none"/>
                    </w:rPr>
                    <w:t>落实《南京市“三线一单”生态环境分区管控实施方案》</w:t>
                  </w:r>
                  <w:r>
                    <w:rPr>
                      <w:rFonts w:hint="eastAsia"/>
                      <w:b w:val="0"/>
                      <w:bCs w:val="0"/>
                      <w:color w:val="auto"/>
                      <w:highlight w:val="none"/>
                      <w:lang w:eastAsia="zh-CN"/>
                    </w:rPr>
                    <w:t>（</w:t>
                  </w:r>
                  <w:r>
                    <w:rPr>
                      <w:rFonts w:hint="eastAsia"/>
                      <w:b w:val="0"/>
                      <w:bCs w:val="0"/>
                      <w:color w:val="auto"/>
                      <w:highlight w:val="none"/>
                    </w:rPr>
                    <w:t>2020年12月18日</w:t>
                  </w:r>
                  <w:r>
                    <w:rPr>
                      <w:rFonts w:hint="eastAsia"/>
                      <w:b w:val="0"/>
                      <w:bCs w:val="0"/>
                      <w:color w:val="auto"/>
                      <w:highlight w:val="none"/>
                      <w:lang w:eastAsia="zh-CN"/>
                    </w:rPr>
                    <w:t>）</w:t>
                  </w:r>
                  <w:r>
                    <w:rPr>
                      <w:rFonts w:hint="eastAsia"/>
                      <w:b w:val="0"/>
                      <w:bCs w:val="0"/>
                      <w:color w:val="auto"/>
                      <w:highlight w:val="none"/>
                    </w:rPr>
                    <w:t>管控要求</w:t>
                  </w:r>
                  <w:r>
                    <w:rPr>
                      <w:rFonts w:hint="eastAsia"/>
                      <w:b w:val="0"/>
                      <w:bCs w:val="0"/>
                      <w:color w:val="auto"/>
                      <w:highlight w:val="none"/>
                      <w:lang w:eastAsia="zh-CN"/>
                    </w:rPr>
                    <w:t>：</w:t>
                  </w:r>
                  <w:r>
                    <w:rPr>
                      <w:rFonts w:hint="eastAsia"/>
                      <w:b w:val="0"/>
                      <w:bCs w:val="0"/>
                      <w:color w:val="auto"/>
                      <w:highlight w:val="none"/>
                    </w:rPr>
                    <w:t>“禁止引入病毒疫苗类研发项目</w:t>
                  </w:r>
                  <w:r>
                    <w:rPr>
                      <w:rFonts w:hint="eastAsia"/>
                      <w:b w:val="0"/>
                      <w:bCs w:val="0"/>
                      <w:color w:val="auto"/>
                      <w:highlight w:val="none"/>
                      <w:lang w:eastAsia="zh-CN"/>
                    </w:rPr>
                    <w:t>；</w:t>
                  </w:r>
                  <w:r>
                    <w:rPr>
                      <w:rFonts w:hint="eastAsia"/>
                      <w:b w:val="0"/>
                      <w:bCs w:val="0"/>
                      <w:color w:val="auto"/>
                      <w:highlight w:val="none"/>
                    </w:rPr>
                    <w:t>使用传染性或潜在传染性材料的实验室</w:t>
                  </w:r>
                  <w:r>
                    <w:rPr>
                      <w:rFonts w:hint="eastAsia"/>
                      <w:b w:val="0"/>
                      <w:bCs w:val="0"/>
                      <w:color w:val="auto"/>
                      <w:highlight w:val="none"/>
                      <w:lang w:eastAsia="zh-CN"/>
                    </w:rPr>
                    <w:t>；</w:t>
                  </w:r>
                  <w:r>
                    <w:rPr>
                      <w:rFonts w:hint="eastAsia"/>
                      <w:b w:val="0"/>
                      <w:bCs w:val="0"/>
                      <w:color w:val="auto"/>
                      <w:highlight w:val="none"/>
                    </w:rPr>
                    <w:t>P3、P4生物安全实验室</w:t>
                  </w:r>
                  <w:r>
                    <w:rPr>
                      <w:rFonts w:hint="eastAsia"/>
                      <w:b w:val="0"/>
                      <w:bCs w:val="0"/>
                      <w:color w:val="auto"/>
                      <w:highlight w:val="none"/>
                      <w:lang w:eastAsia="zh-CN"/>
                    </w:rPr>
                    <w:t>；</w:t>
                  </w:r>
                  <w:r>
                    <w:rPr>
                      <w:rFonts w:hint="eastAsia"/>
                      <w:b w:val="0"/>
                      <w:bCs w:val="0"/>
                      <w:color w:val="auto"/>
                      <w:highlight w:val="none"/>
                    </w:rPr>
                    <w:t>进行动物性实验</w:t>
                  </w:r>
                  <w:r>
                    <w:rPr>
                      <w:rFonts w:hint="eastAsia"/>
                      <w:b w:val="0"/>
                      <w:bCs w:val="0"/>
                      <w:color w:val="auto"/>
                      <w:highlight w:val="none"/>
                      <w:lang w:eastAsia="zh-CN"/>
                    </w:rPr>
                    <w:t>；</w:t>
                  </w:r>
                  <w:r>
                    <w:rPr>
                      <w:rFonts w:hint="eastAsia"/>
                      <w:b w:val="0"/>
                      <w:bCs w:val="0"/>
                      <w:color w:val="auto"/>
                      <w:highlight w:val="none"/>
                    </w:rPr>
                    <w:t>手工胶囊、软木塞烫蜡</w:t>
                  </w:r>
                  <w:r>
                    <w:rPr>
                      <w:rFonts w:hint="eastAsia"/>
                      <w:b w:val="0"/>
                      <w:bCs w:val="0"/>
                      <w:color w:val="auto"/>
                      <w:highlight w:val="none"/>
                      <w:lang w:eastAsia="zh-CN"/>
                    </w:rPr>
                    <w:t>包装</w:t>
                  </w:r>
                  <w:r>
                    <w:rPr>
                      <w:rFonts w:hint="eastAsia"/>
                      <w:b w:val="0"/>
                      <w:bCs w:val="0"/>
                      <w:color w:val="auto"/>
                      <w:highlight w:val="none"/>
                    </w:rPr>
                    <w:t>药品等项目。生产类项目禁止引入原药类、发酵类生产项目”。开发区应做好与南京市“三线一单”动态更新的衔接工作，完善开发区生态环境准入要求。</w:t>
                  </w:r>
                </w:p>
                <w:p w14:paraId="518E2975">
                  <w:pPr>
                    <w:pStyle w:val="41"/>
                    <w:bidi w:val="0"/>
                    <w:jc w:val="left"/>
                    <w:rPr>
                      <w:rFonts w:hint="eastAsia"/>
                      <w:b w:val="0"/>
                      <w:bCs w:val="0"/>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lang w:val="en-US" w:eastAsia="zh-CN"/>
                    </w:rPr>
                    <w:t>新材料：</w:t>
                  </w:r>
                  <w:r>
                    <w:rPr>
                      <w:rFonts w:hint="eastAsia"/>
                      <w:b w:val="0"/>
                      <w:bCs w:val="0"/>
                      <w:color w:val="auto"/>
                      <w:highlight w:val="none"/>
                    </w:rPr>
                    <w:t>禁止新引入化工新材料项目。</w:t>
                  </w:r>
                </w:p>
                <w:p w14:paraId="1D401473">
                  <w:pPr>
                    <w:pStyle w:val="41"/>
                    <w:bidi w:val="0"/>
                    <w:jc w:val="left"/>
                    <w:rPr>
                      <w:rFonts w:hint="eastAsia"/>
                      <w:b w:val="0"/>
                      <w:bCs w:val="0"/>
                      <w:color w:val="auto"/>
                      <w:highlight w:val="none"/>
                    </w:rPr>
                  </w:pPr>
                  <w:r>
                    <w:rPr>
                      <w:rFonts w:hint="eastAsia"/>
                      <w:b/>
                      <w:bCs/>
                      <w:color w:val="auto"/>
                      <w:highlight w:val="none"/>
                      <w:lang w:eastAsia="zh-CN"/>
                    </w:rPr>
                    <w:t>（</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rPr>
                    <w:t>新能源产业</w:t>
                  </w:r>
                  <w:r>
                    <w:rPr>
                      <w:rFonts w:hint="eastAsia"/>
                      <w:b/>
                      <w:bCs/>
                      <w:color w:val="auto"/>
                      <w:highlight w:val="none"/>
                      <w:lang w:eastAsia="zh-CN"/>
                    </w:rPr>
                    <w:t>：</w:t>
                  </w:r>
                  <w:r>
                    <w:rPr>
                      <w:rFonts w:hint="eastAsia"/>
                      <w:b w:val="0"/>
                      <w:bCs w:val="0"/>
                      <w:color w:val="auto"/>
                      <w:highlight w:val="none"/>
                    </w:rPr>
                    <w:t>禁止引进污染严重的太阳能光伏产业上游企业</w:t>
                  </w:r>
                  <w:r>
                    <w:rPr>
                      <w:rFonts w:hint="eastAsia"/>
                      <w:b w:val="0"/>
                      <w:bCs w:val="0"/>
                      <w:color w:val="auto"/>
                      <w:highlight w:val="none"/>
                      <w:lang w:eastAsia="zh-CN"/>
                    </w:rPr>
                    <w:t>（</w:t>
                  </w:r>
                  <w:r>
                    <w:rPr>
                      <w:rFonts w:hint="eastAsia"/>
                      <w:b w:val="0"/>
                      <w:bCs w:val="0"/>
                      <w:color w:val="auto"/>
                      <w:highlight w:val="none"/>
                    </w:rPr>
                    <w:t>单晶、多晶硅棒生产</w:t>
                  </w:r>
                  <w:r>
                    <w:rPr>
                      <w:rFonts w:hint="eastAsia"/>
                      <w:b w:val="0"/>
                      <w:bCs w:val="0"/>
                      <w:color w:val="auto"/>
                      <w:highlight w:val="none"/>
                      <w:lang w:eastAsia="zh-CN"/>
                    </w:rPr>
                    <w:t>）</w:t>
                  </w:r>
                  <w:r>
                    <w:rPr>
                      <w:rFonts w:hint="eastAsia"/>
                      <w:b w:val="0"/>
                      <w:bCs w:val="0"/>
                      <w:color w:val="auto"/>
                      <w:highlight w:val="none"/>
                    </w:rPr>
                    <w:t>。</w:t>
                  </w:r>
                </w:p>
                <w:p w14:paraId="37C31CCF">
                  <w:pPr>
                    <w:pStyle w:val="41"/>
                    <w:bidi w:val="0"/>
                    <w:jc w:val="left"/>
                    <w:rPr>
                      <w:rFonts w:hint="eastAsia" w:eastAsia="宋体"/>
                      <w:b w:val="0"/>
                      <w:bCs w:val="0"/>
                      <w:color w:val="auto"/>
                      <w:highlight w:val="none"/>
                      <w:lang w:eastAsia="zh-CN"/>
                    </w:rPr>
                  </w:pPr>
                  <w:r>
                    <w:rPr>
                      <w:rFonts w:hint="eastAsia"/>
                      <w:b w:val="0"/>
                      <w:bCs w:val="0"/>
                      <w:color w:val="auto"/>
                      <w:highlight w:val="none"/>
                      <w:lang w:eastAsia="zh-CN"/>
                    </w:rPr>
                    <w:t>（</w:t>
                  </w:r>
                  <w:r>
                    <w:rPr>
                      <w:rFonts w:hint="eastAsia"/>
                      <w:b w:val="0"/>
                      <w:bCs w:val="0"/>
                      <w:color w:val="auto"/>
                      <w:highlight w:val="none"/>
                      <w:lang w:val="en-US" w:eastAsia="zh-CN"/>
                    </w:rPr>
                    <w:t>4</w:t>
                  </w:r>
                  <w:r>
                    <w:rPr>
                      <w:rFonts w:hint="eastAsia"/>
                      <w:b w:val="0"/>
                      <w:bCs w:val="0"/>
                      <w:color w:val="auto"/>
                      <w:highlight w:val="none"/>
                      <w:lang w:eastAsia="zh-CN"/>
                    </w:rPr>
                    <w:t>）</w:t>
                  </w:r>
                  <w:r>
                    <w:rPr>
                      <w:rFonts w:hint="eastAsia"/>
                      <w:b w:val="0"/>
                      <w:bCs w:val="0"/>
                      <w:color w:val="auto"/>
                      <w:highlight w:val="none"/>
                    </w:rPr>
                    <w:t>禁止新</w:t>
                  </w:r>
                  <w:r>
                    <w:rPr>
                      <w:rFonts w:hint="eastAsia"/>
                      <w:b w:val="0"/>
                      <w:bCs w:val="0"/>
                      <w:color w:val="auto"/>
                      <w:highlight w:val="none"/>
                      <w:lang w:eastAsia="zh-CN"/>
                    </w:rPr>
                    <w:t>（</w:t>
                  </w:r>
                  <w:r>
                    <w:rPr>
                      <w:rFonts w:hint="eastAsia"/>
                      <w:b w:val="0"/>
                      <w:bCs w:val="0"/>
                      <w:color w:val="auto"/>
                      <w:highlight w:val="none"/>
                    </w:rPr>
                    <w:t>扩</w:t>
                  </w:r>
                  <w:r>
                    <w:rPr>
                      <w:rFonts w:hint="eastAsia"/>
                      <w:b w:val="0"/>
                      <w:bCs w:val="0"/>
                      <w:color w:val="auto"/>
                      <w:highlight w:val="none"/>
                      <w:lang w:eastAsia="zh-CN"/>
                    </w:rPr>
                    <w:t>）</w:t>
                  </w:r>
                  <w:r>
                    <w:rPr>
                      <w:rFonts w:hint="eastAsia"/>
                      <w:b w:val="0"/>
                      <w:bCs w:val="0"/>
                      <w:color w:val="auto"/>
                      <w:highlight w:val="none"/>
                    </w:rPr>
                    <w:t>建电镀项目，确属工艺需要、不能剥离电镀工序的项目，需由环保部门会同经济主管部门组织专家技术论证，通过专家论证同意后方可审批建设</w:t>
                  </w:r>
                  <w:r>
                    <w:rPr>
                      <w:rFonts w:hint="eastAsia"/>
                      <w:b w:val="0"/>
                      <w:bCs w:val="0"/>
                      <w:color w:val="auto"/>
                      <w:highlight w:val="none"/>
                      <w:lang w:eastAsia="zh-CN"/>
                    </w:rPr>
                    <w:t>。</w:t>
                  </w:r>
                </w:p>
                <w:p w14:paraId="6861D711">
                  <w:pPr>
                    <w:pStyle w:val="41"/>
                    <w:bidi w:val="0"/>
                    <w:jc w:val="left"/>
                    <w:rPr>
                      <w:rFonts w:hint="eastAsia"/>
                      <w:b w:val="0"/>
                      <w:bCs w:val="0"/>
                      <w:color w:val="auto"/>
                      <w:highlight w:val="none"/>
                    </w:rPr>
                  </w:pPr>
                  <w:r>
                    <w:rPr>
                      <w:rFonts w:hint="eastAsia"/>
                      <w:b w:val="0"/>
                      <w:bCs w:val="0"/>
                      <w:color w:val="auto"/>
                      <w:highlight w:val="none"/>
                      <w:lang w:eastAsia="zh-CN"/>
                    </w:rPr>
                    <w:t>（</w:t>
                  </w:r>
                  <w:r>
                    <w:rPr>
                      <w:rFonts w:hint="eastAsia"/>
                      <w:b w:val="0"/>
                      <w:bCs w:val="0"/>
                      <w:color w:val="auto"/>
                      <w:highlight w:val="none"/>
                      <w:lang w:val="en-US" w:eastAsia="zh-CN"/>
                    </w:rPr>
                    <w:t>5</w:t>
                  </w:r>
                  <w:r>
                    <w:rPr>
                      <w:rFonts w:hint="eastAsia"/>
                      <w:b w:val="0"/>
                      <w:bCs w:val="0"/>
                      <w:color w:val="auto"/>
                      <w:highlight w:val="none"/>
                      <w:lang w:eastAsia="zh-CN"/>
                    </w:rPr>
                    <w:t>）</w:t>
                  </w:r>
                  <w:r>
                    <w:rPr>
                      <w:rFonts w:hint="eastAsia"/>
                      <w:b w:val="0"/>
                      <w:bCs w:val="0"/>
                      <w:color w:val="auto"/>
                      <w:highlight w:val="none"/>
                    </w:rPr>
                    <w:t>禁止新</w:t>
                  </w:r>
                  <w:r>
                    <w:rPr>
                      <w:rFonts w:hint="eastAsia"/>
                      <w:b w:val="0"/>
                      <w:bCs w:val="0"/>
                      <w:color w:val="auto"/>
                      <w:highlight w:val="none"/>
                      <w:lang w:eastAsia="zh-CN"/>
                    </w:rPr>
                    <w:t>（</w:t>
                  </w:r>
                  <w:r>
                    <w:rPr>
                      <w:rFonts w:hint="eastAsia"/>
                      <w:b w:val="0"/>
                      <w:bCs w:val="0"/>
                      <w:color w:val="auto"/>
                      <w:highlight w:val="none"/>
                    </w:rPr>
                    <w:t>扩</w:t>
                  </w:r>
                  <w:r>
                    <w:rPr>
                      <w:rFonts w:hint="eastAsia"/>
                      <w:b w:val="0"/>
                      <w:bCs w:val="0"/>
                      <w:color w:val="auto"/>
                      <w:highlight w:val="none"/>
                      <w:lang w:eastAsia="zh-CN"/>
                    </w:rPr>
                    <w:t>）</w:t>
                  </w:r>
                  <w:r>
                    <w:rPr>
                      <w:rFonts w:hint="eastAsia"/>
                      <w:b w:val="0"/>
                      <w:bCs w:val="0"/>
                      <w:color w:val="auto"/>
                      <w:highlight w:val="none"/>
                    </w:rPr>
                    <w:t>建酿造、制革等水污染重的项目，禁止新</w:t>
                  </w:r>
                  <w:r>
                    <w:rPr>
                      <w:rFonts w:hint="eastAsia"/>
                      <w:b w:val="0"/>
                      <w:bCs w:val="0"/>
                      <w:color w:val="auto"/>
                      <w:highlight w:val="none"/>
                      <w:lang w:eastAsia="zh-CN"/>
                    </w:rPr>
                    <w:t>（</w:t>
                  </w:r>
                  <w:r>
                    <w:rPr>
                      <w:rFonts w:hint="eastAsia"/>
                      <w:b w:val="0"/>
                      <w:bCs w:val="0"/>
                      <w:color w:val="auto"/>
                      <w:highlight w:val="none"/>
                    </w:rPr>
                    <w:t>扩</w:t>
                  </w:r>
                  <w:r>
                    <w:rPr>
                      <w:rFonts w:hint="eastAsia"/>
                      <w:b w:val="0"/>
                      <w:bCs w:val="0"/>
                      <w:color w:val="auto"/>
                      <w:highlight w:val="none"/>
                      <w:lang w:eastAsia="zh-CN"/>
                    </w:rPr>
                    <w:t>）</w:t>
                  </w:r>
                  <w:r>
                    <w:rPr>
                      <w:rFonts w:hint="eastAsia"/>
                      <w:b w:val="0"/>
                      <w:bCs w:val="0"/>
                      <w:color w:val="auto"/>
                      <w:highlight w:val="none"/>
                    </w:rPr>
                    <w:t>建工业生产废水排水量大于1000吨</w:t>
                  </w:r>
                  <w:r>
                    <w:rPr>
                      <w:rFonts w:hint="eastAsia"/>
                      <w:b w:val="0"/>
                      <w:bCs w:val="0"/>
                      <w:color w:val="auto"/>
                      <w:highlight w:val="none"/>
                      <w:lang w:val="en-US" w:eastAsia="zh-CN"/>
                    </w:rPr>
                    <w:t>/</w:t>
                  </w:r>
                  <w:r>
                    <w:rPr>
                      <w:rFonts w:hint="eastAsia"/>
                      <w:b w:val="0"/>
                      <w:bCs w:val="0"/>
                      <w:color w:val="auto"/>
                      <w:highlight w:val="none"/>
                    </w:rPr>
                    <w:t>日的项目。</w:t>
                  </w:r>
                </w:p>
                <w:p w14:paraId="4E785F1D">
                  <w:pPr>
                    <w:pStyle w:val="41"/>
                    <w:bidi w:val="0"/>
                    <w:jc w:val="left"/>
                    <w:rPr>
                      <w:rFonts w:hint="eastAsia"/>
                      <w:b w:val="0"/>
                      <w:bCs w:val="0"/>
                      <w:color w:val="auto"/>
                      <w:highlight w:val="none"/>
                    </w:rPr>
                  </w:pPr>
                  <w:r>
                    <w:rPr>
                      <w:rFonts w:hint="eastAsia"/>
                      <w:b w:val="0"/>
                      <w:bCs w:val="0"/>
                      <w:color w:val="auto"/>
                      <w:highlight w:val="none"/>
                      <w:lang w:eastAsia="zh-CN"/>
                    </w:rPr>
                    <w:t>（</w:t>
                  </w:r>
                  <w:r>
                    <w:rPr>
                      <w:rFonts w:hint="eastAsia"/>
                      <w:b w:val="0"/>
                      <w:bCs w:val="0"/>
                      <w:color w:val="auto"/>
                      <w:highlight w:val="none"/>
                      <w:lang w:val="en-US" w:eastAsia="zh-CN"/>
                    </w:rPr>
                    <w:t>6</w:t>
                  </w:r>
                  <w:r>
                    <w:rPr>
                      <w:rFonts w:hint="eastAsia"/>
                      <w:b w:val="0"/>
                      <w:bCs w:val="0"/>
                      <w:color w:val="auto"/>
                      <w:highlight w:val="none"/>
                      <w:lang w:eastAsia="zh-CN"/>
                    </w:rPr>
                    <w:t>）</w:t>
                  </w:r>
                  <w:r>
                    <w:rPr>
                      <w:rFonts w:hint="eastAsia"/>
                      <w:b w:val="0"/>
                      <w:bCs w:val="0"/>
                      <w:color w:val="auto"/>
                      <w:highlight w:val="none"/>
                    </w:rPr>
                    <w:t>禁止新</w:t>
                  </w:r>
                  <w:r>
                    <w:rPr>
                      <w:rFonts w:hint="eastAsia"/>
                      <w:b w:val="0"/>
                      <w:bCs w:val="0"/>
                      <w:color w:val="auto"/>
                      <w:highlight w:val="none"/>
                      <w:lang w:eastAsia="zh-CN"/>
                    </w:rPr>
                    <w:t>（</w:t>
                  </w:r>
                  <w:r>
                    <w:rPr>
                      <w:rFonts w:hint="eastAsia"/>
                      <w:b w:val="0"/>
                      <w:bCs w:val="0"/>
                      <w:color w:val="auto"/>
                      <w:highlight w:val="none"/>
                    </w:rPr>
                    <w:t>扩</w:t>
                  </w:r>
                  <w:r>
                    <w:rPr>
                      <w:rFonts w:hint="eastAsia"/>
                      <w:b w:val="0"/>
                      <w:bCs w:val="0"/>
                      <w:color w:val="auto"/>
                      <w:highlight w:val="none"/>
                      <w:lang w:eastAsia="zh-CN"/>
                    </w:rPr>
                    <w:t>）</w:t>
                  </w:r>
                  <w:r>
                    <w:rPr>
                      <w:rFonts w:hint="eastAsia"/>
                      <w:b w:val="0"/>
                      <w:bCs w:val="0"/>
                      <w:color w:val="auto"/>
                      <w:highlight w:val="none"/>
                    </w:rPr>
                    <w:t>建排放含汞、砷、</w:t>
                  </w:r>
                  <w:r>
                    <w:rPr>
                      <w:rFonts w:hint="eastAsia"/>
                      <w:b w:val="0"/>
                      <w:bCs w:val="0"/>
                      <w:color w:val="auto"/>
                      <w:highlight w:val="none"/>
                      <w:lang w:val="en-US" w:eastAsia="zh-CN"/>
                    </w:rPr>
                    <w:t>镉</w:t>
                  </w:r>
                  <w:r>
                    <w:rPr>
                      <w:rFonts w:hint="eastAsia"/>
                      <w:b w:val="0"/>
                      <w:bCs w:val="0"/>
                      <w:color w:val="auto"/>
                      <w:highlight w:val="none"/>
                    </w:rPr>
                    <w:t>、铬、铅等重金属以及持久性有机污染物的工业项目。</w:t>
                  </w:r>
                </w:p>
                <w:p w14:paraId="40BF8140">
                  <w:pPr>
                    <w:pStyle w:val="41"/>
                    <w:bidi w:val="0"/>
                    <w:jc w:val="left"/>
                    <w:rPr>
                      <w:rFonts w:hint="eastAsia"/>
                      <w:b w:val="0"/>
                      <w:bCs w:val="0"/>
                      <w:color w:val="auto"/>
                      <w:highlight w:val="none"/>
                    </w:rPr>
                  </w:pPr>
                  <w:r>
                    <w:rPr>
                      <w:rFonts w:hint="eastAsia"/>
                      <w:b w:val="0"/>
                      <w:bCs w:val="0"/>
                      <w:color w:val="auto"/>
                      <w:highlight w:val="none"/>
                      <w:lang w:eastAsia="zh-CN"/>
                    </w:rPr>
                    <w:t>（</w:t>
                  </w:r>
                  <w:r>
                    <w:rPr>
                      <w:rFonts w:hint="eastAsia"/>
                      <w:b w:val="0"/>
                      <w:bCs w:val="0"/>
                      <w:color w:val="auto"/>
                      <w:highlight w:val="none"/>
                      <w:lang w:val="en-US" w:eastAsia="zh-CN"/>
                    </w:rPr>
                    <w:t>7</w:t>
                  </w:r>
                  <w:r>
                    <w:rPr>
                      <w:rFonts w:hint="eastAsia"/>
                      <w:b w:val="0"/>
                      <w:bCs w:val="0"/>
                      <w:color w:val="auto"/>
                      <w:highlight w:val="none"/>
                      <w:lang w:eastAsia="zh-CN"/>
                    </w:rPr>
                    <w:t>）</w:t>
                  </w:r>
                  <w:r>
                    <w:rPr>
                      <w:rFonts w:hint="eastAsia"/>
                      <w:b w:val="0"/>
                      <w:bCs w:val="0"/>
                      <w:color w:val="auto"/>
                      <w:highlight w:val="none"/>
                    </w:rPr>
                    <w:t>禁止建设生产和使用高VOCs含量的溶剂型涂料</w:t>
                  </w:r>
                  <w:r>
                    <w:rPr>
                      <w:rFonts w:hint="eastAsia"/>
                      <w:b w:val="0"/>
                      <w:bCs w:val="0"/>
                      <w:color w:val="auto"/>
                      <w:highlight w:val="none"/>
                      <w:lang w:eastAsia="zh-CN"/>
                    </w:rPr>
                    <w:t>、</w:t>
                  </w:r>
                  <w:r>
                    <w:rPr>
                      <w:rFonts w:hint="eastAsia"/>
                      <w:b w:val="0"/>
                      <w:bCs w:val="0"/>
                      <w:color w:val="auto"/>
                      <w:highlight w:val="none"/>
                    </w:rPr>
                    <w:t>油墨、胶粘剂等项目。</w:t>
                  </w:r>
                </w:p>
                <w:p w14:paraId="2FC96799">
                  <w:pPr>
                    <w:pStyle w:val="41"/>
                    <w:bidi w:val="0"/>
                    <w:jc w:val="left"/>
                    <w:rPr>
                      <w:rFonts w:hint="eastAsia"/>
                      <w:color w:val="auto"/>
                      <w:highlight w:val="none"/>
                      <w:lang w:val="en-US" w:eastAsia="zh-CN"/>
                    </w:rPr>
                  </w:pPr>
                  <w:r>
                    <w:rPr>
                      <w:rFonts w:hint="eastAsia"/>
                      <w:b w:val="0"/>
                      <w:bCs w:val="0"/>
                      <w:color w:val="auto"/>
                      <w:highlight w:val="none"/>
                      <w:lang w:eastAsia="zh-CN"/>
                    </w:rPr>
                    <w:t>（</w:t>
                  </w:r>
                  <w:r>
                    <w:rPr>
                      <w:rFonts w:hint="eastAsia"/>
                      <w:b w:val="0"/>
                      <w:bCs w:val="0"/>
                      <w:color w:val="auto"/>
                      <w:highlight w:val="none"/>
                      <w:lang w:val="en-US" w:eastAsia="zh-CN"/>
                    </w:rPr>
                    <w:t>8</w:t>
                  </w:r>
                  <w:r>
                    <w:rPr>
                      <w:rFonts w:hint="eastAsia"/>
                      <w:b w:val="0"/>
                      <w:bCs w:val="0"/>
                      <w:color w:val="auto"/>
                      <w:highlight w:val="none"/>
                      <w:lang w:eastAsia="zh-CN"/>
                    </w:rPr>
                    <w:t>）</w:t>
                  </w:r>
                  <w:r>
                    <w:rPr>
                      <w:rFonts w:hint="eastAsia"/>
                      <w:b w:val="0"/>
                      <w:bCs w:val="0"/>
                      <w:color w:val="auto"/>
                      <w:highlight w:val="none"/>
                    </w:rPr>
                    <w:t>禁止引入燃用高污染燃料的项目和设施。</w:t>
                  </w:r>
                </w:p>
              </w:tc>
              <w:tc>
                <w:tcPr>
                  <w:tcW w:w="1790" w:type="pct"/>
                  <w:tcBorders>
                    <w:tl2br w:val="nil"/>
                    <w:tr2bl w:val="nil"/>
                  </w:tcBorders>
                  <w:noWrap w:val="0"/>
                  <w:vAlign w:val="center"/>
                </w:tcPr>
                <w:p w14:paraId="2AFECC23">
                  <w:pPr>
                    <w:pStyle w:val="41"/>
                    <w:bidi w:val="0"/>
                    <w:jc w:val="left"/>
                    <w:rPr>
                      <w:rFonts w:hint="eastAsia"/>
                      <w:color w:val="auto"/>
                      <w:highlight w:val="none"/>
                    </w:rPr>
                  </w:pPr>
                  <w:r>
                    <w:rPr>
                      <w:rFonts w:hint="eastAsia"/>
                      <w:color w:val="auto"/>
                      <w:highlight w:val="none"/>
                    </w:rPr>
                    <w:t>本项目</w:t>
                  </w:r>
                  <w:r>
                    <w:rPr>
                      <w:rFonts w:hint="eastAsia"/>
                      <w:color w:val="auto"/>
                      <w:highlight w:val="none"/>
                      <w:lang w:val="en-US" w:eastAsia="zh-CN"/>
                    </w:rPr>
                    <w:t>主要进行中药研发</w:t>
                  </w:r>
                  <w:r>
                    <w:rPr>
                      <w:rFonts w:hint="eastAsia"/>
                      <w:color w:val="auto"/>
                      <w:highlight w:val="none"/>
                    </w:rPr>
                    <w:t>。</w:t>
                  </w:r>
                </w:p>
                <w:p w14:paraId="019F42CA">
                  <w:pPr>
                    <w:pStyle w:val="41"/>
                    <w:bidi w:val="0"/>
                    <w:jc w:val="left"/>
                    <w:rPr>
                      <w:rFonts w:hint="default"/>
                      <w:b w:val="0"/>
                      <w:bCs w:val="0"/>
                      <w:color w:val="auto"/>
                      <w:highlight w:val="none"/>
                      <w:lang w:val="en-US" w:eastAsia="zh-CN"/>
                    </w:rPr>
                  </w:pPr>
                  <w:r>
                    <w:rPr>
                      <w:rFonts w:hint="eastAsia"/>
                      <w:color w:val="auto"/>
                      <w:highlight w:val="none"/>
                      <w:lang w:val="en-US" w:eastAsia="zh-CN"/>
                    </w:rPr>
                    <w:t>本项目不属于生物医药产业，研发不涉及</w:t>
                  </w:r>
                  <w:r>
                    <w:rPr>
                      <w:rFonts w:hint="eastAsia"/>
                      <w:b w:val="0"/>
                      <w:bCs w:val="0"/>
                      <w:color w:val="auto"/>
                      <w:highlight w:val="none"/>
                    </w:rPr>
                    <w:t>病毒疫苗类研发</w:t>
                  </w:r>
                  <w:r>
                    <w:rPr>
                      <w:rFonts w:hint="eastAsia"/>
                      <w:b w:val="0"/>
                      <w:bCs w:val="0"/>
                      <w:color w:val="auto"/>
                      <w:highlight w:val="none"/>
                      <w:lang w:eastAsia="zh-CN"/>
                    </w:rPr>
                    <w:t>，</w:t>
                  </w:r>
                  <w:r>
                    <w:rPr>
                      <w:rFonts w:hint="eastAsia"/>
                      <w:b w:val="0"/>
                      <w:bCs w:val="0"/>
                      <w:color w:val="auto"/>
                      <w:highlight w:val="none"/>
                      <w:lang w:val="en-US" w:eastAsia="zh-CN"/>
                    </w:rPr>
                    <w:t>不使用</w:t>
                  </w:r>
                  <w:r>
                    <w:rPr>
                      <w:rFonts w:hint="eastAsia"/>
                      <w:b w:val="0"/>
                      <w:bCs w:val="0"/>
                      <w:color w:val="auto"/>
                      <w:highlight w:val="none"/>
                    </w:rPr>
                    <w:t>传染性或潜在传染性材料</w:t>
                  </w:r>
                  <w:r>
                    <w:rPr>
                      <w:rFonts w:hint="eastAsia"/>
                      <w:b w:val="0"/>
                      <w:bCs w:val="0"/>
                      <w:color w:val="auto"/>
                      <w:highlight w:val="none"/>
                      <w:lang w:eastAsia="zh-CN"/>
                    </w:rPr>
                    <w:t>，</w:t>
                  </w:r>
                  <w:r>
                    <w:rPr>
                      <w:rFonts w:hint="eastAsia"/>
                      <w:b w:val="0"/>
                      <w:bCs w:val="0"/>
                      <w:color w:val="auto"/>
                      <w:highlight w:val="none"/>
                      <w:lang w:val="en-US" w:eastAsia="zh-CN"/>
                    </w:rPr>
                    <w:t>不属于</w:t>
                  </w:r>
                  <w:r>
                    <w:rPr>
                      <w:rFonts w:hint="eastAsia"/>
                      <w:b w:val="0"/>
                      <w:bCs w:val="0"/>
                      <w:color w:val="auto"/>
                      <w:highlight w:val="none"/>
                    </w:rPr>
                    <w:t>P3、P4生物安全实验室</w:t>
                  </w:r>
                  <w:r>
                    <w:rPr>
                      <w:rFonts w:hint="eastAsia"/>
                      <w:b w:val="0"/>
                      <w:bCs w:val="0"/>
                      <w:color w:val="auto"/>
                      <w:highlight w:val="none"/>
                      <w:lang w:eastAsia="zh-CN"/>
                    </w:rPr>
                    <w:t>，</w:t>
                  </w:r>
                  <w:r>
                    <w:rPr>
                      <w:rFonts w:hint="eastAsia"/>
                      <w:b w:val="0"/>
                      <w:bCs w:val="0"/>
                      <w:color w:val="auto"/>
                      <w:highlight w:val="none"/>
                      <w:lang w:val="en-US" w:eastAsia="zh-CN"/>
                    </w:rPr>
                    <w:t>不</w:t>
                  </w:r>
                  <w:r>
                    <w:rPr>
                      <w:rFonts w:hint="eastAsia"/>
                      <w:b w:val="0"/>
                      <w:bCs w:val="0"/>
                      <w:color w:val="auto"/>
                      <w:highlight w:val="none"/>
                    </w:rPr>
                    <w:t>进行动物性实验</w:t>
                  </w:r>
                  <w:r>
                    <w:rPr>
                      <w:rFonts w:hint="eastAsia"/>
                      <w:b w:val="0"/>
                      <w:bCs w:val="0"/>
                      <w:color w:val="auto"/>
                      <w:highlight w:val="none"/>
                      <w:lang w:eastAsia="zh-CN"/>
                    </w:rPr>
                    <w:t>。</w:t>
                  </w:r>
                  <w:r>
                    <w:rPr>
                      <w:rFonts w:hint="eastAsia"/>
                      <w:b w:val="0"/>
                      <w:bCs w:val="0"/>
                      <w:color w:val="auto"/>
                      <w:highlight w:val="none"/>
                      <w:lang w:val="en-US" w:eastAsia="zh-CN"/>
                    </w:rPr>
                    <w:t>不属于新材料、新能源项目。</w:t>
                  </w:r>
                </w:p>
                <w:p w14:paraId="5CCFB211">
                  <w:pPr>
                    <w:pStyle w:val="41"/>
                    <w:bidi w:val="0"/>
                    <w:jc w:val="left"/>
                    <w:rPr>
                      <w:rFonts w:hint="eastAsia"/>
                      <w:color w:val="auto"/>
                      <w:highlight w:val="none"/>
                      <w:lang w:val="en-US" w:eastAsia="zh-CN"/>
                    </w:rPr>
                  </w:pPr>
                  <w:r>
                    <w:rPr>
                      <w:rFonts w:hint="eastAsia"/>
                      <w:b w:val="0"/>
                      <w:bCs w:val="0"/>
                      <w:color w:val="auto"/>
                      <w:highlight w:val="none"/>
                      <w:lang w:val="en-US" w:eastAsia="zh-CN"/>
                    </w:rPr>
                    <w:t>本项目</w:t>
                  </w:r>
                  <w:r>
                    <w:rPr>
                      <w:rFonts w:hint="eastAsia"/>
                      <w:color w:val="auto"/>
                      <w:highlight w:val="none"/>
                      <w:lang w:val="en-US" w:eastAsia="zh-CN"/>
                    </w:rPr>
                    <w:t>不涉及电镀工序；不属于酿造、制革等水污染重的项目；废水排放量远小于1000t/d；本次项目不排放砷、镉、铬、铅等重金属以及持久性有机污染物。</w:t>
                  </w:r>
                </w:p>
                <w:p w14:paraId="76919429">
                  <w:pPr>
                    <w:pStyle w:val="41"/>
                    <w:bidi w:val="0"/>
                    <w:jc w:val="left"/>
                    <w:rPr>
                      <w:rFonts w:hint="eastAsia"/>
                      <w:color w:val="auto"/>
                      <w:highlight w:val="none"/>
                    </w:rPr>
                  </w:pPr>
                  <w:r>
                    <w:rPr>
                      <w:rFonts w:hint="eastAsia"/>
                      <w:color w:val="auto"/>
                      <w:highlight w:val="none"/>
                      <w:lang w:val="en-US" w:eastAsia="zh-CN"/>
                    </w:rPr>
                    <w:t>本项目不使用</w:t>
                  </w:r>
                  <w:r>
                    <w:rPr>
                      <w:rFonts w:hint="eastAsia"/>
                      <w:b w:val="0"/>
                      <w:bCs w:val="0"/>
                      <w:color w:val="auto"/>
                      <w:highlight w:val="none"/>
                    </w:rPr>
                    <w:t>溶剂型涂料</w:t>
                  </w:r>
                  <w:r>
                    <w:rPr>
                      <w:rFonts w:hint="eastAsia"/>
                      <w:b w:val="0"/>
                      <w:bCs w:val="0"/>
                      <w:color w:val="auto"/>
                      <w:highlight w:val="none"/>
                      <w:lang w:eastAsia="zh-CN"/>
                    </w:rPr>
                    <w:t>、</w:t>
                  </w:r>
                  <w:r>
                    <w:rPr>
                      <w:rFonts w:hint="eastAsia"/>
                      <w:b w:val="0"/>
                      <w:bCs w:val="0"/>
                      <w:color w:val="auto"/>
                      <w:highlight w:val="none"/>
                    </w:rPr>
                    <w:t>油墨、胶粘剂等</w:t>
                  </w:r>
                  <w:r>
                    <w:rPr>
                      <w:rFonts w:hint="eastAsia"/>
                      <w:color w:val="auto"/>
                      <w:highlight w:val="none"/>
                    </w:rPr>
                    <w:t>。</w:t>
                  </w:r>
                </w:p>
                <w:p w14:paraId="01657A2D">
                  <w:pPr>
                    <w:pStyle w:val="41"/>
                    <w:bidi w:val="0"/>
                    <w:jc w:val="left"/>
                    <w:rPr>
                      <w:rFonts w:hint="default" w:eastAsia="宋体"/>
                      <w:color w:val="auto"/>
                      <w:highlight w:val="none"/>
                      <w:lang w:val="en-US" w:eastAsia="zh-CN"/>
                    </w:rPr>
                  </w:pPr>
                  <w:r>
                    <w:rPr>
                      <w:rFonts w:hint="eastAsia"/>
                      <w:color w:val="auto"/>
                      <w:highlight w:val="none"/>
                      <w:lang w:val="en-US" w:eastAsia="zh-CN"/>
                    </w:rPr>
                    <w:t>厂区内锅炉使用清洁燃料天然气。</w:t>
                  </w:r>
                </w:p>
                <w:p w14:paraId="3D6BE596">
                  <w:pPr>
                    <w:pStyle w:val="41"/>
                    <w:bidi w:val="0"/>
                    <w:jc w:val="left"/>
                    <w:rPr>
                      <w:rFonts w:hint="default"/>
                      <w:color w:val="auto"/>
                      <w:highlight w:val="none"/>
                      <w:lang w:val="en-US" w:eastAsia="zh-CN"/>
                    </w:rPr>
                  </w:pPr>
                  <w:r>
                    <w:rPr>
                      <w:rFonts w:hint="eastAsia"/>
                      <w:color w:val="auto"/>
                      <w:highlight w:val="none"/>
                      <w:lang w:val="en-US" w:eastAsia="zh-CN"/>
                    </w:rPr>
                    <w:t>综上，本项目不在限制、禁止发展产业清单内。</w:t>
                  </w:r>
                </w:p>
              </w:tc>
            </w:tr>
          </w:tbl>
          <w:p w14:paraId="2BC16B17">
            <w:pPr>
              <w:pStyle w:val="41"/>
              <w:rPr>
                <w:color w:val="auto"/>
                <w:highlight w:val="none"/>
              </w:rPr>
            </w:pPr>
          </w:p>
          <w:p w14:paraId="2E00ED81">
            <w:pPr>
              <w:bidi w:val="0"/>
              <w:ind w:firstLine="480" w:firstLineChars="200"/>
            </w:pPr>
            <w:r>
              <w:rPr>
                <w:rFonts w:hint="eastAsia"/>
                <w:lang w:val="en-US" w:eastAsia="zh-CN"/>
              </w:rPr>
              <w:t>根据上表分析，</w:t>
            </w:r>
            <w:r>
              <w:t>本项目</w:t>
            </w:r>
            <w:r>
              <w:rPr>
                <w:rFonts w:hint="eastAsia"/>
                <w:lang w:val="en-US" w:eastAsia="zh-CN"/>
              </w:rPr>
              <w:t>主要进行中药研发</w:t>
            </w:r>
            <w:r>
              <w:rPr>
                <w:rFonts w:hint="eastAsia"/>
                <w:lang w:eastAsia="zh-CN"/>
              </w:rPr>
              <w:t>，</w:t>
            </w:r>
            <w:r>
              <w:rPr>
                <w:rFonts w:hint="eastAsia"/>
                <w:lang w:val="en-US" w:eastAsia="zh-CN"/>
              </w:rPr>
              <w:t>虽不属于</w:t>
            </w:r>
            <w:r>
              <w:rPr>
                <w:rFonts w:hint="eastAsia"/>
                <w:color w:val="auto"/>
                <w:highlight w:val="none"/>
              </w:rPr>
              <w:t>淳化-湖熟片区</w:t>
            </w:r>
            <w:r>
              <w:rPr>
                <w:rFonts w:hint="eastAsia"/>
                <w:lang w:val="en-US" w:eastAsia="zh-CN"/>
              </w:rPr>
              <w:t>主导发展产业及重点发展产业，但也不在限制、禁止发展产业清单内，所以本项目</w:t>
            </w:r>
            <w:r>
              <w:rPr>
                <w:rFonts w:hint="eastAsia"/>
              </w:rPr>
              <w:t>属于允许</w:t>
            </w:r>
            <w:r>
              <w:rPr>
                <w:rFonts w:hint="eastAsia"/>
                <w:lang w:val="en-US" w:eastAsia="zh-CN"/>
              </w:rPr>
              <w:t>发展产业</w:t>
            </w:r>
            <w:r>
              <w:rPr>
                <w:rFonts w:hint="eastAsia"/>
                <w:lang w:eastAsia="zh-CN"/>
              </w:rPr>
              <w:t>，</w:t>
            </w:r>
            <w:r>
              <w:rPr>
                <w:rFonts w:hint="eastAsia"/>
                <w:lang w:val="en-US" w:eastAsia="zh-CN"/>
              </w:rPr>
              <w:t>不违背</w:t>
            </w:r>
            <w:r>
              <w:rPr>
                <w:rFonts w:hint="eastAsia"/>
                <w:color w:val="auto"/>
                <w:highlight w:val="none"/>
              </w:rPr>
              <w:t>淳化-湖熟片区</w:t>
            </w:r>
            <w:r>
              <w:rPr>
                <w:rFonts w:hint="eastAsia"/>
              </w:rPr>
              <w:t>产业</w:t>
            </w:r>
            <w:r>
              <w:rPr>
                <w:rFonts w:hint="eastAsia"/>
                <w:lang w:val="en-US" w:eastAsia="zh-CN"/>
              </w:rPr>
              <w:t>政策</w:t>
            </w:r>
            <w:r>
              <w:rPr>
                <w:rFonts w:hint="eastAsia"/>
              </w:rPr>
              <w:t>。</w:t>
            </w:r>
          </w:p>
          <w:p w14:paraId="1DE8052E">
            <w:pPr>
              <w:numPr>
                <w:ilvl w:val="0"/>
                <w:numId w:val="0"/>
              </w:numPr>
              <w:bidi w:val="0"/>
              <w:ind w:firstLine="482" w:firstLineChars="200"/>
              <w:rPr>
                <w:b/>
                <w:bCs/>
                <w:color w:val="auto"/>
                <w:highlight w:val="none"/>
              </w:rPr>
            </w:pPr>
            <w:r>
              <w:rPr>
                <w:rFonts w:hint="eastAsia"/>
                <w:b/>
                <w:bCs/>
                <w:color w:val="auto"/>
                <w:highlight w:val="none"/>
                <w:lang w:val="en-US" w:eastAsia="zh-CN"/>
              </w:rPr>
              <w:t>3</w:t>
            </w:r>
            <w:r>
              <w:rPr>
                <w:b/>
                <w:bCs/>
                <w:color w:val="auto"/>
                <w:highlight w:val="none"/>
              </w:rPr>
              <w:t>、</w:t>
            </w:r>
            <w:r>
              <w:rPr>
                <w:rFonts w:hint="default"/>
                <w:b/>
                <w:bCs/>
                <w:color w:val="auto"/>
                <w:highlight w:val="none"/>
                <w:lang w:val="en-US" w:eastAsia="zh-CN"/>
              </w:rPr>
              <w:t>与规划环评审查意见相符性分析</w:t>
            </w:r>
          </w:p>
          <w:p w14:paraId="46F74186">
            <w:pPr>
              <w:numPr>
                <w:ilvl w:val="0"/>
                <w:numId w:val="0"/>
              </w:numPr>
              <w:bidi w:val="0"/>
              <w:ind w:firstLine="480" w:firstLineChars="200"/>
              <w:rPr>
                <w:color w:val="auto"/>
                <w:highlight w:val="none"/>
                <w:lang w:val="zh-CN"/>
              </w:rPr>
            </w:pPr>
            <w:r>
              <w:rPr>
                <w:rFonts w:hint="eastAsia"/>
                <w:color w:val="auto"/>
                <w:highlight w:val="none"/>
                <w:lang w:val="en-US" w:eastAsia="zh-CN"/>
              </w:rPr>
              <w:t>对照《江宁经济技术开发区总体发展</w:t>
            </w:r>
            <w:sdt>
              <w:sdtPr>
                <w:rPr>
                  <w:color w:val="auto"/>
                  <w:highlight w:val="none"/>
                </w:rPr>
                <w:alias w:val="敏感词检查"/>
                <w:tag w:val="auto"/>
                <w:id w:val="3141140"/>
              </w:sdtPr>
              <w:sdtEndPr>
                <w:rPr>
                  <w:color w:val="auto"/>
                  <w:highlight w:val="none"/>
                </w:rPr>
              </w:sdtEndPr>
              <w:sdtContent>
                <w:bookmarkStart w:id="3" w:name="bkPolitics3141140"/>
                <w:r>
                  <w:rPr>
                    <w:rFonts w:hint="eastAsia"/>
                    <w:color w:val="auto"/>
                    <w:highlight w:val="none"/>
                    <w:lang w:val="en-US" w:eastAsia="zh-CN"/>
                  </w:rPr>
                  <w:t>规划（2020-2035）</w:t>
                </w:r>
                <w:bookmarkEnd w:id="3"/>
              </w:sdtContent>
            </w:sdt>
            <w:r>
              <w:rPr>
                <w:rFonts w:hint="eastAsia"/>
                <w:color w:val="auto"/>
                <w:highlight w:val="none"/>
                <w:lang w:val="en-US" w:eastAsia="zh-CN"/>
              </w:rPr>
              <w:t>环境影响评价报告书》的审查意见（环审〔2022〕46号），本项目与其相关内容相符性分析如下表。</w:t>
            </w:r>
          </w:p>
          <w:p w14:paraId="49D258CC">
            <w:pPr>
              <w:pStyle w:val="43"/>
              <w:bidi w:val="0"/>
              <w:ind w:left="0" w:leftChars="0" w:firstLine="0" w:firstLineChars="0"/>
              <w:rPr>
                <w:color w:val="auto"/>
                <w:highlight w:val="none"/>
              </w:rPr>
            </w:pPr>
            <w:r>
              <w:rPr>
                <w:color w:val="auto"/>
                <w:highlight w:val="none"/>
              </w:rPr>
              <w:t>本项目建设与开发区规划环评审查意见相关内容相符性</w:t>
            </w:r>
          </w:p>
          <w:tbl>
            <w:tblPr>
              <w:tblStyle w:val="32"/>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4002"/>
              <w:gridCol w:w="2317"/>
              <w:gridCol w:w="912"/>
            </w:tblGrid>
            <w:tr w14:paraId="0C00D0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tcBorders>
                    <w:top w:val="single" w:color="auto" w:sz="12" w:space="0"/>
                    <w:bottom w:val="single" w:color="auto" w:sz="6" w:space="0"/>
                    <w:right w:val="single" w:color="auto" w:sz="6" w:space="0"/>
                  </w:tcBorders>
                  <w:vAlign w:val="center"/>
                </w:tcPr>
                <w:p w14:paraId="2F24E209">
                  <w:pPr>
                    <w:pStyle w:val="41"/>
                    <w:bidi w:val="0"/>
                    <w:rPr>
                      <w:rFonts w:hint="default"/>
                      <w:b/>
                      <w:bCs/>
                      <w:color w:val="auto"/>
                      <w:highlight w:val="none"/>
                    </w:rPr>
                  </w:pPr>
                  <w:r>
                    <w:rPr>
                      <w:rFonts w:hint="default"/>
                      <w:b/>
                      <w:bCs/>
                      <w:color w:val="auto"/>
                      <w:highlight w:val="none"/>
                    </w:rPr>
                    <w:t>序号</w:t>
                  </w:r>
                </w:p>
              </w:tc>
              <w:tc>
                <w:tcPr>
                  <w:tcW w:w="2589" w:type="pct"/>
                  <w:tcBorders>
                    <w:top w:val="single" w:color="auto" w:sz="12" w:space="0"/>
                    <w:left w:val="single" w:color="auto" w:sz="6" w:space="0"/>
                    <w:bottom w:val="single" w:color="auto" w:sz="6" w:space="0"/>
                    <w:right w:val="single" w:color="auto" w:sz="6" w:space="0"/>
                  </w:tcBorders>
                  <w:vAlign w:val="center"/>
                </w:tcPr>
                <w:p w14:paraId="56F78964">
                  <w:pPr>
                    <w:pStyle w:val="41"/>
                    <w:bidi w:val="0"/>
                    <w:rPr>
                      <w:rFonts w:hint="default"/>
                      <w:b/>
                      <w:bCs/>
                      <w:color w:val="auto"/>
                      <w:highlight w:val="none"/>
                    </w:rPr>
                  </w:pPr>
                  <w:r>
                    <w:rPr>
                      <w:rFonts w:hint="default"/>
                      <w:b/>
                      <w:bCs/>
                      <w:color w:val="auto"/>
                      <w:highlight w:val="none"/>
                    </w:rPr>
                    <w:t>要求</w:t>
                  </w:r>
                </w:p>
              </w:tc>
              <w:tc>
                <w:tcPr>
                  <w:tcW w:w="1499" w:type="pct"/>
                  <w:tcBorders>
                    <w:top w:val="single" w:color="auto" w:sz="12" w:space="0"/>
                    <w:left w:val="single" w:color="auto" w:sz="6" w:space="0"/>
                    <w:bottom w:val="single" w:color="auto" w:sz="6" w:space="0"/>
                    <w:right w:val="single" w:color="auto" w:sz="6" w:space="0"/>
                  </w:tcBorders>
                  <w:vAlign w:val="center"/>
                </w:tcPr>
                <w:p w14:paraId="2360F25E">
                  <w:pPr>
                    <w:pStyle w:val="41"/>
                    <w:bidi w:val="0"/>
                    <w:rPr>
                      <w:rFonts w:hint="default"/>
                      <w:b/>
                      <w:bCs/>
                      <w:color w:val="auto"/>
                      <w:highlight w:val="none"/>
                    </w:rPr>
                  </w:pPr>
                  <w:r>
                    <w:rPr>
                      <w:rFonts w:hint="default"/>
                      <w:b/>
                      <w:bCs/>
                      <w:color w:val="auto"/>
                      <w:highlight w:val="none"/>
                    </w:rPr>
                    <w:t>符合性分析</w:t>
                  </w:r>
                </w:p>
              </w:tc>
              <w:tc>
                <w:tcPr>
                  <w:tcW w:w="590" w:type="pct"/>
                  <w:tcBorders>
                    <w:top w:val="single" w:color="auto" w:sz="12" w:space="0"/>
                    <w:left w:val="single" w:color="auto" w:sz="6" w:space="0"/>
                    <w:bottom w:val="single" w:color="auto" w:sz="6" w:space="0"/>
                  </w:tcBorders>
                  <w:vAlign w:val="center"/>
                </w:tcPr>
                <w:p w14:paraId="5EBEEE27">
                  <w:pPr>
                    <w:pStyle w:val="41"/>
                    <w:bidi w:val="0"/>
                    <w:rPr>
                      <w:rFonts w:hint="default"/>
                      <w:b/>
                      <w:bCs/>
                      <w:color w:val="auto"/>
                      <w:highlight w:val="none"/>
                    </w:rPr>
                  </w:pPr>
                  <w:r>
                    <w:rPr>
                      <w:rFonts w:hint="default"/>
                      <w:b/>
                      <w:bCs/>
                      <w:color w:val="auto"/>
                      <w:highlight w:val="none"/>
                    </w:rPr>
                    <w:t>相符性</w:t>
                  </w:r>
                </w:p>
              </w:tc>
            </w:tr>
            <w:tr w14:paraId="1F8FB0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tcBorders>
                    <w:top w:val="single" w:color="auto" w:sz="6" w:space="0"/>
                    <w:bottom w:val="single" w:color="auto" w:sz="6" w:space="0"/>
                    <w:right w:val="single" w:color="auto" w:sz="6" w:space="0"/>
                  </w:tcBorders>
                  <w:vAlign w:val="center"/>
                </w:tcPr>
                <w:p w14:paraId="18457E96">
                  <w:pPr>
                    <w:pStyle w:val="41"/>
                    <w:bidi w:val="0"/>
                    <w:rPr>
                      <w:rFonts w:hint="default"/>
                      <w:color w:val="auto"/>
                      <w:highlight w:val="none"/>
                    </w:rPr>
                  </w:pPr>
                  <w:r>
                    <w:rPr>
                      <w:rFonts w:hint="default"/>
                      <w:color w:val="auto"/>
                      <w:highlight w:val="none"/>
                    </w:rPr>
                    <w:t>1</w:t>
                  </w:r>
                </w:p>
              </w:tc>
              <w:tc>
                <w:tcPr>
                  <w:tcW w:w="2589" w:type="pct"/>
                  <w:tcBorders>
                    <w:top w:val="single" w:color="auto" w:sz="6" w:space="0"/>
                    <w:left w:val="single" w:color="auto" w:sz="6" w:space="0"/>
                    <w:bottom w:val="single" w:color="auto" w:sz="6" w:space="0"/>
                    <w:right w:val="single" w:color="auto" w:sz="6" w:space="0"/>
                  </w:tcBorders>
                  <w:vAlign w:val="center"/>
                </w:tcPr>
                <w:p w14:paraId="15D3E571">
                  <w:pPr>
                    <w:pStyle w:val="41"/>
                    <w:bidi w:val="0"/>
                    <w:rPr>
                      <w:rFonts w:hint="default"/>
                      <w:color w:val="auto"/>
                      <w:highlight w:val="none"/>
                    </w:rPr>
                  </w:pPr>
                  <w:r>
                    <w:rPr>
                      <w:rFonts w:hint="default"/>
                      <w:color w:val="auto"/>
                      <w:highlight w:val="none"/>
                      <w:lang w:val="zh-CN"/>
                    </w:rPr>
                    <w:t>开发区定位为</w:t>
                  </w:r>
                  <w:r>
                    <w:rPr>
                      <w:rFonts w:hint="eastAsia"/>
                      <w:color w:val="auto"/>
                      <w:highlight w:val="none"/>
                      <w:lang w:val="zh-CN"/>
                    </w:rPr>
                    <w:t>国际性科技创新先行区、制造业高质量发展示范区、江苏国际航空枢纽核心区、南京主城南部中心标志区、江宁生态人文融合活力区；总体空间结构为：“1核2元、2轴连心、3楔2廊、分片统筹”；制造业分布主要集中在三大片区，包括江南主城东山片区、淳化－湖熟片区、禄口空港片区三大片区。</w:t>
                  </w:r>
                  <w:r>
                    <w:rPr>
                      <w:rFonts w:hint="eastAsia"/>
                      <w:color w:val="auto"/>
                      <w:highlight w:val="none"/>
                      <w:lang w:val="en-US" w:eastAsia="zh-CN"/>
                    </w:rPr>
                    <w:t>禄口空港</w:t>
                  </w:r>
                  <w:r>
                    <w:rPr>
                      <w:rFonts w:hint="eastAsia"/>
                      <w:color w:val="auto"/>
                      <w:highlight w:val="none"/>
                      <w:lang w:val="zh-CN"/>
                    </w:rPr>
                    <w:t>片区的主导产业方向：航空及其配套产业、航空制造业、航空维修、临空高科技产业等</w:t>
                  </w:r>
                  <w:r>
                    <w:rPr>
                      <w:rFonts w:hint="default"/>
                      <w:color w:val="auto"/>
                      <w:highlight w:val="none"/>
                      <w:lang w:val="zh-CN"/>
                    </w:rPr>
                    <w:t>。</w:t>
                  </w:r>
                </w:p>
              </w:tc>
              <w:tc>
                <w:tcPr>
                  <w:tcW w:w="1499" w:type="pct"/>
                  <w:tcBorders>
                    <w:top w:val="single" w:color="auto" w:sz="6" w:space="0"/>
                    <w:left w:val="single" w:color="auto" w:sz="6" w:space="0"/>
                    <w:bottom w:val="single" w:color="auto" w:sz="6" w:space="0"/>
                    <w:right w:val="single" w:color="auto" w:sz="6" w:space="0"/>
                  </w:tcBorders>
                  <w:vAlign w:val="center"/>
                </w:tcPr>
                <w:p w14:paraId="6B8C21DE">
                  <w:pPr>
                    <w:pStyle w:val="41"/>
                    <w:bidi w:val="0"/>
                    <w:rPr>
                      <w:rFonts w:hint="default"/>
                      <w:color w:val="auto"/>
                      <w:sz w:val="21"/>
                      <w:szCs w:val="21"/>
                      <w:highlight w:val="none"/>
                    </w:rPr>
                  </w:pPr>
                  <w:r>
                    <w:rPr>
                      <w:rFonts w:hint="default"/>
                      <w:color w:val="auto"/>
                      <w:sz w:val="21"/>
                      <w:szCs w:val="21"/>
                      <w:highlight w:val="none"/>
                    </w:rPr>
                    <w:t>本项目</w:t>
                  </w:r>
                  <w:r>
                    <w:rPr>
                      <w:rFonts w:hint="eastAsia"/>
                      <w:color w:val="auto"/>
                      <w:sz w:val="21"/>
                      <w:szCs w:val="21"/>
                      <w:highlight w:val="none"/>
                      <w:lang w:val="en-US" w:eastAsia="zh-CN"/>
                    </w:rPr>
                    <w:t>主要进行中药研发</w:t>
                  </w:r>
                  <w:r>
                    <w:rPr>
                      <w:rFonts w:hint="default"/>
                      <w:color w:val="auto"/>
                      <w:sz w:val="21"/>
                      <w:szCs w:val="21"/>
                      <w:highlight w:val="none"/>
                    </w:rPr>
                    <w:t>，</w:t>
                  </w:r>
                  <w:r>
                    <w:rPr>
                      <w:rFonts w:hint="eastAsia"/>
                      <w:color w:val="auto"/>
                      <w:sz w:val="21"/>
                      <w:szCs w:val="21"/>
                      <w:highlight w:val="none"/>
                      <w:lang w:val="en-US" w:eastAsia="zh-CN"/>
                    </w:rPr>
                    <w:t>不</w:t>
                  </w:r>
                  <w:r>
                    <w:rPr>
                      <w:rFonts w:hint="default"/>
                      <w:color w:val="auto"/>
                      <w:sz w:val="21"/>
                      <w:szCs w:val="21"/>
                      <w:highlight w:val="none"/>
                    </w:rPr>
                    <w:t>属于淳化-湖熟片区</w:t>
                  </w:r>
                  <w:r>
                    <w:rPr>
                      <w:rFonts w:hint="eastAsia"/>
                      <w:color w:val="auto"/>
                      <w:sz w:val="21"/>
                      <w:szCs w:val="21"/>
                      <w:highlight w:val="none"/>
                      <w:lang w:val="en-US" w:eastAsia="zh-CN"/>
                    </w:rPr>
                    <w:t>禁止</w:t>
                  </w:r>
                  <w:r>
                    <w:rPr>
                      <w:rFonts w:hint="default"/>
                      <w:color w:val="auto"/>
                      <w:sz w:val="21"/>
                      <w:szCs w:val="21"/>
                      <w:highlight w:val="none"/>
                    </w:rPr>
                    <w:t>发展产业，功能定位符合规划要求。</w:t>
                  </w:r>
                </w:p>
              </w:tc>
              <w:tc>
                <w:tcPr>
                  <w:tcW w:w="590" w:type="pct"/>
                  <w:tcBorders>
                    <w:top w:val="single" w:color="auto" w:sz="6" w:space="0"/>
                    <w:left w:val="single" w:color="auto" w:sz="6" w:space="0"/>
                    <w:bottom w:val="single" w:color="auto" w:sz="6" w:space="0"/>
                  </w:tcBorders>
                  <w:vAlign w:val="center"/>
                </w:tcPr>
                <w:p w14:paraId="486EE654">
                  <w:pPr>
                    <w:pStyle w:val="41"/>
                    <w:bidi w:val="0"/>
                    <w:rPr>
                      <w:rFonts w:hint="eastAsia"/>
                      <w:color w:val="auto"/>
                      <w:highlight w:val="none"/>
                      <w:lang w:eastAsia="zh-CN"/>
                    </w:rPr>
                  </w:pPr>
                  <w:r>
                    <w:rPr>
                      <w:rFonts w:hint="eastAsia"/>
                      <w:color w:val="auto"/>
                      <w:highlight w:val="none"/>
                      <w:lang w:val="en-US" w:eastAsia="zh-CN"/>
                    </w:rPr>
                    <w:t>符合</w:t>
                  </w:r>
                </w:p>
              </w:tc>
            </w:tr>
            <w:tr w14:paraId="7D2369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tcBorders>
                    <w:top w:val="single" w:color="auto" w:sz="6" w:space="0"/>
                    <w:bottom w:val="single" w:color="auto" w:sz="6" w:space="0"/>
                    <w:right w:val="single" w:color="auto" w:sz="6" w:space="0"/>
                  </w:tcBorders>
                  <w:vAlign w:val="center"/>
                </w:tcPr>
                <w:p w14:paraId="6CB74A23">
                  <w:pPr>
                    <w:pStyle w:val="41"/>
                    <w:bidi w:val="0"/>
                    <w:rPr>
                      <w:rFonts w:hint="default"/>
                      <w:color w:val="auto"/>
                      <w:highlight w:val="none"/>
                      <w:lang w:val="en-US" w:eastAsia="zh-CN"/>
                    </w:rPr>
                  </w:pPr>
                  <w:r>
                    <w:rPr>
                      <w:rFonts w:hint="default"/>
                      <w:color w:val="auto"/>
                      <w:highlight w:val="none"/>
                    </w:rPr>
                    <w:t>2</w:t>
                  </w:r>
                </w:p>
              </w:tc>
              <w:tc>
                <w:tcPr>
                  <w:tcW w:w="2589" w:type="pct"/>
                  <w:tcBorders>
                    <w:top w:val="single" w:color="auto" w:sz="6" w:space="0"/>
                    <w:left w:val="single" w:color="auto" w:sz="6" w:space="0"/>
                    <w:bottom w:val="single" w:color="auto" w:sz="6" w:space="0"/>
                    <w:right w:val="single" w:color="auto" w:sz="6" w:space="0"/>
                  </w:tcBorders>
                  <w:vAlign w:val="center"/>
                </w:tcPr>
                <w:p w14:paraId="6C23F4D3">
                  <w:pPr>
                    <w:pStyle w:val="41"/>
                    <w:bidi w:val="0"/>
                    <w:rPr>
                      <w:rFonts w:hint="default"/>
                      <w:color w:val="auto"/>
                      <w:highlight w:val="none"/>
                      <w:lang w:val="zh-CN"/>
                    </w:rPr>
                  </w:pPr>
                  <w:r>
                    <w:rPr>
                      <w:rFonts w:hint="eastAsia"/>
                      <w:color w:val="auto"/>
                      <w:highlight w:val="none"/>
                      <w:lang w:val="zh-CN"/>
                    </w:rPr>
                    <w:t>坚持绿色发展和协调发展理念，加强《规划》引导。落实国家、区域发展战略，坚持生态优先、集约高效，以生态环境质量改善为核心，做好与各级国</w:t>
                  </w:r>
                  <w:r>
                    <w:rPr>
                      <w:rFonts w:hint="eastAsia"/>
                      <w:color w:val="auto"/>
                      <w:highlight w:val="none"/>
                      <w:lang w:val="en-US" w:eastAsia="zh-CN"/>
                    </w:rPr>
                    <w:t>土</w:t>
                  </w:r>
                  <w:r>
                    <w:rPr>
                      <w:rFonts w:hint="eastAsia"/>
                      <w:color w:val="auto"/>
                      <w:highlight w:val="none"/>
                      <w:lang w:val="zh-CN"/>
                    </w:rPr>
                    <w:t>空间规划和“三线一单”生态环境分区管控体系的协调衔接，进一步优化《规划》布局、产业定位和发展规模。</w:t>
                  </w:r>
                </w:p>
              </w:tc>
              <w:tc>
                <w:tcPr>
                  <w:tcW w:w="1499" w:type="pct"/>
                  <w:tcBorders>
                    <w:top w:val="single" w:color="auto" w:sz="6" w:space="0"/>
                    <w:left w:val="single" w:color="auto" w:sz="6" w:space="0"/>
                    <w:bottom w:val="single" w:color="auto" w:sz="6" w:space="0"/>
                    <w:right w:val="single" w:color="auto" w:sz="6" w:space="0"/>
                  </w:tcBorders>
                  <w:vAlign w:val="center"/>
                </w:tcPr>
                <w:p w14:paraId="49DAF912">
                  <w:pPr>
                    <w:pStyle w:val="41"/>
                    <w:bidi w:val="0"/>
                    <w:rPr>
                      <w:rFonts w:hint="default"/>
                      <w:color w:val="auto"/>
                      <w:sz w:val="21"/>
                      <w:szCs w:val="21"/>
                      <w:highlight w:val="none"/>
                      <w:lang w:val="en-US" w:eastAsia="zh-CN"/>
                    </w:rPr>
                  </w:pPr>
                  <w:r>
                    <w:rPr>
                      <w:rFonts w:hint="eastAsia"/>
                      <w:color w:val="auto"/>
                      <w:sz w:val="21"/>
                      <w:szCs w:val="21"/>
                      <w:highlight w:val="none"/>
                      <w:lang w:val="en-US" w:eastAsia="zh-CN"/>
                    </w:rPr>
                    <w:t>本项目满足“三线一单”生态环境分区管控准入要求。</w:t>
                  </w:r>
                </w:p>
              </w:tc>
              <w:tc>
                <w:tcPr>
                  <w:tcW w:w="590" w:type="pct"/>
                  <w:tcBorders>
                    <w:top w:val="single" w:color="auto" w:sz="6" w:space="0"/>
                    <w:left w:val="single" w:color="auto" w:sz="6" w:space="0"/>
                    <w:bottom w:val="single" w:color="auto" w:sz="6" w:space="0"/>
                  </w:tcBorders>
                  <w:vAlign w:val="center"/>
                </w:tcPr>
                <w:p w14:paraId="1A1CE08D">
                  <w:pPr>
                    <w:pStyle w:val="41"/>
                    <w:bidi w:val="0"/>
                    <w:rPr>
                      <w:rFonts w:hint="eastAsia"/>
                      <w:color w:val="auto"/>
                      <w:highlight w:val="none"/>
                      <w:lang w:val="en-US" w:eastAsia="zh-CN"/>
                    </w:rPr>
                  </w:pPr>
                  <w:r>
                    <w:rPr>
                      <w:rFonts w:hint="eastAsia"/>
                      <w:color w:val="auto"/>
                      <w:highlight w:val="none"/>
                      <w:lang w:val="en-US" w:eastAsia="zh-CN"/>
                    </w:rPr>
                    <w:t>符合</w:t>
                  </w:r>
                </w:p>
              </w:tc>
            </w:tr>
            <w:tr w14:paraId="1DBA34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320" w:type="pct"/>
                  <w:tcBorders>
                    <w:top w:val="single" w:color="auto" w:sz="6" w:space="0"/>
                    <w:bottom w:val="single" w:color="auto" w:sz="6" w:space="0"/>
                    <w:right w:val="single" w:color="auto" w:sz="6" w:space="0"/>
                  </w:tcBorders>
                  <w:vAlign w:val="center"/>
                </w:tcPr>
                <w:p w14:paraId="41F40BF0">
                  <w:pPr>
                    <w:pStyle w:val="41"/>
                    <w:bidi w:val="0"/>
                    <w:rPr>
                      <w:rFonts w:hint="default"/>
                      <w:color w:val="auto"/>
                      <w:highlight w:val="none"/>
                      <w:lang w:val="en-US" w:eastAsia="zh-CN"/>
                    </w:rPr>
                  </w:pPr>
                  <w:r>
                    <w:rPr>
                      <w:rFonts w:hint="default"/>
                      <w:color w:val="auto"/>
                      <w:highlight w:val="none"/>
                    </w:rPr>
                    <w:t>3</w:t>
                  </w:r>
                </w:p>
              </w:tc>
              <w:tc>
                <w:tcPr>
                  <w:tcW w:w="2589" w:type="pct"/>
                  <w:tcBorders>
                    <w:top w:val="single" w:color="auto" w:sz="6" w:space="0"/>
                    <w:left w:val="single" w:color="auto" w:sz="6" w:space="0"/>
                    <w:bottom w:val="single" w:color="auto" w:sz="6" w:space="0"/>
                    <w:right w:val="single" w:color="auto" w:sz="6" w:space="0"/>
                  </w:tcBorders>
                  <w:vAlign w:val="center"/>
                </w:tcPr>
                <w:p w14:paraId="56C02C43">
                  <w:pPr>
                    <w:pStyle w:val="41"/>
                    <w:bidi w:val="0"/>
                    <w:rPr>
                      <w:rFonts w:hint="default"/>
                      <w:color w:val="auto"/>
                      <w:highlight w:val="none"/>
                    </w:rPr>
                  </w:pPr>
                  <w:r>
                    <w:rPr>
                      <w:rFonts w:hint="eastAsia"/>
                      <w:color w:val="auto"/>
                      <w:highlight w:val="none"/>
                    </w:rPr>
                    <w:t>根据国家及地方碳达峰行动方案和节能减排工作要求</w:t>
                  </w:r>
                  <w:r>
                    <w:rPr>
                      <w:rFonts w:hint="eastAsia"/>
                      <w:color w:val="auto"/>
                      <w:highlight w:val="none"/>
                      <w:lang w:eastAsia="zh-CN"/>
                    </w:rPr>
                    <w:t>，</w:t>
                  </w:r>
                  <w:r>
                    <w:rPr>
                      <w:rFonts w:hint="eastAsia"/>
                      <w:color w:val="auto"/>
                      <w:highlight w:val="none"/>
                    </w:rPr>
                    <w:t>推进经开区绿色低碳转型发展。优化产业结构、能源结构、交通运输结构等规划内容</w:t>
                  </w:r>
                  <w:r>
                    <w:rPr>
                      <w:rFonts w:hint="eastAsia"/>
                      <w:color w:val="auto"/>
                      <w:highlight w:val="none"/>
                      <w:lang w:eastAsia="zh-CN"/>
                    </w:rPr>
                    <w:t>，</w:t>
                  </w:r>
                  <w:r>
                    <w:rPr>
                      <w:rFonts w:hint="eastAsia"/>
                      <w:color w:val="auto"/>
                      <w:highlight w:val="none"/>
                    </w:rPr>
                    <w:t>促进实现减污降碳协同增效目标。</w:t>
                  </w:r>
                </w:p>
              </w:tc>
              <w:tc>
                <w:tcPr>
                  <w:tcW w:w="1499" w:type="pct"/>
                  <w:tcBorders>
                    <w:top w:val="single" w:color="auto" w:sz="6" w:space="0"/>
                    <w:left w:val="single" w:color="auto" w:sz="6" w:space="0"/>
                    <w:bottom w:val="single" w:color="auto" w:sz="6" w:space="0"/>
                    <w:right w:val="single" w:color="auto" w:sz="6" w:space="0"/>
                  </w:tcBorders>
                  <w:vAlign w:val="center"/>
                </w:tcPr>
                <w:p w14:paraId="3381BED6">
                  <w:pPr>
                    <w:pStyle w:val="41"/>
                    <w:bidi w:val="0"/>
                    <w:rPr>
                      <w:rFonts w:hint="default"/>
                      <w:color w:val="auto"/>
                      <w:highlight w:val="none"/>
                      <w:lang w:val="en-US" w:eastAsia="zh-CN"/>
                    </w:rPr>
                  </w:pPr>
                  <w:r>
                    <w:rPr>
                      <w:rFonts w:hint="eastAsia"/>
                      <w:color w:val="auto"/>
                      <w:szCs w:val="21"/>
                      <w:highlight w:val="none"/>
                      <w:lang w:val="zh-CN"/>
                    </w:rPr>
                    <w:t>本项目能源消耗主要为水、</w:t>
                  </w:r>
                  <w:r>
                    <w:rPr>
                      <w:rFonts w:hint="eastAsia"/>
                      <w:color w:val="auto"/>
                      <w:szCs w:val="21"/>
                      <w:highlight w:val="none"/>
                      <w:lang w:val="en-US" w:eastAsia="zh-CN"/>
                    </w:rPr>
                    <w:t>电</w:t>
                  </w:r>
                  <w:r>
                    <w:rPr>
                      <w:rFonts w:hint="eastAsia"/>
                      <w:color w:val="auto"/>
                      <w:szCs w:val="21"/>
                      <w:highlight w:val="none"/>
                      <w:lang w:val="zh-CN"/>
                    </w:rPr>
                    <w:t>，</w:t>
                  </w:r>
                  <w:r>
                    <w:rPr>
                      <w:color w:val="auto"/>
                      <w:szCs w:val="21"/>
                      <w:highlight w:val="none"/>
                      <w:lang w:val="zh-CN"/>
                    </w:rPr>
                    <w:t>本项目</w:t>
                  </w:r>
                  <w:r>
                    <w:rPr>
                      <w:rFonts w:hint="eastAsia"/>
                      <w:color w:val="auto"/>
                      <w:szCs w:val="21"/>
                      <w:highlight w:val="none"/>
                      <w:lang w:val="zh-CN"/>
                    </w:rPr>
                    <w:t>在运行过程中</w:t>
                  </w:r>
                  <w:r>
                    <w:rPr>
                      <w:rFonts w:hint="eastAsia"/>
                      <w:color w:val="auto"/>
                      <w:szCs w:val="21"/>
                      <w:highlight w:val="none"/>
                    </w:rPr>
                    <w:t>落实节水、节电各项措施，满足节能减排工作要求。</w:t>
                  </w:r>
                </w:p>
              </w:tc>
              <w:tc>
                <w:tcPr>
                  <w:tcW w:w="590" w:type="pct"/>
                  <w:tcBorders>
                    <w:top w:val="single" w:color="auto" w:sz="6" w:space="0"/>
                    <w:left w:val="single" w:color="auto" w:sz="6" w:space="0"/>
                    <w:bottom w:val="single" w:color="auto" w:sz="6" w:space="0"/>
                  </w:tcBorders>
                  <w:vAlign w:val="center"/>
                </w:tcPr>
                <w:p w14:paraId="116E0160">
                  <w:pPr>
                    <w:pStyle w:val="41"/>
                    <w:bidi w:val="0"/>
                    <w:rPr>
                      <w:rFonts w:hint="default"/>
                      <w:color w:val="auto"/>
                      <w:highlight w:val="none"/>
                    </w:rPr>
                  </w:pPr>
                  <w:r>
                    <w:rPr>
                      <w:rFonts w:hint="default"/>
                      <w:color w:val="auto"/>
                      <w:highlight w:val="none"/>
                    </w:rPr>
                    <w:t>符合</w:t>
                  </w:r>
                </w:p>
              </w:tc>
            </w:tr>
            <w:tr w14:paraId="607A64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tcBorders>
                    <w:top w:val="single" w:color="auto" w:sz="6" w:space="0"/>
                    <w:bottom w:val="single" w:color="auto" w:sz="6" w:space="0"/>
                    <w:right w:val="single" w:color="auto" w:sz="6" w:space="0"/>
                  </w:tcBorders>
                  <w:vAlign w:val="center"/>
                </w:tcPr>
                <w:p w14:paraId="70CD5305">
                  <w:pPr>
                    <w:pStyle w:val="41"/>
                    <w:bidi w:val="0"/>
                    <w:rPr>
                      <w:rFonts w:hint="default"/>
                      <w:color w:val="auto"/>
                      <w:highlight w:val="none"/>
                      <w:lang w:val="en-US" w:eastAsia="zh-CN"/>
                    </w:rPr>
                  </w:pPr>
                  <w:r>
                    <w:rPr>
                      <w:rFonts w:hint="default"/>
                      <w:color w:val="auto"/>
                      <w:highlight w:val="none"/>
                    </w:rPr>
                    <w:t>4</w:t>
                  </w:r>
                </w:p>
              </w:tc>
              <w:tc>
                <w:tcPr>
                  <w:tcW w:w="2589" w:type="pct"/>
                  <w:tcBorders>
                    <w:top w:val="single" w:color="auto" w:sz="6" w:space="0"/>
                    <w:left w:val="single" w:color="auto" w:sz="6" w:space="0"/>
                    <w:bottom w:val="single" w:color="auto" w:sz="6" w:space="0"/>
                    <w:right w:val="single" w:color="auto" w:sz="6" w:space="0"/>
                  </w:tcBorders>
                  <w:vAlign w:val="center"/>
                </w:tcPr>
                <w:p w14:paraId="736DFBBD">
                  <w:pPr>
                    <w:pStyle w:val="41"/>
                    <w:bidi w:val="0"/>
                    <w:rPr>
                      <w:rFonts w:hint="default"/>
                      <w:color w:val="auto"/>
                      <w:highlight w:val="none"/>
                    </w:rPr>
                  </w:pPr>
                  <w:r>
                    <w:rPr>
                      <w:rFonts w:hint="eastAsia"/>
                      <w:color w:val="auto"/>
                      <w:highlight w:val="none"/>
                    </w:rPr>
                    <w:t>着力推动经开区产业结构调整和转型升级。从区域环境质量改善和环境风险防范角度</w:t>
                  </w:r>
                  <w:r>
                    <w:rPr>
                      <w:rFonts w:hint="eastAsia"/>
                      <w:color w:val="auto"/>
                      <w:highlight w:val="none"/>
                      <w:lang w:eastAsia="zh-CN"/>
                    </w:rPr>
                    <w:t>，</w:t>
                  </w:r>
                  <w:r>
                    <w:rPr>
                      <w:rFonts w:hint="eastAsia"/>
                      <w:color w:val="auto"/>
                      <w:highlight w:val="none"/>
                    </w:rPr>
                    <w:t>统筹优化</w:t>
                  </w:r>
                  <w:r>
                    <w:rPr>
                      <w:rFonts w:hint="eastAsia"/>
                      <w:color w:val="auto"/>
                      <w:highlight w:val="none"/>
                      <w:lang w:eastAsia="zh-CN"/>
                    </w:rPr>
                    <w:t>各</w:t>
                  </w:r>
                  <w:r>
                    <w:rPr>
                      <w:rFonts w:hint="eastAsia"/>
                      <w:color w:val="auto"/>
                      <w:highlight w:val="none"/>
                    </w:rPr>
                    <w:t>片区产业定位和发展规模</w:t>
                  </w:r>
                  <w:r>
                    <w:rPr>
                      <w:rFonts w:hint="eastAsia"/>
                      <w:color w:val="auto"/>
                      <w:highlight w:val="none"/>
                      <w:lang w:eastAsia="zh-CN"/>
                    </w:rPr>
                    <w:t>；</w:t>
                  </w:r>
                  <w:r>
                    <w:rPr>
                      <w:rFonts w:hint="eastAsia"/>
                      <w:color w:val="auto"/>
                      <w:highlight w:val="none"/>
                    </w:rPr>
                    <w:t>优化东山片区产业布局及用地布局</w:t>
                  </w:r>
                  <w:r>
                    <w:rPr>
                      <w:rFonts w:hint="eastAsia"/>
                      <w:color w:val="auto"/>
                      <w:highlight w:val="none"/>
                      <w:lang w:eastAsia="zh-CN"/>
                    </w:rPr>
                    <w:t>，</w:t>
                  </w:r>
                  <w:r>
                    <w:rPr>
                      <w:rFonts w:hint="eastAsia"/>
                      <w:color w:val="auto"/>
                      <w:highlight w:val="none"/>
                    </w:rPr>
                    <w:t>限制上海大众、卫岗乳业发展规模</w:t>
                  </w:r>
                  <w:r>
                    <w:rPr>
                      <w:rFonts w:hint="eastAsia"/>
                      <w:color w:val="auto"/>
                      <w:highlight w:val="none"/>
                      <w:lang w:eastAsia="zh-CN"/>
                    </w:rPr>
                    <w:t>，</w:t>
                  </w:r>
                  <w:r>
                    <w:rPr>
                      <w:rFonts w:hint="eastAsia"/>
                      <w:color w:val="auto"/>
                      <w:highlight w:val="none"/>
                    </w:rPr>
                    <w:t>推进产业升级和环保措施提标改造。加快推进实施“优二进三”试点片区企业</w:t>
                  </w:r>
                  <w:r>
                    <w:rPr>
                      <w:rFonts w:hint="eastAsia"/>
                      <w:color w:val="auto"/>
                      <w:highlight w:val="none"/>
                      <w:lang w:eastAsia="zh-CN"/>
                    </w:rPr>
                    <w:t>，</w:t>
                  </w:r>
                  <w:r>
                    <w:rPr>
                      <w:rFonts w:hint="eastAsia"/>
                      <w:color w:val="auto"/>
                      <w:highlight w:val="none"/>
                    </w:rPr>
                    <w:t>以及百家湖、九龙湖片区用地效率低企业搬迁或转型升级工作</w:t>
                  </w:r>
                  <w:r>
                    <w:rPr>
                      <w:rFonts w:hint="eastAsia"/>
                      <w:color w:val="auto"/>
                      <w:highlight w:val="none"/>
                      <w:lang w:eastAsia="zh-CN"/>
                    </w:rPr>
                    <w:t>，</w:t>
                  </w:r>
                  <w:r>
                    <w:rPr>
                      <w:rFonts w:hint="eastAsia"/>
                      <w:color w:val="auto"/>
                      <w:highlight w:val="none"/>
                    </w:rPr>
                    <w:t>加快落实南京美星鹏科技实业有限公司、南京海欣丽宁长毛绒有限公司等企业的相关管控要求</w:t>
                  </w:r>
                  <w:r>
                    <w:rPr>
                      <w:rFonts w:hint="eastAsia"/>
                      <w:color w:val="auto"/>
                      <w:highlight w:val="none"/>
                      <w:lang w:eastAsia="zh-CN"/>
                    </w:rPr>
                    <w:t>，</w:t>
                  </w:r>
                  <w:r>
                    <w:rPr>
                      <w:rFonts w:hint="eastAsia"/>
                      <w:color w:val="auto"/>
                      <w:highlight w:val="none"/>
                    </w:rPr>
                    <w:t>促进经开区产业转型升级与生态环境保护、人居环境安全相协调。</w:t>
                  </w:r>
                </w:p>
              </w:tc>
              <w:tc>
                <w:tcPr>
                  <w:tcW w:w="1499" w:type="pct"/>
                  <w:tcBorders>
                    <w:top w:val="single" w:color="auto" w:sz="6" w:space="0"/>
                    <w:left w:val="single" w:color="auto" w:sz="6" w:space="0"/>
                    <w:bottom w:val="single" w:color="auto" w:sz="6" w:space="0"/>
                    <w:right w:val="single" w:color="auto" w:sz="6" w:space="0"/>
                  </w:tcBorders>
                  <w:vAlign w:val="center"/>
                </w:tcPr>
                <w:p w14:paraId="7E03F2B8">
                  <w:pPr>
                    <w:pStyle w:val="41"/>
                    <w:bidi w:val="0"/>
                    <w:rPr>
                      <w:rFonts w:hint="default"/>
                      <w:color w:val="auto"/>
                      <w:highlight w:val="none"/>
                    </w:rPr>
                  </w:pPr>
                  <w:r>
                    <w:rPr>
                      <w:rFonts w:hint="default"/>
                      <w:color w:val="auto"/>
                      <w:sz w:val="21"/>
                      <w:szCs w:val="21"/>
                      <w:highlight w:val="none"/>
                    </w:rPr>
                    <w:t>本项目</w:t>
                  </w:r>
                  <w:r>
                    <w:rPr>
                      <w:rFonts w:hint="eastAsia"/>
                      <w:color w:val="auto"/>
                      <w:sz w:val="21"/>
                      <w:szCs w:val="21"/>
                      <w:highlight w:val="none"/>
                      <w:lang w:val="en-US" w:eastAsia="zh-CN"/>
                    </w:rPr>
                    <w:t>主要进行中药研发</w:t>
                  </w:r>
                  <w:r>
                    <w:rPr>
                      <w:rFonts w:hint="default"/>
                      <w:color w:val="auto"/>
                      <w:sz w:val="21"/>
                      <w:szCs w:val="21"/>
                      <w:highlight w:val="none"/>
                    </w:rPr>
                    <w:t>。</w:t>
                  </w:r>
                  <w:r>
                    <w:rPr>
                      <w:rFonts w:hint="eastAsia"/>
                      <w:color w:val="auto"/>
                      <w:sz w:val="21"/>
                      <w:szCs w:val="21"/>
                      <w:highlight w:val="none"/>
                      <w:lang w:val="en-US" w:eastAsia="zh-CN"/>
                    </w:rPr>
                    <w:t>不</w:t>
                  </w:r>
                  <w:r>
                    <w:rPr>
                      <w:rFonts w:hint="default"/>
                      <w:color w:val="auto"/>
                      <w:sz w:val="21"/>
                      <w:szCs w:val="21"/>
                      <w:highlight w:val="none"/>
                    </w:rPr>
                    <w:t>属于淳化-湖熟片区的</w:t>
                  </w:r>
                  <w:r>
                    <w:rPr>
                      <w:rFonts w:hint="eastAsia"/>
                      <w:color w:val="auto"/>
                      <w:sz w:val="21"/>
                      <w:szCs w:val="21"/>
                      <w:highlight w:val="none"/>
                      <w:lang w:val="en-US" w:eastAsia="zh-CN"/>
                    </w:rPr>
                    <w:t>禁止</w:t>
                  </w:r>
                  <w:r>
                    <w:rPr>
                      <w:rFonts w:hint="default"/>
                      <w:color w:val="auto"/>
                      <w:sz w:val="21"/>
                      <w:szCs w:val="21"/>
                      <w:highlight w:val="none"/>
                    </w:rPr>
                    <w:t>发展产业。</w:t>
                  </w:r>
                </w:p>
              </w:tc>
              <w:tc>
                <w:tcPr>
                  <w:tcW w:w="590" w:type="pct"/>
                  <w:tcBorders>
                    <w:top w:val="single" w:color="auto" w:sz="6" w:space="0"/>
                    <w:left w:val="single" w:color="auto" w:sz="6" w:space="0"/>
                    <w:bottom w:val="single" w:color="auto" w:sz="6" w:space="0"/>
                  </w:tcBorders>
                  <w:vAlign w:val="center"/>
                </w:tcPr>
                <w:p w14:paraId="5152686F">
                  <w:pPr>
                    <w:pStyle w:val="41"/>
                    <w:bidi w:val="0"/>
                    <w:rPr>
                      <w:rFonts w:hint="eastAsia"/>
                      <w:color w:val="auto"/>
                      <w:highlight w:val="none"/>
                      <w:lang w:eastAsia="zh-CN"/>
                    </w:rPr>
                  </w:pPr>
                  <w:r>
                    <w:rPr>
                      <w:rFonts w:hint="default"/>
                      <w:color w:val="auto"/>
                      <w:highlight w:val="none"/>
                    </w:rPr>
                    <w:t>符合</w:t>
                  </w:r>
                </w:p>
              </w:tc>
            </w:tr>
            <w:tr w14:paraId="4E0DE7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tcBorders>
                    <w:top w:val="single" w:color="auto" w:sz="6" w:space="0"/>
                    <w:bottom w:val="single" w:color="auto" w:sz="6" w:space="0"/>
                    <w:right w:val="single" w:color="auto" w:sz="6" w:space="0"/>
                  </w:tcBorders>
                  <w:vAlign w:val="center"/>
                </w:tcPr>
                <w:p w14:paraId="00735FD0">
                  <w:pPr>
                    <w:pStyle w:val="41"/>
                    <w:bidi w:val="0"/>
                    <w:rPr>
                      <w:rFonts w:hint="eastAsia"/>
                      <w:color w:val="auto"/>
                      <w:highlight w:val="none"/>
                      <w:lang w:val="en-US" w:eastAsia="zh-CN"/>
                    </w:rPr>
                  </w:pPr>
                  <w:r>
                    <w:rPr>
                      <w:rFonts w:hint="eastAsia"/>
                      <w:color w:val="auto"/>
                      <w:highlight w:val="none"/>
                      <w:lang w:val="en-US" w:eastAsia="zh-CN"/>
                    </w:rPr>
                    <w:t>5</w:t>
                  </w:r>
                </w:p>
              </w:tc>
              <w:tc>
                <w:tcPr>
                  <w:tcW w:w="2589" w:type="pct"/>
                  <w:tcBorders>
                    <w:top w:val="single" w:color="auto" w:sz="6" w:space="0"/>
                    <w:left w:val="single" w:color="auto" w:sz="6" w:space="0"/>
                    <w:bottom w:val="single" w:color="auto" w:sz="6" w:space="0"/>
                    <w:right w:val="single" w:color="auto" w:sz="6" w:space="0"/>
                  </w:tcBorders>
                  <w:vAlign w:val="center"/>
                </w:tcPr>
                <w:p w14:paraId="725E22C3">
                  <w:pPr>
                    <w:pStyle w:val="41"/>
                    <w:bidi w:val="0"/>
                    <w:rPr>
                      <w:rFonts w:hint="eastAsia"/>
                      <w:color w:val="auto"/>
                      <w:highlight w:val="none"/>
                    </w:rPr>
                  </w:pPr>
                  <w:r>
                    <w:rPr>
                      <w:rFonts w:hint="eastAsia"/>
                      <w:color w:val="auto"/>
                      <w:highlight w:val="none"/>
                    </w:rPr>
                    <w:t>严格空间管控</w:t>
                  </w:r>
                  <w:r>
                    <w:rPr>
                      <w:rFonts w:hint="eastAsia"/>
                      <w:color w:val="auto"/>
                      <w:highlight w:val="none"/>
                      <w:lang w:eastAsia="zh-CN"/>
                    </w:rPr>
                    <w:t>，</w:t>
                  </w:r>
                  <w:r>
                    <w:rPr>
                      <w:rFonts w:hint="eastAsia"/>
                      <w:color w:val="auto"/>
                      <w:highlight w:val="none"/>
                    </w:rPr>
                    <w:t>优化空间布局。做好《规划》控制和生态隔离带建设</w:t>
                  </w:r>
                  <w:r>
                    <w:rPr>
                      <w:rFonts w:hint="eastAsia"/>
                      <w:color w:val="auto"/>
                      <w:highlight w:val="none"/>
                      <w:lang w:eastAsia="zh-CN"/>
                    </w:rPr>
                    <w:t>，</w:t>
                  </w:r>
                  <w:r>
                    <w:rPr>
                      <w:rFonts w:hint="eastAsia"/>
                      <w:color w:val="auto"/>
                      <w:highlight w:val="none"/>
                    </w:rPr>
                    <w:t>加强对经开区内森林公园、地质公园等生态敏感区的保护</w:t>
                  </w:r>
                  <w:r>
                    <w:rPr>
                      <w:rFonts w:hint="eastAsia"/>
                      <w:color w:val="auto"/>
                      <w:highlight w:val="none"/>
                      <w:lang w:eastAsia="zh-CN"/>
                    </w:rPr>
                    <w:t>，</w:t>
                  </w:r>
                  <w:r>
                    <w:rPr>
                      <w:rFonts w:hint="eastAsia"/>
                      <w:color w:val="auto"/>
                      <w:highlight w:val="none"/>
                    </w:rPr>
                    <w:t>严禁不符合管控要求的各类开发建设活动。取消南京大塘金省级森林公园、牛首一祖堂风景名胜区、江宁方山省级森林公园和汤山一方山国家地质公园等生态保护红线和生态空间管控区域内不符合管控要求的规划建设安排。</w:t>
                  </w:r>
                </w:p>
              </w:tc>
              <w:tc>
                <w:tcPr>
                  <w:tcW w:w="1499" w:type="pct"/>
                  <w:tcBorders>
                    <w:top w:val="single" w:color="auto" w:sz="6" w:space="0"/>
                    <w:left w:val="single" w:color="auto" w:sz="6" w:space="0"/>
                    <w:bottom w:val="single" w:color="auto" w:sz="6" w:space="0"/>
                    <w:right w:val="single" w:color="auto" w:sz="6" w:space="0"/>
                  </w:tcBorders>
                  <w:vAlign w:val="center"/>
                </w:tcPr>
                <w:p w14:paraId="786EE542">
                  <w:pPr>
                    <w:pStyle w:val="41"/>
                    <w:bidi w:val="0"/>
                    <w:rPr>
                      <w:rFonts w:hint="default"/>
                      <w:color w:val="auto"/>
                      <w:highlight w:val="none"/>
                      <w:lang w:val="en-US" w:eastAsia="zh-CN"/>
                    </w:rPr>
                  </w:pPr>
                  <w:r>
                    <w:rPr>
                      <w:rFonts w:hint="eastAsia"/>
                      <w:color w:val="auto"/>
                      <w:highlight w:val="none"/>
                      <w:lang w:val="en-US" w:eastAsia="zh-CN"/>
                    </w:rPr>
                    <w:t>本项目所在位置不涉及</w:t>
                  </w:r>
                  <w:r>
                    <w:rPr>
                      <w:rFonts w:hint="eastAsia"/>
                      <w:color w:val="auto"/>
                      <w:highlight w:val="none"/>
                    </w:rPr>
                    <w:t>生态保护红线和生态空间管控区域</w:t>
                  </w:r>
                  <w:r>
                    <w:rPr>
                      <w:rFonts w:hint="eastAsia"/>
                      <w:color w:val="auto"/>
                      <w:highlight w:val="none"/>
                      <w:lang w:val="en-US" w:eastAsia="zh-CN"/>
                    </w:rPr>
                    <w:t>。</w:t>
                  </w:r>
                </w:p>
              </w:tc>
              <w:tc>
                <w:tcPr>
                  <w:tcW w:w="590" w:type="pct"/>
                  <w:tcBorders>
                    <w:top w:val="single" w:color="auto" w:sz="6" w:space="0"/>
                    <w:left w:val="single" w:color="auto" w:sz="6" w:space="0"/>
                    <w:bottom w:val="single" w:color="auto" w:sz="6" w:space="0"/>
                  </w:tcBorders>
                  <w:vAlign w:val="center"/>
                </w:tcPr>
                <w:p w14:paraId="70219FEA">
                  <w:pPr>
                    <w:pStyle w:val="41"/>
                    <w:bidi w:val="0"/>
                    <w:rPr>
                      <w:rFonts w:hint="eastAsia"/>
                      <w:color w:val="auto"/>
                      <w:highlight w:val="none"/>
                      <w:lang w:eastAsia="zh-CN"/>
                    </w:rPr>
                  </w:pPr>
                  <w:r>
                    <w:rPr>
                      <w:rFonts w:hint="eastAsia"/>
                      <w:color w:val="auto"/>
                      <w:highlight w:val="none"/>
                      <w:lang w:eastAsia="zh-CN"/>
                    </w:rPr>
                    <w:t>符合</w:t>
                  </w:r>
                </w:p>
              </w:tc>
            </w:tr>
            <w:tr w14:paraId="5DA4A2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tcBorders>
                    <w:top w:val="single" w:color="auto" w:sz="6" w:space="0"/>
                    <w:bottom w:val="single" w:color="auto" w:sz="6" w:space="0"/>
                    <w:right w:val="single" w:color="auto" w:sz="6" w:space="0"/>
                  </w:tcBorders>
                  <w:vAlign w:val="center"/>
                </w:tcPr>
                <w:p w14:paraId="0BA3931A">
                  <w:pPr>
                    <w:pStyle w:val="41"/>
                    <w:bidi w:val="0"/>
                    <w:rPr>
                      <w:rFonts w:hint="default"/>
                      <w:color w:val="auto"/>
                      <w:highlight w:val="none"/>
                      <w:lang w:val="en-US" w:eastAsia="zh-CN"/>
                    </w:rPr>
                  </w:pPr>
                  <w:r>
                    <w:rPr>
                      <w:rFonts w:hint="eastAsia"/>
                      <w:color w:val="auto"/>
                      <w:highlight w:val="none"/>
                      <w:lang w:val="en-US" w:eastAsia="zh-CN"/>
                    </w:rPr>
                    <w:t>6</w:t>
                  </w:r>
                </w:p>
              </w:tc>
              <w:tc>
                <w:tcPr>
                  <w:tcW w:w="2589" w:type="pct"/>
                  <w:tcBorders>
                    <w:top w:val="single" w:color="auto" w:sz="6" w:space="0"/>
                    <w:left w:val="single" w:color="auto" w:sz="6" w:space="0"/>
                    <w:bottom w:val="single" w:color="auto" w:sz="6" w:space="0"/>
                    <w:right w:val="single" w:color="auto" w:sz="6" w:space="0"/>
                  </w:tcBorders>
                  <w:vAlign w:val="center"/>
                </w:tcPr>
                <w:p w14:paraId="27AEE86E">
                  <w:pPr>
                    <w:pStyle w:val="41"/>
                    <w:bidi w:val="0"/>
                    <w:rPr>
                      <w:rFonts w:hint="default"/>
                      <w:color w:val="auto"/>
                      <w:highlight w:val="none"/>
                    </w:rPr>
                  </w:pPr>
                  <w:r>
                    <w:rPr>
                      <w:rFonts w:hint="eastAsia"/>
                      <w:color w:val="auto"/>
                      <w:highlight w:val="none"/>
                    </w:rPr>
                    <w:t>严守环境质量底线</w:t>
                  </w:r>
                  <w:r>
                    <w:rPr>
                      <w:rFonts w:hint="eastAsia"/>
                      <w:color w:val="auto"/>
                      <w:highlight w:val="none"/>
                      <w:lang w:eastAsia="zh-CN"/>
                    </w:rPr>
                    <w:t>，</w:t>
                  </w:r>
                  <w:r>
                    <w:rPr>
                      <w:rFonts w:hint="eastAsia"/>
                      <w:color w:val="auto"/>
                      <w:highlight w:val="none"/>
                    </w:rPr>
                    <w:t>强化污染物排放总量管控。根据国家和江苏省关于大气、水、土壤污染防治和江苏省、南京市“三线一单”生态环境分区管控相关要求</w:t>
                  </w:r>
                  <w:r>
                    <w:rPr>
                      <w:rFonts w:hint="eastAsia"/>
                      <w:color w:val="auto"/>
                      <w:highlight w:val="none"/>
                      <w:lang w:eastAsia="zh-CN"/>
                    </w:rPr>
                    <w:t>，</w:t>
                  </w:r>
                  <w:r>
                    <w:rPr>
                      <w:rFonts w:hint="eastAsia"/>
                      <w:color w:val="auto"/>
                      <w:highlight w:val="none"/>
                    </w:rPr>
                    <w:t>制定经开区污染减排和环境综合治理方案</w:t>
                  </w:r>
                  <w:r>
                    <w:rPr>
                      <w:rFonts w:hint="eastAsia"/>
                      <w:color w:val="auto"/>
                      <w:highlight w:val="none"/>
                      <w:lang w:eastAsia="zh-CN"/>
                    </w:rPr>
                    <w:t>，</w:t>
                  </w:r>
                  <w:r>
                    <w:rPr>
                      <w:rFonts w:hint="eastAsia"/>
                      <w:color w:val="auto"/>
                      <w:highlight w:val="none"/>
                    </w:rPr>
                    <w:t>采取有效措施减少主要污染物和特征</w:t>
                  </w:r>
                  <w:r>
                    <w:rPr>
                      <w:rFonts w:hint="eastAsia"/>
                      <w:color w:val="auto"/>
                      <w:highlight w:val="none"/>
                      <w:lang w:val="en-US" w:eastAsia="zh-CN"/>
                    </w:rPr>
                    <w:t>污染物</w:t>
                  </w:r>
                  <w:r>
                    <w:rPr>
                      <w:rFonts w:hint="eastAsia"/>
                      <w:color w:val="auto"/>
                      <w:highlight w:val="none"/>
                    </w:rPr>
                    <w:t>的排放量</w:t>
                  </w:r>
                  <w:r>
                    <w:rPr>
                      <w:rFonts w:hint="eastAsia"/>
                      <w:color w:val="auto"/>
                      <w:highlight w:val="none"/>
                      <w:lang w:eastAsia="zh-CN"/>
                    </w:rPr>
                    <w:t>，</w:t>
                  </w:r>
                  <w:r>
                    <w:rPr>
                      <w:rFonts w:hint="eastAsia"/>
                      <w:color w:val="auto"/>
                      <w:highlight w:val="none"/>
                    </w:rPr>
                    <w:t>推进挥发性有机物和氮氧化物协同减排</w:t>
                  </w:r>
                  <w:r>
                    <w:rPr>
                      <w:rFonts w:hint="eastAsia"/>
                      <w:color w:val="auto"/>
                      <w:highlight w:val="none"/>
                      <w:lang w:eastAsia="zh-CN"/>
                    </w:rPr>
                    <w:t>，</w:t>
                  </w:r>
                  <w:r>
                    <w:rPr>
                      <w:rFonts w:hint="eastAsia"/>
                      <w:color w:val="auto"/>
                      <w:highlight w:val="none"/>
                    </w:rPr>
                    <w:t>确保区域生态环境质量持续改善。</w:t>
                  </w:r>
                </w:p>
              </w:tc>
              <w:tc>
                <w:tcPr>
                  <w:tcW w:w="1499" w:type="pct"/>
                  <w:tcBorders>
                    <w:top w:val="single" w:color="auto" w:sz="6" w:space="0"/>
                    <w:left w:val="single" w:color="auto" w:sz="6" w:space="0"/>
                    <w:bottom w:val="single" w:color="auto" w:sz="6" w:space="0"/>
                    <w:right w:val="single" w:color="auto" w:sz="6" w:space="0"/>
                  </w:tcBorders>
                  <w:vAlign w:val="center"/>
                </w:tcPr>
                <w:p w14:paraId="5A330E5B">
                  <w:pPr>
                    <w:pStyle w:val="41"/>
                    <w:bidi w:val="0"/>
                    <w:rPr>
                      <w:rFonts w:hint="default"/>
                      <w:color w:val="auto"/>
                      <w:highlight w:val="none"/>
                      <w:lang w:val="en-US" w:eastAsia="zh-CN"/>
                    </w:rPr>
                  </w:pPr>
                  <w:bookmarkStart w:id="4" w:name="sys141055"/>
                  <w:r>
                    <w:rPr>
                      <w:rFonts w:hint="eastAsia"/>
                      <w:color w:val="auto"/>
                      <w:szCs w:val="21"/>
                      <w:highlight w:val="none"/>
                    </w:rPr>
                    <w:t>本项目已向南京市江宁生态环境局申请总量，废水污染物</w:t>
                  </w:r>
                  <w:r>
                    <w:rPr>
                      <w:rFonts w:hint="eastAsia"/>
                      <w:color w:val="auto"/>
                      <w:szCs w:val="21"/>
                      <w:highlight w:val="none"/>
                      <w:lang w:val="en-US" w:eastAsia="zh-CN"/>
                    </w:rPr>
                    <w:t>由江宁区水减排项目</w:t>
                  </w:r>
                  <w:r>
                    <w:rPr>
                      <w:rFonts w:hint="eastAsia"/>
                      <w:color w:val="auto"/>
                      <w:szCs w:val="21"/>
                      <w:highlight w:val="none"/>
                    </w:rPr>
                    <w:t>平衡，废气污染物由江宁区大气减排项目平衡。</w:t>
                  </w:r>
                  <w:bookmarkEnd w:id="4"/>
                  <w:r>
                    <w:rPr>
                      <w:color w:val="auto"/>
                      <w:szCs w:val="21"/>
                      <w:highlight w:val="none"/>
                    </w:rPr>
                    <w:t>本项目</w:t>
                  </w:r>
                  <w:r>
                    <w:rPr>
                      <w:rFonts w:hint="eastAsia"/>
                      <w:color w:val="auto"/>
                      <w:szCs w:val="21"/>
                      <w:highlight w:val="none"/>
                    </w:rPr>
                    <w:t>废水、废气、固废均得到合理处置，废水、废气达标排放。</w:t>
                  </w:r>
                </w:p>
              </w:tc>
              <w:tc>
                <w:tcPr>
                  <w:tcW w:w="590" w:type="pct"/>
                  <w:tcBorders>
                    <w:top w:val="single" w:color="auto" w:sz="6" w:space="0"/>
                    <w:left w:val="single" w:color="auto" w:sz="6" w:space="0"/>
                    <w:bottom w:val="single" w:color="auto" w:sz="6" w:space="0"/>
                  </w:tcBorders>
                  <w:vAlign w:val="center"/>
                </w:tcPr>
                <w:p w14:paraId="42BB12D9">
                  <w:pPr>
                    <w:pStyle w:val="41"/>
                    <w:bidi w:val="0"/>
                    <w:rPr>
                      <w:rFonts w:hint="default"/>
                      <w:color w:val="auto"/>
                      <w:highlight w:val="none"/>
                    </w:rPr>
                  </w:pPr>
                  <w:r>
                    <w:rPr>
                      <w:rFonts w:hint="default"/>
                      <w:color w:val="auto"/>
                      <w:highlight w:val="none"/>
                    </w:rPr>
                    <w:t>符合</w:t>
                  </w:r>
                </w:p>
              </w:tc>
            </w:tr>
            <w:tr w14:paraId="1DB518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tcBorders>
                    <w:top w:val="single" w:color="auto" w:sz="6" w:space="0"/>
                    <w:bottom w:val="single" w:color="auto" w:sz="6" w:space="0"/>
                    <w:right w:val="single" w:color="auto" w:sz="6" w:space="0"/>
                  </w:tcBorders>
                  <w:vAlign w:val="center"/>
                </w:tcPr>
                <w:p w14:paraId="0F42DE14">
                  <w:pPr>
                    <w:pStyle w:val="41"/>
                    <w:bidi w:val="0"/>
                    <w:rPr>
                      <w:rFonts w:hint="default"/>
                      <w:color w:val="auto"/>
                      <w:highlight w:val="none"/>
                      <w:lang w:val="en-US" w:eastAsia="zh-CN"/>
                    </w:rPr>
                  </w:pPr>
                  <w:r>
                    <w:rPr>
                      <w:rFonts w:hint="eastAsia"/>
                      <w:color w:val="auto"/>
                      <w:highlight w:val="none"/>
                      <w:lang w:val="en-US" w:eastAsia="zh-CN"/>
                    </w:rPr>
                    <w:t>7</w:t>
                  </w:r>
                </w:p>
              </w:tc>
              <w:tc>
                <w:tcPr>
                  <w:tcW w:w="2589" w:type="pct"/>
                  <w:tcBorders>
                    <w:top w:val="single" w:color="auto" w:sz="6" w:space="0"/>
                    <w:left w:val="single" w:color="auto" w:sz="6" w:space="0"/>
                    <w:bottom w:val="single" w:color="auto" w:sz="6" w:space="0"/>
                    <w:right w:val="single" w:color="auto" w:sz="6" w:space="0"/>
                  </w:tcBorders>
                  <w:vAlign w:val="center"/>
                </w:tcPr>
                <w:p w14:paraId="43A6BD8F">
                  <w:pPr>
                    <w:pStyle w:val="41"/>
                    <w:bidi w:val="0"/>
                    <w:rPr>
                      <w:rFonts w:hint="eastAsia"/>
                      <w:color w:val="auto"/>
                      <w:highlight w:val="none"/>
                      <w:lang w:eastAsia="zh-CN"/>
                    </w:rPr>
                  </w:pPr>
                  <w:r>
                    <w:rPr>
                      <w:rFonts w:hint="eastAsia"/>
                      <w:color w:val="auto"/>
                      <w:highlight w:val="none"/>
                    </w:rPr>
                    <w:t>严格入区项目生态环境准入</w:t>
                  </w:r>
                  <w:r>
                    <w:rPr>
                      <w:rFonts w:hint="eastAsia"/>
                      <w:color w:val="auto"/>
                      <w:highlight w:val="none"/>
                      <w:lang w:eastAsia="zh-CN"/>
                    </w:rPr>
                    <w:t>，</w:t>
                  </w:r>
                  <w:r>
                    <w:rPr>
                      <w:rFonts w:hint="eastAsia"/>
                      <w:color w:val="auto"/>
                      <w:highlight w:val="none"/>
                    </w:rPr>
                    <w:t>推动高质量发展。在衔接区域“三线一单”生态环境分区管控要求的前提下</w:t>
                  </w:r>
                  <w:r>
                    <w:rPr>
                      <w:rFonts w:hint="eastAsia"/>
                      <w:color w:val="auto"/>
                      <w:highlight w:val="none"/>
                      <w:lang w:eastAsia="zh-CN"/>
                    </w:rPr>
                    <w:t>，</w:t>
                  </w:r>
                  <w:r>
                    <w:rPr>
                      <w:rFonts w:hint="eastAsia"/>
                      <w:color w:val="auto"/>
                      <w:highlight w:val="none"/>
                    </w:rPr>
                    <w:t>落实《报告书》提出的各片区生态环境准入要求</w:t>
                  </w:r>
                  <w:r>
                    <w:rPr>
                      <w:rFonts w:hint="eastAsia"/>
                      <w:color w:val="auto"/>
                      <w:highlight w:val="none"/>
                      <w:lang w:eastAsia="zh-CN"/>
                    </w:rPr>
                    <w:t>，</w:t>
                  </w:r>
                  <w:r>
                    <w:rPr>
                      <w:rFonts w:hint="eastAsia"/>
                      <w:color w:val="auto"/>
                      <w:highlight w:val="none"/>
                    </w:rPr>
                    <w:t>禁止与主导产业不相关且排污负荷大的项目入区。执行最严格的行业废水、废气排放控制要求</w:t>
                  </w:r>
                  <w:r>
                    <w:rPr>
                      <w:rFonts w:hint="eastAsia"/>
                      <w:color w:val="auto"/>
                      <w:highlight w:val="none"/>
                      <w:lang w:eastAsia="zh-CN"/>
                    </w:rPr>
                    <w:t>，</w:t>
                  </w:r>
                  <w:r>
                    <w:rPr>
                      <w:rFonts w:hint="eastAsia"/>
                      <w:color w:val="auto"/>
                      <w:highlight w:val="none"/>
                    </w:rPr>
                    <w:t>引进项目的生产工艺和设备、资源能源利用效率、污染治理等均</w:t>
                  </w:r>
                  <w:sdt>
                    <w:sdtPr>
                      <w:rPr>
                        <w:color w:val="auto"/>
                        <w:highlight w:val="none"/>
                      </w:rPr>
                      <w:alias w:val="易错词检查"/>
                      <w:tag w:val="auto"/>
                      <w:id w:val="3071014"/>
                    </w:sdtPr>
                    <w:sdtEndPr>
                      <w:rPr>
                        <w:color w:val="auto"/>
                        <w:highlight w:val="none"/>
                      </w:rPr>
                    </w:sdtEndPr>
                    <w:sdtContent>
                      <w:bookmarkStart w:id="5" w:name="bkReivew3071014"/>
                      <w:r>
                        <w:rPr>
                          <w:rFonts w:hint="eastAsia"/>
                          <w:color w:val="auto"/>
                          <w:highlight w:val="none"/>
                        </w:rPr>
                        <w:t>需</w:t>
                      </w:r>
                      <w:bookmarkEnd w:id="5"/>
                    </w:sdtContent>
                  </w:sdt>
                  <w:r>
                    <w:rPr>
                      <w:rFonts w:hint="eastAsia"/>
                      <w:color w:val="auto"/>
                      <w:highlight w:val="none"/>
                    </w:rPr>
                    <w:t>达到同行业国际先进水平</w:t>
                  </w:r>
                  <w:r>
                    <w:rPr>
                      <w:rFonts w:hint="eastAsia"/>
                      <w:color w:val="auto"/>
                      <w:highlight w:val="none"/>
                      <w:lang w:eastAsia="zh-CN"/>
                    </w:rPr>
                    <w:t>，</w:t>
                  </w:r>
                  <w:r>
                    <w:rPr>
                      <w:rFonts w:hint="eastAsia"/>
                      <w:color w:val="auto"/>
                      <w:highlight w:val="none"/>
                    </w:rPr>
                    <w:t>现有企业不断提高清洁生产和污染治理水平</w:t>
                  </w:r>
                  <w:r>
                    <w:rPr>
                      <w:rFonts w:hint="eastAsia"/>
                      <w:color w:val="auto"/>
                      <w:highlight w:val="none"/>
                      <w:lang w:eastAsia="zh-CN"/>
                    </w:rPr>
                    <w:t>，</w:t>
                  </w:r>
                  <w:r>
                    <w:rPr>
                      <w:rFonts w:hint="eastAsia"/>
                      <w:color w:val="auto"/>
                      <w:highlight w:val="none"/>
                    </w:rPr>
                    <w:t>持续降低污染物排放量</w:t>
                  </w:r>
                  <w:r>
                    <w:rPr>
                      <w:rFonts w:hint="eastAsia"/>
                      <w:color w:val="auto"/>
                      <w:highlight w:val="none"/>
                      <w:lang w:eastAsia="zh-CN"/>
                    </w:rPr>
                    <w:t>。</w:t>
                  </w:r>
                </w:p>
              </w:tc>
              <w:tc>
                <w:tcPr>
                  <w:tcW w:w="1499" w:type="pct"/>
                  <w:tcBorders>
                    <w:top w:val="single" w:color="auto" w:sz="6" w:space="0"/>
                    <w:left w:val="single" w:color="auto" w:sz="6" w:space="0"/>
                    <w:bottom w:val="single" w:color="auto" w:sz="6" w:space="0"/>
                    <w:right w:val="single" w:color="auto" w:sz="6" w:space="0"/>
                  </w:tcBorders>
                  <w:vAlign w:val="center"/>
                </w:tcPr>
                <w:p w14:paraId="2C0DA1C1">
                  <w:pPr>
                    <w:pStyle w:val="41"/>
                    <w:bidi w:val="0"/>
                    <w:rPr>
                      <w:rFonts w:hint="eastAsia"/>
                      <w:color w:val="auto"/>
                      <w:highlight w:val="none"/>
                      <w:lang w:val="en-US" w:eastAsia="zh-CN"/>
                    </w:rPr>
                  </w:pPr>
                  <w:bookmarkStart w:id="6" w:name="sys1454841"/>
                  <w:r>
                    <w:rPr>
                      <w:rFonts w:hint="default"/>
                      <w:color w:val="auto"/>
                      <w:sz w:val="21"/>
                      <w:szCs w:val="21"/>
                      <w:highlight w:val="none"/>
                    </w:rPr>
                    <w:t>本项目</w:t>
                  </w:r>
                  <w:r>
                    <w:rPr>
                      <w:rFonts w:hint="eastAsia"/>
                      <w:color w:val="auto"/>
                      <w:sz w:val="21"/>
                      <w:szCs w:val="21"/>
                      <w:highlight w:val="none"/>
                      <w:lang w:val="en-US" w:eastAsia="zh-CN"/>
                    </w:rPr>
                    <w:t>主要进行中药研发</w:t>
                  </w:r>
                  <w:r>
                    <w:rPr>
                      <w:rFonts w:hint="default"/>
                      <w:color w:val="auto"/>
                      <w:sz w:val="21"/>
                      <w:szCs w:val="21"/>
                      <w:highlight w:val="none"/>
                    </w:rPr>
                    <w:t>，</w:t>
                  </w:r>
                  <w:r>
                    <w:rPr>
                      <w:rFonts w:hint="eastAsia"/>
                      <w:color w:val="auto"/>
                      <w:sz w:val="21"/>
                      <w:szCs w:val="21"/>
                      <w:highlight w:val="none"/>
                      <w:lang w:val="en-US" w:eastAsia="zh-CN"/>
                    </w:rPr>
                    <w:t>不</w:t>
                  </w:r>
                  <w:r>
                    <w:rPr>
                      <w:rFonts w:hint="default"/>
                      <w:color w:val="auto"/>
                      <w:sz w:val="21"/>
                      <w:szCs w:val="21"/>
                      <w:highlight w:val="none"/>
                    </w:rPr>
                    <w:t>属于淳化-湖熟片区的</w:t>
                  </w:r>
                  <w:r>
                    <w:rPr>
                      <w:rFonts w:hint="eastAsia"/>
                      <w:color w:val="auto"/>
                      <w:sz w:val="21"/>
                      <w:szCs w:val="21"/>
                      <w:highlight w:val="none"/>
                      <w:lang w:val="en-US" w:eastAsia="zh-CN"/>
                    </w:rPr>
                    <w:t>禁止</w:t>
                  </w:r>
                  <w:r>
                    <w:rPr>
                      <w:rFonts w:hint="default"/>
                      <w:color w:val="auto"/>
                      <w:sz w:val="21"/>
                      <w:szCs w:val="21"/>
                      <w:highlight w:val="none"/>
                    </w:rPr>
                    <w:t>发展产业，功能定位符合规划要求。</w:t>
                  </w:r>
                  <w:r>
                    <w:rPr>
                      <w:rFonts w:hint="eastAsia"/>
                      <w:color w:val="auto"/>
                      <w:highlight w:val="none"/>
                      <w:lang w:val="en-US" w:eastAsia="zh-CN"/>
                    </w:rPr>
                    <w:t>同时项目的</w:t>
                  </w:r>
                  <w:r>
                    <w:rPr>
                      <w:rFonts w:hint="eastAsia"/>
                      <w:color w:val="auto"/>
                      <w:highlight w:val="none"/>
                    </w:rPr>
                    <w:t>生产工艺和设备、资源能源利用效率、污染治理等均需达到同行业国际先进水平</w:t>
                  </w:r>
                  <w:r>
                    <w:rPr>
                      <w:rFonts w:hint="eastAsia"/>
                      <w:color w:val="auto"/>
                      <w:highlight w:val="none"/>
                      <w:lang w:eastAsia="zh-CN"/>
                    </w:rPr>
                    <w:t>。</w:t>
                  </w:r>
                  <w:bookmarkEnd w:id="6"/>
                </w:p>
              </w:tc>
              <w:tc>
                <w:tcPr>
                  <w:tcW w:w="590" w:type="pct"/>
                  <w:tcBorders>
                    <w:top w:val="single" w:color="auto" w:sz="6" w:space="0"/>
                    <w:left w:val="single" w:color="auto" w:sz="6" w:space="0"/>
                    <w:bottom w:val="single" w:color="auto" w:sz="6" w:space="0"/>
                  </w:tcBorders>
                  <w:vAlign w:val="center"/>
                </w:tcPr>
                <w:p w14:paraId="38B41381">
                  <w:pPr>
                    <w:pStyle w:val="41"/>
                    <w:bidi w:val="0"/>
                    <w:rPr>
                      <w:rFonts w:hint="eastAsia" w:eastAsia="宋体"/>
                      <w:color w:val="auto"/>
                      <w:highlight w:val="none"/>
                      <w:lang w:val="en-US" w:eastAsia="zh-CN"/>
                    </w:rPr>
                  </w:pPr>
                  <w:r>
                    <w:rPr>
                      <w:rFonts w:hint="eastAsia"/>
                      <w:color w:val="auto"/>
                      <w:highlight w:val="none"/>
                      <w:lang w:val="en-US" w:eastAsia="zh-CN"/>
                    </w:rPr>
                    <w:t>符合</w:t>
                  </w:r>
                </w:p>
              </w:tc>
            </w:tr>
            <w:tr w14:paraId="62C89F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tcBorders>
                    <w:top w:val="single" w:color="auto" w:sz="6" w:space="0"/>
                    <w:bottom w:val="single" w:color="auto" w:sz="12" w:space="0"/>
                    <w:right w:val="single" w:color="auto" w:sz="6" w:space="0"/>
                  </w:tcBorders>
                  <w:vAlign w:val="center"/>
                </w:tcPr>
                <w:p w14:paraId="3AB185A6">
                  <w:pPr>
                    <w:pStyle w:val="41"/>
                    <w:bidi w:val="0"/>
                    <w:rPr>
                      <w:rFonts w:hint="eastAsia"/>
                      <w:color w:val="auto"/>
                      <w:highlight w:val="none"/>
                      <w:lang w:val="en-US" w:eastAsia="zh-CN"/>
                    </w:rPr>
                  </w:pPr>
                  <w:r>
                    <w:rPr>
                      <w:rFonts w:hint="eastAsia"/>
                      <w:color w:val="auto"/>
                      <w:highlight w:val="none"/>
                      <w:lang w:val="en-US" w:eastAsia="zh-CN"/>
                    </w:rPr>
                    <w:t>8</w:t>
                  </w:r>
                </w:p>
              </w:tc>
              <w:tc>
                <w:tcPr>
                  <w:tcW w:w="2589" w:type="pct"/>
                  <w:tcBorders>
                    <w:top w:val="single" w:color="auto" w:sz="6" w:space="0"/>
                    <w:left w:val="single" w:color="auto" w:sz="6" w:space="0"/>
                    <w:bottom w:val="single" w:color="auto" w:sz="12" w:space="0"/>
                    <w:right w:val="single" w:color="auto" w:sz="6" w:space="0"/>
                  </w:tcBorders>
                  <w:vAlign w:val="center"/>
                </w:tcPr>
                <w:p w14:paraId="36EC6357">
                  <w:pPr>
                    <w:pStyle w:val="41"/>
                    <w:bidi w:val="0"/>
                    <w:rPr>
                      <w:rFonts w:hint="default"/>
                      <w:color w:val="auto"/>
                      <w:highlight w:val="none"/>
                    </w:rPr>
                  </w:pPr>
                  <w:r>
                    <w:rPr>
                      <w:rFonts w:hint="eastAsia"/>
                      <w:color w:val="auto"/>
                      <w:highlight w:val="none"/>
                    </w:rPr>
                    <w:t>健全完善环境监测体系</w:t>
                  </w:r>
                  <w:r>
                    <w:rPr>
                      <w:rFonts w:hint="eastAsia"/>
                      <w:color w:val="auto"/>
                      <w:highlight w:val="none"/>
                      <w:lang w:eastAsia="zh-CN"/>
                    </w:rPr>
                    <w:t>，</w:t>
                  </w:r>
                  <w:r>
                    <w:rPr>
                      <w:rFonts w:hint="eastAsia"/>
                      <w:color w:val="auto"/>
                      <w:highlight w:val="none"/>
                    </w:rPr>
                    <w:t>强化环境风险防范。完善包括环境空气、地表水、地下水、土壤、底泥等环境要素的监测体系</w:t>
                  </w:r>
                  <w:r>
                    <w:rPr>
                      <w:rFonts w:hint="eastAsia"/>
                      <w:color w:val="auto"/>
                      <w:highlight w:val="none"/>
                      <w:lang w:eastAsia="zh-CN"/>
                    </w:rPr>
                    <w:t>，</w:t>
                  </w:r>
                  <w:r>
                    <w:rPr>
                      <w:rFonts w:hint="eastAsia"/>
                      <w:color w:val="auto"/>
                      <w:highlight w:val="none"/>
                    </w:rPr>
                    <w:t>根据监测结果适时优化《规划》</w:t>
                  </w:r>
                  <w:r>
                    <w:rPr>
                      <w:rFonts w:hint="eastAsia"/>
                      <w:color w:val="auto"/>
                      <w:highlight w:val="none"/>
                      <w:lang w:eastAsia="zh-CN"/>
                    </w:rPr>
                    <w:t>；</w:t>
                  </w:r>
                  <w:r>
                    <w:rPr>
                      <w:rFonts w:hint="eastAsia"/>
                      <w:color w:val="auto"/>
                      <w:highlight w:val="none"/>
                    </w:rPr>
                    <w:t>强化区域环境风险防范体系</w:t>
                  </w:r>
                  <w:r>
                    <w:rPr>
                      <w:rFonts w:hint="eastAsia"/>
                      <w:color w:val="auto"/>
                      <w:highlight w:val="none"/>
                      <w:lang w:eastAsia="zh-CN"/>
                    </w:rPr>
                    <w:t>，</w:t>
                  </w:r>
                  <w:r>
                    <w:rPr>
                      <w:rFonts w:hint="eastAsia"/>
                      <w:color w:val="auto"/>
                      <w:highlight w:val="none"/>
                    </w:rPr>
                    <w:t>建立应急响应联动机制。提升环境风险防控和应急响应能力</w:t>
                  </w:r>
                  <w:r>
                    <w:rPr>
                      <w:rFonts w:hint="eastAsia"/>
                      <w:color w:val="auto"/>
                      <w:highlight w:val="none"/>
                      <w:lang w:eastAsia="zh-CN"/>
                    </w:rPr>
                    <w:t>，</w:t>
                  </w:r>
                  <w:r>
                    <w:rPr>
                      <w:rFonts w:hint="eastAsia"/>
                      <w:color w:val="auto"/>
                      <w:highlight w:val="none"/>
                    </w:rPr>
                    <w:t>保障区域环境安全。</w:t>
                  </w:r>
                </w:p>
              </w:tc>
              <w:tc>
                <w:tcPr>
                  <w:tcW w:w="1499" w:type="pct"/>
                  <w:tcBorders>
                    <w:top w:val="single" w:color="auto" w:sz="6" w:space="0"/>
                    <w:left w:val="single" w:color="auto" w:sz="6" w:space="0"/>
                    <w:bottom w:val="single" w:color="auto" w:sz="12" w:space="0"/>
                    <w:right w:val="single" w:color="auto" w:sz="6" w:space="0"/>
                  </w:tcBorders>
                  <w:vAlign w:val="center"/>
                </w:tcPr>
                <w:p w14:paraId="3FF11352">
                  <w:pPr>
                    <w:pStyle w:val="41"/>
                    <w:bidi w:val="0"/>
                    <w:rPr>
                      <w:rFonts w:hint="eastAsia"/>
                      <w:color w:val="auto"/>
                      <w:highlight w:val="none"/>
                      <w:lang w:eastAsia="zh-CN"/>
                    </w:rPr>
                  </w:pPr>
                  <w:bookmarkStart w:id="7" w:name="sys149058"/>
                  <w:r>
                    <w:rPr>
                      <w:rFonts w:hint="default"/>
                      <w:color w:val="auto"/>
                      <w:highlight w:val="none"/>
                    </w:rPr>
                    <w:t>本项目将积极做好环境保护规划，加强水环境和大气环境的监测管理与信息公开</w:t>
                  </w:r>
                  <w:r>
                    <w:rPr>
                      <w:rFonts w:hint="eastAsia"/>
                      <w:color w:val="auto"/>
                      <w:highlight w:val="none"/>
                      <w:lang w:eastAsia="zh-CN"/>
                    </w:rPr>
                    <w:t>，</w:t>
                  </w:r>
                  <w:r>
                    <w:rPr>
                      <w:rFonts w:hint="default"/>
                      <w:color w:val="auto"/>
                      <w:highlight w:val="none"/>
                    </w:rPr>
                    <w:t>建立健全区域风险防范体系和生态安全保障体系</w:t>
                  </w:r>
                  <w:r>
                    <w:rPr>
                      <w:rFonts w:hint="eastAsia"/>
                      <w:color w:val="auto"/>
                      <w:highlight w:val="none"/>
                      <w:lang w:eastAsia="zh-CN"/>
                    </w:rPr>
                    <w:t>。</w:t>
                  </w:r>
                  <w:bookmarkEnd w:id="7"/>
                </w:p>
              </w:tc>
              <w:tc>
                <w:tcPr>
                  <w:tcW w:w="590" w:type="pct"/>
                  <w:tcBorders>
                    <w:top w:val="single" w:color="auto" w:sz="6" w:space="0"/>
                    <w:left w:val="single" w:color="auto" w:sz="6" w:space="0"/>
                    <w:bottom w:val="single" w:color="auto" w:sz="12" w:space="0"/>
                  </w:tcBorders>
                  <w:vAlign w:val="center"/>
                </w:tcPr>
                <w:p w14:paraId="1565820A">
                  <w:pPr>
                    <w:pStyle w:val="41"/>
                    <w:bidi w:val="0"/>
                    <w:rPr>
                      <w:rFonts w:hint="default"/>
                      <w:color w:val="auto"/>
                      <w:highlight w:val="none"/>
                    </w:rPr>
                  </w:pPr>
                  <w:r>
                    <w:rPr>
                      <w:rFonts w:hint="default"/>
                      <w:color w:val="auto"/>
                      <w:highlight w:val="none"/>
                    </w:rPr>
                    <w:t>符合</w:t>
                  </w:r>
                </w:p>
              </w:tc>
            </w:tr>
          </w:tbl>
          <w:p w14:paraId="171237A8">
            <w:pPr>
              <w:pStyle w:val="41"/>
              <w:bidi w:val="0"/>
              <w:rPr>
                <w:color w:val="auto"/>
                <w:highlight w:val="none"/>
                <w:lang w:val="zh-CN"/>
              </w:rPr>
            </w:pPr>
          </w:p>
          <w:p w14:paraId="1B26A656">
            <w:pPr>
              <w:bidi w:val="0"/>
              <w:ind w:firstLine="482" w:firstLineChars="200"/>
              <w:rPr>
                <w:rFonts w:hint="eastAsia"/>
                <w:b/>
                <w:bCs/>
                <w:color w:val="auto"/>
                <w:highlight w:val="none"/>
              </w:rPr>
            </w:pPr>
            <w:r>
              <w:rPr>
                <w:rFonts w:hint="eastAsia"/>
                <w:b/>
                <w:bCs/>
                <w:color w:val="auto"/>
                <w:highlight w:val="none"/>
                <w:lang w:val="en-US" w:eastAsia="zh-CN"/>
              </w:rPr>
              <w:t>4、</w:t>
            </w:r>
            <w:r>
              <w:rPr>
                <w:rFonts w:hint="eastAsia"/>
                <w:b/>
                <w:bCs/>
                <w:color w:val="auto"/>
                <w:highlight w:val="none"/>
              </w:rPr>
              <w:t>与规划环评生态环境准入清单相符性分析</w:t>
            </w:r>
          </w:p>
          <w:p w14:paraId="6B72F74D">
            <w:pPr>
              <w:bidi w:val="0"/>
              <w:ind w:firstLine="480" w:firstLineChars="200"/>
              <w:rPr>
                <w:rFonts w:hint="default"/>
                <w:color w:val="auto"/>
                <w:highlight w:val="none"/>
                <w:lang w:val="en-US" w:eastAsia="zh-CN"/>
              </w:rPr>
            </w:pPr>
            <w:r>
              <w:rPr>
                <w:rFonts w:hint="eastAsia"/>
                <w:color w:val="auto"/>
                <w:highlight w:val="none"/>
                <w:lang w:val="en-US" w:eastAsia="zh-CN"/>
              </w:rPr>
              <w:t>本项目与开发区规划环评生态环境准入清单相符性分析见下表。</w:t>
            </w:r>
          </w:p>
          <w:p w14:paraId="7F7484F7">
            <w:pPr>
              <w:pStyle w:val="43"/>
              <w:bidi w:val="0"/>
              <w:rPr>
                <w:color w:val="auto"/>
                <w:highlight w:val="none"/>
                <w:lang w:val="zh-CN"/>
              </w:rPr>
            </w:pPr>
            <w:r>
              <w:rPr>
                <w:rFonts w:hint="eastAsia"/>
                <w:color w:val="auto"/>
                <w:highlight w:val="none"/>
              </w:rPr>
              <w:t>本项目建设与开发区生态环境准入清单相关内容相符性</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autofit"/>
              <w:tblCellMar>
                <w:top w:w="0" w:type="dxa"/>
                <w:left w:w="108" w:type="dxa"/>
                <w:bottom w:w="0" w:type="dxa"/>
                <w:right w:w="108" w:type="dxa"/>
              </w:tblCellMar>
            </w:tblPr>
            <w:tblGrid>
              <w:gridCol w:w="932"/>
              <w:gridCol w:w="3739"/>
              <w:gridCol w:w="2245"/>
              <w:gridCol w:w="812"/>
            </w:tblGrid>
            <w:tr w14:paraId="587EAE07">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trPr>
              <w:tc>
                <w:tcPr>
                  <w:tcW w:w="603" w:type="pct"/>
                  <w:tcBorders>
                    <w:tl2br w:val="nil"/>
                    <w:tr2bl w:val="nil"/>
                  </w:tcBorders>
                  <w:vAlign w:val="center"/>
                </w:tcPr>
                <w:p w14:paraId="49F870AD">
                  <w:pPr>
                    <w:pStyle w:val="41"/>
                    <w:bidi w:val="0"/>
                    <w:rPr>
                      <w:rFonts w:hint="default"/>
                      <w:b/>
                      <w:bCs/>
                      <w:color w:val="auto"/>
                      <w:highlight w:val="none"/>
                    </w:rPr>
                  </w:pPr>
                  <w:r>
                    <w:rPr>
                      <w:rFonts w:hint="eastAsia"/>
                      <w:b/>
                      <w:bCs/>
                      <w:color w:val="auto"/>
                      <w:highlight w:val="none"/>
                    </w:rPr>
                    <w:t>清单类型</w:t>
                  </w:r>
                </w:p>
              </w:tc>
              <w:tc>
                <w:tcPr>
                  <w:tcW w:w="2418" w:type="pct"/>
                  <w:tcBorders>
                    <w:tl2br w:val="nil"/>
                    <w:tr2bl w:val="nil"/>
                  </w:tcBorders>
                  <w:vAlign w:val="center"/>
                </w:tcPr>
                <w:p w14:paraId="0B813F7F">
                  <w:pPr>
                    <w:pStyle w:val="41"/>
                    <w:bidi w:val="0"/>
                    <w:rPr>
                      <w:rFonts w:hint="default"/>
                      <w:b/>
                      <w:bCs/>
                      <w:color w:val="auto"/>
                      <w:highlight w:val="none"/>
                    </w:rPr>
                  </w:pPr>
                  <w:r>
                    <w:rPr>
                      <w:rFonts w:hint="default"/>
                      <w:b/>
                      <w:bCs/>
                      <w:color w:val="auto"/>
                      <w:highlight w:val="none"/>
                    </w:rPr>
                    <w:t>要求</w:t>
                  </w:r>
                </w:p>
              </w:tc>
              <w:tc>
                <w:tcPr>
                  <w:tcW w:w="1452" w:type="pct"/>
                  <w:tcBorders>
                    <w:tl2br w:val="nil"/>
                    <w:tr2bl w:val="nil"/>
                  </w:tcBorders>
                  <w:vAlign w:val="center"/>
                </w:tcPr>
                <w:p w14:paraId="11A76E90">
                  <w:pPr>
                    <w:pStyle w:val="41"/>
                    <w:bidi w:val="0"/>
                    <w:rPr>
                      <w:rFonts w:hint="default"/>
                      <w:b/>
                      <w:bCs/>
                      <w:color w:val="auto"/>
                      <w:highlight w:val="none"/>
                    </w:rPr>
                  </w:pPr>
                  <w:r>
                    <w:rPr>
                      <w:rFonts w:hint="default"/>
                      <w:b/>
                      <w:bCs/>
                      <w:color w:val="auto"/>
                      <w:highlight w:val="none"/>
                    </w:rPr>
                    <w:t>符合性分析</w:t>
                  </w:r>
                </w:p>
              </w:tc>
              <w:tc>
                <w:tcPr>
                  <w:tcW w:w="525" w:type="pct"/>
                  <w:tcBorders>
                    <w:tl2br w:val="nil"/>
                    <w:tr2bl w:val="nil"/>
                  </w:tcBorders>
                  <w:vAlign w:val="center"/>
                </w:tcPr>
                <w:p w14:paraId="394036CB">
                  <w:pPr>
                    <w:pStyle w:val="41"/>
                    <w:bidi w:val="0"/>
                    <w:rPr>
                      <w:rFonts w:hint="default"/>
                      <w:b/>
                      <w:bCs/>
                      <w:color w:val="auto"/>
                      <w:highlight w:val="none"/>
                    </w:rPr>
                  </w:pPr>
                  <w:r>
                    <w:rPr>
                      <w:rFonts w:hint="default"/>
                      <w:b/>
                      <w:bCs/>
                      <w:color w:val="auto"/>
                      <w:highlight w:val="none"/>
                    </w:rPr>
                    <w:t>相符性</w:t>
                  </w:r>
                </w:p>
              </w:tc>
            </w:tr>
            <w:tr w14:paraId="2548D3DF">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trPr>
              <w:tc>
                <w:tcPr>
                  <w:tcW w:w="603" w:type="pct"/>
                  <w:vMerge w:val="restart"/>
                  <w:tcBorders>
                    <w:tl2br w:val="nil"/>
                    <w:tr2bl w:val="nil"/>
                  </w:tcBorders>
                  <w:vAlign w:val="center"/>
                </w:tcPr>
                <w:p w14:paraId="4D81E12F">
                  <w:pPr>
                    <w:pStyle w:val="41"/>
                    <w:bidi w:val="0"/>
                    <w:rPr>
                      <w:rFonts w:hint="default"/>
                      <w:color w:val="auto"/>
                      <w:highlight w:val="none"/>
                    </w:rPr>
                  </w:pPr>
                  <w:r>
                    <w:rPr>
                      <w:rFonts w:hint="eastAsia"/>
                      <w:color w:val="auto"/>
                      <w:highlight w:val="none"/>
                    </w:rPr>
                    <w:t>空间布局约束</w:t>
                  </w:r>
                </w:p>
              </w:tc>
              <w:tc>
                <w:tcPr>
                  <w:tcW w:w="2418" w:type="pct"/>
                  <w:tcBorders>
                    <w:tl2br w:val="nil"/>
                    <w:tr2bl w:val="nil"/>
                  </w:tcBorders>
                  <w:vAlign w:val="center"/>
                </w:tcPr>
                <w:p w14:paraId="65E29D34">
                  <w:pPr>
                    <w:pStyle w:val="41"/>
                    <w:bidi w:val="0"/>
                    <w:jc w:val="left"/>
                    <w:rPr>
                      <w:rFonts w:hint="default"/>
                      <w:color w:val="auto"/>
                      <w:highlight w:val="none"/>
                    </w:rPr>
                  </w:pPr>
                  <w:r>
                    <w:rPr>
                      <w:rFonts w:hint="eastAsia"/>
                      <w:color w:val="auto"/>
                      <w:highlight w:val="none"/>
                    </w:rPr>
                    <w:t>（1）引进的项目需符合国家和地方产业政策，积极引进鼓励类项目，优先引进上下游产业协同发展的项目。</w:t>
                  </w:r>
                </w:p>
                <w:p w14:paraId="471B6C74">
                  <w:pPr>
                    <w:pStyle w:val="41"/>
                    <w:bidi w:val="0"/>
                    <w:jc w:val="left"/>
                    <w:rPr>
                      <w:rFonts w:hint="default"/>
                      <w:color w:val="auto"/>
                      <w:highlight w:val="none"/>
                    </w:rPr>
                  </w:pPr>
                  <w:r>
                    <w:rPr>
                      <w:rFonts w:hint="eastAsia"/>
                      <w:color w:val="auto"/>
                      <w:highlight w:val="none"/>
                    </w:rPr>
                    <w:t>（2）引进的项目生产工艺、装备技术、清洁生产水平等应达到同行业先进水平，优先引进资源能源消耗小、污染物排放少、产品附加值高的工艺技术、产品或项目。</w:t>
                  </w:r>
                </w:p>
                <w:p w14:paraId="443FD3F0">
                  <w:pPr>
                    <w:pStyle w:val="41"/>
                    <w:bidi w:val="0"/>
                    <w:jc w:val="left"/>
                    <w:rPr>
                      <w:rFonts w:hint="default"/>
                      <w:color w:val="auto"/>
                      <w:highlight w:val="none"/>
                    </w:rPr>
                  </w:pPr>
                  <w:r>
                    <w:rPr>
                      <w:rFonts w:hint="eastAsia"/>
                      <w:color w:val="auto"/>
                      <w:highlight w:val="none"/>
                    </w:rPr>
                    <w:t>（3）引进的项目必须具备完善、有效的“三废”治理措施，能够实现废水、废气等污染物的稳定达标排放，保障区域环境功能区达标。</w:t>
                  </w:r>
                </w:p>
                <w:p w14:paraId="3782A561">
                  <w:pPr>
                    <w:pStyle w:val="41"/>
                    <w:bidi w:val="0"/>
                    <w:jc w:val="left"/>
                    <w:rPr>
                      <w:rFonts w:hint="default"/>
                      <w:color w:val="auto"/>
                      <w:highlight w:val="none"/>
                    </w:rPr>
                  </w:pPr>
                  <w:r>
                    <w:rPr>
                      <w:rFonts w:hint="eastAsia"/>
                      <w:color w:val="auto"/>
                      <w:highlight w:val="none"/>
                    </w:rPr>
                    <w:t>（4）强化污染物排放强度指标约束，引进的项目污染物排放总量必须在基地允许排放总量范围内。</w:t>
                  </w:r>
                </w:p>
              </w:tc>
              <w:tc>
                <w:tcPr>
                  <w:tcW w:w="1452" w:type="pct"/>
                  <w:tcBorders>
                    <w:tl2br w:val="nil"/>
                    <w:tr2bl w:val="nil"/>
                  </w:tcBorders>
                  <w:vAlign w:val="center"/>
                </w:tcPr>
                <w:p w14:paraId="55F95A7F">
                  <w:pPr>
                    <w:pStyle w:val="41"/>
                    <w:bidi w:val="0"/>
                    <w:rPr>
                      <w:rFonts w:hint="default"/>
                      <w:color w:val="auto"/>
                      <w:highlight w:val="none"/>
                    </w:rPr>
                  </w:pPr>
                  <w:bookmarkStart w:id="8" w:name="sys1634841"/>
                  <w:r>
                    <w:rPr>
                      <w:rFonts w:hint="default"/>
                      <w:color w:val="auto"/>
                      <w:sz w:val="21"/>
                      <w:szCs w:val="21"/>
                      <w:highlight w:val="none"/>
                    </w:rPr>
                    <w:t>本项目</w:t>
                  </w:r>
                  <w:r>
                    <w:rPr>
                      <w:rFonts w:hint="eastAsia"/>
                      <w:color w:val="auto"/>
                      <w:sz w:val="21"/>
                      <w:szCs w:val="21"/>
                      <w:highlight w:val="none"/>
                      <w:lang w:val="en-US" w:eastAsia="zh-CN"/>
                    </w:rPr>
                    <w:t>主要进行中药研发</w:t>
                  </w:r>
                  <w:r>
                    <w:rPr>
                      <w:rFonts w:hint="default"/>
                      <w:color w:val="auto"/>
                      <w:sz w:val="21"/>
                      <w:szCs w:val="21"/>
                      <w:highlight w:val="none"/>
                    </w:rPr>
                    <w:t>，</w:t>
                  </w:r>
                  <w:r>
                    <w:rPr>
                      <w:rFonts w:hint="eastAsia"/>
                      <w:color w:val="auto"/>
                      <w:sz w:val="21"/>
                      <w:szCs w:val="21"/>
                      <w:highlight w:val="none"/>
                      <w:lang w:val="en-US" w:eastAsia="zh-CN"/>
                    </w:rPr>
                    <w:t>不</w:t>
                  </w:r>
                  <w:r>
                    <w:rPr>
                      <w:rFonts w:hint="default"/>
                      <w:color w:val="auto"/>
                      <w:sz w:val="21"/>
                      <w:szCs w:val="21"/>
                      <w:highlight w:val="none"/>
                    </w:rPr>
                    <w:t>属于淳化-湖熟片区的</w:t>
                  </w:r>
                  <w:r>
                    <w:rPr>
                      <w:rFonts w:hint="eastAsia"/>
                      <w:color w:val="auto"/>
                      <w:sz w:val="21"/>
                      <w:szCs w:val="21"/>
                      <w:highlight w:val="none"/>
                      <w:lang w:val="en-US" w:eastAsia="zh-CN"/>
                    </w:rPr>
                    <w:t>禁止</w:t>
                  </w:r>
                  <w:r>
                    <w:rPr>
                      <w:rFonts w:hint="default"/>
                      <w:color w:val="auto"/>
                      <w:sz w:val="21"/>
                      <w:szCs w:val="21"/>
                      <w:highlight w:val="none"/>
                    </w:rPr>
                    <w:t>发展产业，功能定位符合规划要求。</w:t>
                  </w:r>
                  <w:r>
                    <w:rPr>
                      <w:rFonts w:hint="default" w:ascii="Times New Roman" w:hAnsi="Times New Roman" w:eastAsia="宋体" w:cs="Times New Roman"/>
                      <w:color w:val="auto"/>
                      <w:highlight w:val="none"/>
                    </w:rPr>
                    <w:t>同时项目的生产工艺和设备、资源能源利用效率、污染治理等均</w:t>
                  </w:r>
                  <w:r>
                    <w:rPr>
                      <w:rFonts w:hint="default"/>
                      <w:color w:val="auto"/>
                      <w:highlight w:val="none"/>
                    </w:rPr>
                    <w:t>需达到同行业国际先进水平。</w:t>
                  </w:r>
                  <w:bookmarkEnd w:id="8"/>
                  <w:r>
                    <w:rPr>
                      <w:rFonts w:hint="eastAsia"/>
                      <w:color w:val="auto"/>
                      <w:highlight w:val="none"/>
                    </w:rPr>
                    <w:t>本项目</w:t>
                  </w:r>
                  <w:r>
                    <w:rPr>
                      <w:rFonts w:hint="eastAsia"/>
                      <w:color w:val="auto"/>
                      <w:highlight w:val="none"/>
                      <w:lang w:val="en-US" w:eastAsia="zh-CN"/>
                    </w:rPr>
                    <w:t>废水经预处理后</w:t>
                  </w:r>
                  <w:r>
                    <w:rPr>
                      <w:rFonts w:hint="eastAsia"/>
                      <w:color w:val="auto"/>
                      <w:highlight w:val="none"/>
                    </w:rPr>
                    <w:t>接管至</w:t>
                  </w:r>
                  <w:r>
                    <w:rPr>
                      <w:rFonts w:hint="eastAsia"/>
                      <w:color w:val="auto"/>
                      <w:highlight w:val="none"/>
                      <w:lang w:val="en-US" w:eastAsia="zh-CN"/>
                    </w:rPr>
                    <w:t>高新区污水处理厂</w:t>
                  </w:r>
                  <w:r>
                    <w:rPr>
                      <w:rFonts w:hint="eastAsia"/>
                      <w:color w:val="auto"/>
                      <w:highlight w:val="none"/>
                      <w:lang w:eastAsia="zh-CN"/>
                    </w:rPr>
                    <w:t>；</w:t>
                  </w:r>
                  <w:r>
                    <w:rPr>
                      <w:rFonts w:hint="eastAsia"/>
                      <w:color w:val="auto"/>
                      <w:highlight w:val="none"/>
                      <w:lang w:val="en-US" w:eastAsia="zh-CN"/>
                    </w:rPr>
                    <w:t>废气经有效收集处理后达标排放</w:t>
                  </w:r>
                  <w:r>
                    <w:rPr>
                      <w:rFonts w:hint="eastAsia" w:cs="Times New Roman"/>
                      <w:color w:val="auto"/>
                      <w:highlight w:val="none"/>
                      <w:lang w:eastAsia="zh-CN"/>
                    </w:rPr>
                    <w:t>；</w:t>
                  </w:r>
                  <w:r>
                    <w:rPr>
                      <w:rFonts w:hint="eastAsia" w:cs="Times New Roman"/>
                      <w:color w:val="auto"/>
                      <w:highlight w:val="none"/>
                      <w:lang w:val="en-US" w:eastAsia="zh-CN"/>
                    </w:rPr>
                    <w:t>固体废物妥善处理处置。</w:t>
                  </w:r>
                  <w:bookmarkStart w:id="9" w:name="sys16314955"/>
                  <w:r>
                    <w:rPr>
                      <w:rFonts w:hint="default" w:ascii="Times New Roman" w:hAnsi="Times New Roman" w:eastAsia="宋体" w:cs="Times New Roman"/>
                      <w:color w:val="auto"/>
                      <w:highlight w:val="none"/>
                      <w:lang w:eastAsia="zh-CN"/>
                    </w:rPr>
                    <w:t>本项目已向南京市江宁生态环境局申请总量，废水污染物由江宁区水减排项目平衡，废气污染物由江宁区大气减排项目平衡。</w:t>
                  </w:r>
                  <w:bookmarkEnd w:id="9"/>
                  <w:r>
                    <w:rPr>
                      <w:rFonts w:hint="default" w:ascii="Times New Roman" w:hAnsi="Times New Roman" w:eastAsia="宋体" w:cs="Times New Roman"/>
                      <w:color w:val="auto"/>
                      <w:highlight w:val="none"/>
                      <w:lang w:eastAsia="zh-CN"/>
                    </w:rPr>
                    <w:t>本项目废水、废气、固废均得到合理处置，废水、废气达标排放。</w:t>
                  </w:r>
                </w:p>
              </w:tc>
              <w:tc>
                <w:tcPr>
                  <w:tcW w:w="525" w:type="pct"/>
                  <w:tcBorders>
                    <w:tl2br w:val="nil"/>
                    <w:tr2bl w:val="nil"/>
                  </w:tcBorders>
                  <w:vAlign w:val="center"/>
                </w:tcPr>
                <w:p w14:paraId="0AD80038">
                  <w:pPr>
                    <w:pStyle w:val="41"/>
                    <w:bidi w:val="0"/>
                    <w:rPr>
                      <w:rFonts w:hint="default"/>
                      <w:color w:val="auto"/>
                      <w:highlight w:val="none"/>
                    </w:rPr>
                  </w:pPr>
                  <w:r>
                    <w:rPr>
                      <w:rFonts w:hint="eastAsia"/>
                      <w:color w:val="auto"/>
                      <w:highlight w:val="none"/>
                      <w:lang w:val="en-US" w:eastAsia="zh-CN"/>
                    </w:rPr>
                    <w:t>符合</w:t>
                  </w:r>
                </w:p>
              </w:tc>
            </w:tr>
            <w:tr w14:paraId="7C6199CA">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trPr>
              <w:tc>
                <w:tcPr>
                  <w:tcW w:w="603" w:type="pct"/>
                  <w:vMerge w:val="continue"/>
                  <w:tcBorders>
                    <w:tl2br w:val="nil"/>
                    <w:tr2bl w:val="nil"/>
                  </w:tcBorders>
                  <w:vAlign w:val="center"/>
                </w:tcPr>
                <w:p w14:paraId="11E2DFBD">
                  <w:pPr>
                    <w:pStyle w:val="41"/>
                    <w:bidi w:val="0"/>
                    <w:rPr>
                      <w:rFonts w:hint="default"/>
                      <w:color w:val="auto"/>
                      <w:highlight w:val="none"/>
                    </w:rPr>
                  </w:pPr>
                </w:p>
              </w:tc>
              <w:tc>
                <w:tcPr>
                  <w:tcW w:w="2418" w:type="pct"/>
                  <w:tcBorders>
                    <w:tl2br w:val="nil"/>
                    <w:tr2bl w:val="nil"/>
                  </w:tcBorders>
                  <w:vAlign w:val="center"/>
                </w:tcPr>
                <w:p w14:paraId="4F2E9CA4">
                  <w:pPr>
                    <w:pStyle w:val="41"/>
                    <w:bidi w:val="0"/>
                    <w:jc w:val="left"/>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严格执行《江苏省长江经济带发展负面清单实施细则》《关于促进长三角地区经济社会与生态环境保护协调发展的指导意见》等文件要求。</w:t>
                  </w:r>
                  <w:bookmarkStart w:id="10" w:name="sys1666198"/>
                  <w:r>
                    <w:rPr>
                      <w:rFonts w:hint="eastAsia" w:ascii="Times New Roman" w:hAnsi="Times New Roman" w:eastAsia="宋体" w:cs="Times New Roman"/>
                      <w:color w:val="auto"/>
                      <w:highlight w:val="none"/>
                      <w:lang w:eastAsia="zh-CN"/>
                    </w:rPr>
                    <w:t>禁止引入不符合上述文件要求及禁止新建、扩建国家《产业结构调整指导目录》《江苏省产业结构调整限制、淘汰和禁止目录》</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江宁区建设项目环境准入“负面清单”</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2020</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》明确的限制类、淘汰类、禁止类项目。</w:t>
                  </w:r>
                  <w:bookmarkEnd w:id="10"/>
                </w:p>
              </w:tc>
              <w:tc>
                <w:tcPr>
                  <w:tcW w:w="1452" w:type="pct"/>
                  <w:tcBorders>
                    <w:tl2br w:val="nil"/>
                    <w:tr2bl w:val="nil"/>
                  </w:tcBorders>
                  <w:vAlign w:val="center"/>
                </w:tcPr>
                <w:p w14:paraId="38B71995">
                  <w:pPr>
                    <w:pStyle w:val="41"/>
                    <w:bidi w:val="0"/>
                    <w:rPr>
                      <w:rFonts w:hint="default" w:eastAsia="宋体"/>
                      <w:color w:val="auto"/>
                      <w:sz w:val="21"/>
                      <w:szCs w:val="21"/>
                      <w:highlight w:val="none"/>
                      <w:lang w:val="en-US" w:eastAsia="zh-CN"/>
                    </w:rPr>
                  </w:pPr>
                  <w:bookmarkStart w:id="11" w:name="sys167095"/>
                  <w:r>
                    <w:rPr>
                      <w:rFonts w:hint="default"/>
                      <w:color w:val="auto"/>
                      <w:highlight w:val="none"/>
                    </w:rPr>
                    <w:t>本项目</w:t>
                  </w:r>
                  <w:r>
                    <w:rPr>
                      <w:rFonts w:hint="default"/>
                      <w:color w:val="auto"/>
                      <w:sz w:val="21"/>
                      <w:szCs w:val="21"/>
                      <w:highlight w:val="none"/>
                    </w:rPr>
                    <w:t>主要进行中药研发。</w:t>
                  </w:r>
                  <w:r>
                    <w:rPr>
                      <w:rFonts w:hint="eastAsia"/>
                      <w:color w:val="auto"/>
                      <w:sz w:val="21"/>
                      <w:szCs w:val="21"/>
                      <w:highlight w:val="none"/>
                      <w:lang w:val="en-US" w:eastAsia="zh-CN"/>
                    </w:rPr>
                    <w:t>属于</w:t>
                  </w:r>
                  <w:r>
                    <w:rPr>
                      <w:rFonts w:hint="eastAsia" w:ascii="Times New Roman" w:hAnsi="Times New Roman" w:eastAsia="宋体" w:cs="Times New Roman"/>
                      <w:color w:val="auto"/>
                      <w:highlight w:val="none"/>
                      <w:lang w:eastAsia="zh-CN"/>
                    </w:rPr>
                    <w:t>《产业结构调整指导目录</w:t>
                  </w:r>
                  <w:r>
                    <w:rPr>
                      <w:rFonts w:hint="eastAsia" w:cs="Times New Roman"/>
                      <w:color w:val="auto"/>
                      <w:highlight w:val="none"/>
                      <w:lang w:eastAsia="zh-CN"/>
                    </w:rPr>
                    <w:t>》</w:t>
                  </w:r>
                  <w:r>
                    <w:rPr>
                      <w:rFonts w:hint="eastAsia"/>
                      <w:color w:val="auto"/>
                      <w:highlight w:val="none"/>
                    </w:rPr>
                    <w:t>（2024年本）</w:t>
                  </w:r>
                  <w:r>
                    <w:rPr>
                      <w:rFonts w:hint="eastAsia"/>
                      <w:color w:val="auto"/>
                      <w:highlight w:val="none"/>
                      <w:lang w:val="en-US" w:eastAsia="zh-CN"/>
                    </w:rPr>
                    <w:t>中鼓励类项目：</w:t>
                  </w:r>
                </w:p>
                <w:p w14:paraId="41256053">
                  <w:pPr>
                    <w:pStyle w:val="41"/>
                    <w:bidi w:val="0"/>
                    <w:rPr>
                      <w:rFonts w:hint="default" w:ascii="Times New Roman" w:hAnsi="Times New Roman" w:eastAsia="宋体" w:cs="Times New Roman"/>
                      <w:color w:val="auto"/>
                      <w:highlight w:val="none"/>
                      <w:lang w:eastAsia="zh-CN"/>
                    </w:rPr>
                  </w:pPr>
                  <w:r>
                    <w:rPr>
                      <w:rFonts w:hint="default"/>
                      <w:color w:val="auto"/>
                      <w:sz w:val="21"/>
                      <w:szCs w:val="21"/>
                      <w:highlight w:val="none"/>
                    </w:rPr>
                    <w:t>十三、医药</w:t>
                  </w:r>
                  <w:r>
                    <w:rPr>
                      <w:rFonts w:hint="eastAsia"/>
                      <w:color w:val="auto"/>
                      <w:sz w:val="21"/>
                      <w:szCs w:val="21"/>
                      <w:highlight w:val="none"/>
                      <w:lang w:eastAsia="zh-CN"/>
                    </w:rPr>
                    <w:t>，</w:t>
                  </w:r>
                  <w:r>
                    <w:rPr>
                      <w:rFonts w:hint="default"/>
                      <w:color w:val="auto"/>
                      <w:sz w:val="21"/>
                      <w:szCs w:val="21"/>
                      <w:highlight w:val="none"/>
                    </w:rPr>
                    <w:t>5．中医药传承创新</w:t>
                  </w:r>
                  <w:r>
                    <w:rPr>
                      <w:rFonts w:hint="eastAsia" w:ascii="Times New Roman" w:hAnsi="Times New Roman" w:eastAsia="宋体" w:cs="Times New Roman"/>
                      <w:color w:val="auto"/>
                      <w:highlight w:val="none"/>
                      <w:lang w:eastAsia="zh-CN"/>
                    </w:rPr>
                    <w:t>。</w:t>
                  </w:r>
                  <w:bookmarkEnd w:id="11"/>
                </w:p>
              </w:tc>
              <w:tc>
                <w:tcPr>
                  <w:tcW w:w="525" w:type="pct"/>
                  <w:tcBorders>
                    <w:tl2br w:val="nil"/>
                    <w:tr2bl w:val="nil"/>
                  </w:tcBorders>
                  <w:vAlign w:val="center"/>
                </w:tcPr>
                <w:p w14:paraId="680CDDAE">
                  <w:pPr>
                    <w:pStyle w:val="41"/>
                    <w:bidi w:val="0"/>
                    <w:rPr>
                      <w:rFonts w:hint="default"/>
                      <w:color w:val="auto"/>
                      <w:highlight w:val="none"/>
                    </w:rPr>
                  </w:pPr>
                  <w:r>
                    <w:rPr>
                      <w:rFonts w:hint="eastAsia"/>
                      <w:color w:val="auto"/>
                      <w:highlight w:val="none"/>
                    </w:rPr>
                    <w:t>符合</w:t>
                  </w:r>
                </w:p>
              </w:tc>
            </w:tr>
            <w:tr w14:paraId="7E396ADA">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trPr>
              <w:tc>
                <w:tcPr>
                  <w:tcW w:w="603" w:type="pct"/>
                  <w:vMerge w:val="continue"/>
                  <w:tcBorders>
                    <w:tl2br w:val="nil"/>
                    <w:tr2bl w:val="nil"/>
                  </w:tcBorders>
                  <w:vAlign w:val="center"/>
                </w:tcPr>
                <w:p w14:paraId="405AB754">
                  <w:pPr>
                    <w:pStyle w:val="41"/>
                    <w:bidi w:val="0"/>
                    <w:rPr>
                      <w:rFonts w:hint="default"/>
                      <w:color w:val="auto"/>
                      <w:highlight w:val="none"/>
                    </w:rPr>
                  </w:pPr>
                </w:p>
              </w:tc>
              <w:tc>
                <w:tcPr>
                  <w:tcW w:w="2418" w:type="pct"/>
                  <w:tcBorders>
                    <w:tl2br w:val="nil"/>
                    <w:tr2bl w:val="nil"/>
                  </w:tcBorders>
                  <w:vAlign w:val="center"/>
                </w:tcPr>
                <w:p w14:paraId="69A09748">
                  <w:pPr>
                    <w:pStyle w:val="41"/>
                    <w:bidi w:val="0"/>
                    <w:jc w:val="left"/>
                    <w:rPr>
                      <w:rFonts w:hint="default"/>
                      <w:color w:val="auto"/>
                      <w:highlight w:val="none"/>
                    </w:rPr>
                  </w:pPr>
                  <w:r>
                    <w:rPr>
                      <w:rFonts w:hint="eastAsia"/>
                      <w:color w:val="auto"/>
                      <w:highlight w:val="none"/>
                    </w:rPr>
                    <w:t>（1）邻近生活区的工业用地，禁止引进废气污染物排放量大、无组织污染严重的项目，距离居住用地100m范围内不布置含喷涂、酸洗等排放异味气体的生产工序和危化品仓库。</w:t>
                  </w:r>
                </w:p>
                <w:p w14:paraId="2A0E2AD0">
                  <w:pPr>
                    <w:pStyle w:val="41"/>
                    <w:bidi w:val="0"/>
                    <w:jc w:val="left"/>
                    <w:rPr>
                      <w:rFonts w:hint="default"/>
                      <w:color w:val="auto"/>
                      <w:highlight w:val="none"/>
                    </w:rPr>
                  </w:pPr>
                  <w:r>
                    <w:rPr>
                      <w:rFonts w:hint="eastAsia"/>
                      <w:color w:val="auto"/>
                      <w:highlight w:val="none"/>
                    </w:rPr>
                    <w:t>（2）邻近重要湿地等生态红线区域的工业用地，加强入区企业跑冒滴漏管理，设置符合规范的事故应急池，确保企业废水不排入上述敏感区域。</w:t>
                  </w:r>
                </w:p>
                <w:p w14:paraId="72AAF855">
                  <w:pPr>
                    <w:pStyle w:val="41"/>
                    <w:bidi w:val="0"/>
                    <w:jc w:val="left"/>
                    <w:rPr>
                      <w:rFonts w:hint="default"/>
                      <w:color w:val="auto"/>
                      <w:highlight w:val="none"/>
                    </w:rPr>
                  </w:pPr>
                  <w:bookmarkStart w:id="12" w:name="sys172041"/>
                  <w:r>
                    <w:rPr>
                      <w:rFonts w:hint="eastAsia"/>
                      <w:color w:val="auto"/>
                      <w:highlight w:val="none"/>
                    </w:rPr>
                    <w:t>（3）符合</w:t>
                  </w:r>
                  <w:r>
                    <w:rPr>
                      <w:rFonts w:hint="eastAsia"/>
                      <w:color w:val="auto"/>
                      <w:highlight w:val="none"/>
                      <w:lang w:val="en-US" w:eastAsia="zh-CN"/>
                    </w:rPr>
                    <w:t>规划</w:t>
                  </w:r>
                  <w:r>
                    <w:rPr>
                      <w:rFonts w:hint="eastAsia"/>
                      <w:color w:val="auto"/>
                      <w:highlight w:val="none"/>
                    </w:rPr>
                    <w:t>评价提出的生态保护红线、环境质量底线、资源利用上线相对应的管控要求。</w:t>
                  </w:r>
                  <w:bookmarkEnd w:id="12"/>
                </w:p>
              </w:tc>
              <w:tc>
                <w:tcPr>
                  <w:tcW w:w="1452" w:type="pct"/>
                  <w:tcBorders>
                    <w:tl2br w:val="nil"/>
                    <w:tr2bl w:val="nil"/>
                  </w:tcBorders>
                  <w:vAlign w:val="center"/>
                </w:tcPr>
                <w:p w14:paraId="749F849B">
                  <w:pPr>
                    <w:pStyle w:val="41"/>
                    <w:bidi w:val="0"/>
                    <w:rPr>
                      <w:rFonts w:hint="default" w:eastAsia="宋体"/>
                      <w:color w:val="auto"/>
                      <w:highlight w:val="none"/>
                      <w:lang w:val="en-US" w:eastAsia="zh-CN"/>
                    </w:rPr>
                  </w:pPr>
                  <w:r>
                    <w:rPr>
                      <w:rFonts w:hint="default"/>
                      <w:color w:val="auto"/>
                      <w:highlight w:val="none"/>
                    </w:rPr>
                    <w:t>本项目</w:t>
                  </w:r>
                  <w:r>
                    <w:rPr>
                      <w:rFonts w:hint="eastAsia"/>
                      <w:color w:val="auto"/>
                      <w:highlight w:val="none"/>
                      <w:lang w:val="en-US" w:eastAsia="zh-CN"/>
                    </w:rPr>
                    <w:t>主要进行中药研发，所在地块用地性质为科研设计用地</w:t>
                  </w:r>
                </w:p>
                <w:p w14:paraId="061C0A04">
                  <w:pPr>
                    <w:pStyle w:val="41"/>
                    <w:bidi w:val="0"/>
                    <w:rPr>
                      <w:rFonts w:hint="default"/>
                      <w:color w:val="auto"/>
                      <w:highlight w:val="none"/>
                    </w:rPr>
                  </w:pPr>
                </w:p>
                <w:p w14:paraId="2B6556FD">
                  <w:pPr>
                    <w:pStyle w:val="41"/>
                    <w:bidi w:val="0"/>
                    <w:rPr>
                      <w:rFonts w:hint="default"/>
                      <w:color w:val="auto"/>
                      <w:highlight w:val="none"/>
                    </w:rPr>
                  </w:pPr>
                  <w:r>
                    <w:rPr>
                      <w:rFonts w:hint="eastAsia"/>
                      <w:color w:val="auto"/>
                      <w:highlight w:val="none"/>
                    </w:rPr>
                    <w:t>不</w:t>
                  </w:r>
                  <w:r>
                    <w:rPr>
                      <w:rFonts w:hint="eastAsia"/>
                      <w:color w:val="auto"/>
                      <w:highlight w:val="none"/>
                      <w:lang w:val="en-US" w:eastAsia="zh-CN"/>
                    </w:rPr>
                    <w:t>涉及</w:t>
                  </w:r>
                  <w:r>
                    <w:rPr>
                      <w:rFonts w:hint="eastAsia"/>
                      <w:color w:val="auto"/>
                      <w:highlight w:val="none"/>
                    </w:rPr>
                    <w:t>含喷涂、酸洗等排放异味气体的生产工序和危化品仓库</w:t>
                  </w:r>
                  <w:r>
                    <w:rPr>
                      <w:rFonts w:hint="eastAsia"/>
                      <w:color w:val="auto"/>
                      <w:highlight w:val="none"/>
                      <w:lang w:eastAsia="zh-CN"/>
                    </w:rPr>
                    <w:t>。</w:t>
                  </w:r>
                  <w:r>
                    <w:rPr>
                      <w:rFonts w:hint="eastAsia"/>
                      <w:color w:val="auto"/>
                      <w:highlight w:val="none"/>
                      <w:lang w:val="en-US" w:eastAsia="zh-CN"/>
                    </w:rPr>
                    <w:t>项目周边无</w:t>
                  </w:r>
                  <w:r>
                    <w:rPr>
                      <w:rFonts w:hint="eastAsia"/>
                      <w:color w:val="auto"/>
                      <w:highlight w:val="none"/>
                    </w:rPr>
                    <w:t>重要湿地等生态红线区域</w:t>
                  </w:r>
                  <w:r>
                    <w:rPr>
                      <w:rFonts w:hint="eastAsia"/>
                      <w:color w:val="auto"/>
                      <w:highlight w:val="none"/>
                      <w:lang w:eastAsia="zh-CN"/>
                    </w:rPr>
                    <w:t>。</w:t>
                  </w:r>
                  <w:bookmarkStart w:id="13" w:name="sys1735141"/>
                  <w:r>
                    <w:rPr>
                      <w:rFonts w:hint="eastAsia"/>
                      <w:color w:val="auto"/>
                      <w:highlight w:val="none"/>
                      <w:lang w:val="en-US" w:eastAsia="zh-CN"/>
                    </w:rPr>
                    <w:t>本项目</w:t>
                  </w:r>
                  <w:r>
                    <w:rPr>
                      <w:rFonts w:hint="eastAsia"/>
                      <w:color w:val="auto"/>
                      <w:highlight w:val="none"/>
                    </w:rPr>
                    <w:t>符合</w:t>
                  </w:r>
                  <w:r>
                    <w:rPr>
                      <w:rFonts w:hint="eastAsia"/>
                      <w:color w:val="auto"/>
                      <w:highlight w:val="none"/>
                      <w:lang w:val="en-US" w:eastAsia="zh-CN"/>
                    </w:rPr>
                    <w:t>规划</w:t>
                  </w:r>
                  <w:r>
                    <w:rPr>
                      <w:rFonts w:hint="eastAsia"/>
                      <w:color w:val="auto"/>
                      <w:highlight w:val="none"/>
                    </w:rPr>
                    <w:t>评价提出的生态保护红线、环境质量底线、资源利用上线相对应的管控要求。</w:t>
                  </w:r>
                  <w:bookmarkEnd w:id="13"/>
                </w:p>
              </w:tc>
              <w:tc>
                <w:tcPr>
                  <w:tcW w:w="525" w:type="pct"/>
                  <w:tcBorders>
                    <w:tl2br w:val="nil"/>
                    <w:tr2bl w:val="nil"/>
                  </w:tcBorders>
                  <w:vAlign w:val="center"/>
                </w:tcPr>
                <w:p w14:paraId="32DF62A8">
                  <w:pPr>
                    <w:pStyle w:val="41"/>
                    <w:bidi w:val="0"/>
                    <w:rPr>
                      <w:rFonts w:hint="default"/>
                      <w:color w:val="auto"/>
                      <w:highlight w:val="none"/>
                    </w:rPr>
                  </w:pPr>
                  <w:r>
                    <w:rPr>
                      <w:rFonts w:hint="eastAsia"/>
                      <w:color w:val="auto"/>
                      <w:highlight w:val="none"/>
                    </w:rPr>
                    <w:t>符合</w:t>
                  </w:r>
                </w:p>
              </w:tc>
            </w:tr>
            <w:tr w14:paraId="470FB02D">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trPr>
              <w:tc>
                <w:tcPr>
                  <w:tcW w:w="603" w:type="pct"/>
                  <w:tcBorders>
                    <w:tl2br w:val="nil"/>
                    <w:tr2bl w:val="nil"/>
                  </w:tcBorders>
                  <w:vAlign w:val="center"/>
                </w:tcPr>
                <w:p w14:paraId="2B9BFE83">
                  <w:pPr>
                    <w:pStyle w:val="41"/>
                    <w:bidi w:val="0"/>
                    <w:rPr>
                      <w:rFonts w:hint="default"/>
                      <w:color w:val="auto"/>
                      <w:highlight w:val="none"/>
                    </w:rPr>
                  </w:pPr>
                  <w:r>
                    <w:rPr>
                      <w:rFonts w:hint="eastAsia"/>
                      <w:color w:val="auto"/>
                      <w:highlight w:val="none"/>
                    </w:rPr>
                    <w:t>污染物排放管控</w:t>
                  </w:r>
                </w:p>
              </w:tc>
              <w:tc>
                <w:tcPr>
                  <w:tcW w:w="2418" w:type="pct"/>
                  <w:tcBorders>
                    <w:tl2br w:val="nil"/>
                    <w:tr2bl w:val="nil"/>
                  </w:tcBorders>
                  <w:vAlign w:val="center"/>
                </w:tcPr>
                <w:p w14:paraId="77331292">
                  <w:pPr>
                    <w:pStyle w:val="41"/>
                    <w:bidi w:val="0"/>
                    <w:jc w:val="left"/>
                    <w:rPr>
                      <w:rFonts w:hint="default"/>
                      <w:color w:val="auto"/>
                      <w:highlight w:val="none"/>
                      <w:lang w:val="zh-CN"/>
                    </w:rPr>
                  </w:pPr>
                  <w:bookmarkStart w:id="14" w:name="sys1760159"/>
                  <w:r>
                    <w:rPr>
                      <w:rFonts w:hint="default"/>
                      <w:color w:val="auto"/>
                      <w:highlight w:val="none"/>
                      <w:lang w:val="zh-CN"/>
                    </w:rPr>
                    <w:t>2025年</w:t>
                  </w:r>
                  <w:r>
                    <w:rPr>
                      <w:rFonts w:hint="eastAsia"/>
                      <w:color w:val="auto"/>
                      <w:highlight w:val="none"/>
                      <w:lang w:val="zh-CN"/>
                    </w:rPr>
                    <w:t>，</w:t>
                  </w:r>
                  <w:r>
                    <w:rPr>
                      <w:rFonts w:hint="default"/>
                      <w:color w:val="auto"/>
                      <w:highlight w:val="none"/>
                      <w:lang w:val="zh-CN"/>
                    </w:rPr>
                    <w:t>开发区工业废水污染物</w:t>
                  </w:r>
                  <w:r>
                    <w:rPr>
                      <w:rFonts w:hint="eastAsia"/>
                      <w:color w:val="auto"/>
                      <w:highlight w:val="none"/>
                      <w:lang w:val="zh-CN"/>
                    </w:rPr>
                    <w:t>（</w:t>
                  </w:r>
                  <w:r>
                    <w:rPr>
                      <w:rFonts w:hint="default"/>
                      <w:color w:val="auto"/>
                      <w:highlight w:val="none"/>
                      <w:lang w:val="zh-CN"/>
                    </w:rPr>
                    <w:t>外排量</w:t>
                  </w:r>
                  <w:r>
                    <w:rPr>
                      <w:rFonts w:hint="eastAsia"/>
                      <w:color w:val="auto"/>
                      <w:highlight w:val="none"/>
                      <w:lang w:val="zh-CN"/>
                    </w:rPr>
                    <w:t>）：</w:t>
                  </w:r>
                  <w:r>
                    <w:rPr>
                      <w:rFonts w:hint="default"/>
                      <w:color w:val="auto"/>
                      <w:highlight w:val="none"/>
                      <w:lang w:val="zh-CN"/>
                    </w:rPr>
                    <w:t>化学需氧量、氨氮、总氮、总磷不得超过4414.52吨/年、434.43吨/年、1692.94吨/年、69.99吨/年</w:t>
                  </w:r>
                  <w:r>
                    <w:rPr>
                      <w:rFonts w:hint="eastAsia"/>
                      <w:color w:val="auto"/>
                      <w:highlight w:val="none"/>
                      <w:lang w:val="zh-CN"/>
                    </w:rPr>
                    <w:t>；</w:t>
                  </w:r>
                  <w:r>
                    <w:rPr>
                      <w:rFonts w:hint="default"/>
                      <w:color w:val="auto"/>
                      <w:highlight w:val="none"/>
                      <w:lang w:val="zh-CN"/>
                    </w:rPr>
                    <w:t>开发区大气污染物</w:t>
                  </w:r>
                  <w:r>
                    <w:rPr>
                      <w:rFonts w:hint="eastAsia"/>
                      <w:color w:val="auto"/>
                      <w:highlight w:val="none"/>
                      <w:lang w:val="zh-CN"/>
                    </w:rPr>
                    <w:t>：</w:t>
                  </w:r>
                  <w:r>
                    <w:rPr>
                      <w:rFonts w:hint="default"/>
                      <w:color w:val="auto"/>
                      <w:highlight w:val="none"/>
                      <w:lang w:val="zh-CN"/>
                    </w:rPr>
                    <w:t>二氧化硫、氮氧化物、颗粒物、VOCs排放量不得超过385.048吨/年、1217.047吨/年、209.44吨/年、467.798吨/年。</w:t>
                  </w:r>
                  <w:bookmarkEnd w:id="14"/>
                </w:p>
                <w:p w14:paraId="27949DD3">
                  <w:pPr>
                    <w:pStyle w:val="41"/>
                    <w:bidi w:val="0"/>
                    <w:jc w:val="left"/>
                    <w:rPr>
                      <w:rFonts w:hint="default"/>
                      <w:color w:val="auto"/>
                      <w:highlight w:val="none"/>
                      <w:lang w:val="zh-CN"/>
                    </w:rPr>
                  </w:pPr>
                  <w:bookmarkStart w:id="15" w:name="sys1770160"/>
                  <w:r>
                    <w:rPr>
                      <w:rFonts w:hint="default"/>
                      <w:color w:val="auto"/>
                      <w:highlight w:val="none"/>
                      <w:lang w:val="zh-CN"/>
                    </w:rPr>
                    <w:t>2035年，开发区工业废水污染物</w:t>
                  </w:r>
                  <w:r>
                    <w:rPr>
                      <w:rFonts w:hint="eastAsia"/>
                      <w:color w:val="auto"/>
                      <w:highlight w:val="none"/>
                      <w:lang w:val="zh-CN"/>
                    </w:rPr>
                    <w:t>（</w:t>
                  </w:r>
                  <w:r>
                    <w:rPr>
                      <w:rFonts w:hint="default"/>
                      <w:color w:val="auto"/>
                      <w:highlight w:val="none"/>
                      <w:lang w:val="zh-CN"/>
                    </w:rPr>
                    <w:t>外排量</w:t>
                  </w:r>
                  <w:r>
                    <w:rPr>
                      <w:rFonts w:hint="eastAsia"/>
                      <w:color w:val="auto"/>
                      <w:highlight w:val="none"/>
                      <w:lang w:val="zh-CN"/>
                    </w:rPr>
                    <w:t>）：</w:t>
                  </w:r>
                  <w:r>
                    <w:rPr>
                      <w:rFonts w:hint="default"/>
                      <w:color w:val="auto"/>
                      <w:highlight w:val="none"/>
                      <w:lang w:val="zh-CN"/>
                    </w:rPr>
                    <w:t>化学需氧量</w:t>
                  </w:r>
                  <w:sdt>
                    <w:sdtPr>
                      <w:rPr>
                        <w:color w:val="auto"/>
                        <w:highlight w:val="none"/>
                      </w:rPr>
                      <w:alias w:val="标点符号检查"/>
                      <w:tag w:val="auto"/>
                      <w:id w:val="2053613"/>
                    </w:sdtPr>
                    <w:sdtEndPr>
                      <w:rPr>
                        <w:color w:val="auto"/>
                        <w:highlight w:val="none"/>
                      </w:rPr>
                    </w:sdtEndPr>
                    <w:sdtContent>
                      <w:bookmarkStart w:id="16" w:name="bkReivew2053613"/>
                      <w:r>
                        <w:rPr>
                          <w:rFonts w:hint="default"/>
                          <w:color w:val="auto"/>
                          <w:highlight w:val="none"/>
                          <w:lang w:val="zh-CN"/>
                        </w:rPr>
                        <w:t>.</w:t>
                      </w:r>
                      <w:bookmarkEnd w:id="16"/>
                    </w:sdtContent>
                  </w:sdt>
                  <w:r>
                    <w:rPr>
                      <w:rFonts w:hint="default"/>
                      <w:color w:val="auto"/>
                      <w:highlight w:val="none"/>
                      <w:lang w:val="zh-CN"/>
                    </w:rPr>
                    <w:t>氨氮、总氮、总磷不得超过4169.46吨/年、324.71吨/年、1950.43吨/年、66.80吨/年</w:t>
                  </w:r>
                  <w:r>
                    <w:rPr>
                      <w:rFonts w:hint="eastAsia"/>
                      <w:color w:val="auto"/>
                      <w:highlight w:val="none"/>
                      <w:lang w:val="zh-CN"/>
                    </w:rPr>
                    <w:t>；</w:t>
                  </w:r>
                  <w:r>
                    <w:rPr>
                      <w:rFonts w:hint="default"/>
                      <w:color w:val="auto"/>
                      <w:highlight w:val="none"/>
                      <w:lang w:val="zh-CN"/>
                    </w:rPr>
                    <w:t>开发区大气污染物</w:t>
                  </w:r>
                  <w:r>
                    <w:rPr>
                      <w:rFonts w:hint="eastAsia"/>
                      <w:color w:val="auto"/>
                      <w:highlight w:val="none"/>
                      <w:lang w:val="zh-CN"/>
                    </w:rPr>
                    <w:t>：</w:t>
                  </w:r>
                  <w:r>
                    <w:rPr>
                      <w:rFonts w:hint="default"/>
                      <w:color w:val="auto"/>
                      <w:highlight w:val="none"/>
                      <w:lang w:val="zh-CN"/>
                    </w:rPr>
                    <w:t>二氧化硫、氮氧化物、颗粒物、VOCs排放量不得超过387.644吨/年、1221.512吨/年、213.394吨/年、475.388吨/年。</w:t>
                  </w:r>
                  <w:bookmarkEnd w:id="15"/>
                </w:p>
              </w:tc>
              <w:tc>
                <w:tcPr>
                  <w:tcW w:w="1452" w:type="pct"/>
                  <w:tcBorders>
                    <w:tl2br w:val="nil"/>
                    <w:tr2bl w:val="nil"/>
                  </w:tcBorders>
                  <w:vAlign w:val="center"/>
                </w:tcPr>
                <w:p w14:paraId="7D129BCC">
                  <w:pPr>
                    <w:pStyle w:val="41"/>
                    <w:bidi w:val="0"/>
                    <w:rPr>
                      <w:rFonts w:hint="default"/>
                      <w:color w:val="auto"/>
                      <w:highlight w:val="none"/>
                    </w:rPr>
                  </w:pPr>
                  <w:bookmarkStart w:id="17" w:name="sys178055"/>
                  <w:r>
                    <w:rPr>
                      <w:rFonts w:hint="default"/>
                      <w:color w:val="auto"/>
                      <w:highlight w:val="none"/>
                      <w:lang w:val="zh-CN"/>
                    </w:rPr>
                    <w:t>本项目已向南京市江宁生态环境局申请总量，废水污染物由江宁区水减排项目平衡，废气污染物由江宁区大气减排项目平衡。</w:t>
                  </w:r>
                  <w:bookmarkEnd w:id="17"/>
                  <w:r>
                    <w:rPr>
                      <w:rFonts w:hint="default"/>
                      <w:color w:val="auto"/>
                      <w:highlight w:val="none"/>
                      <w:lang w:val="zh-CN"/>
                    </w:rPr>
                    <w:t>项目实施后将严格落实污染物总量控制制度。</w:t>
                  </w:r>
                </w:p>
              </w:tc>
              <w:tc>
                <w:tcPr>
                  <w:tcW w:w="525" w:type="pct"/>
                  <w:tcBorders>
                    <w:tl2br w:val="nil"/>
                    <w:tr2bl w:val="nil"/>
                  </w:tcBorders>
                  <w:vAlign w:val="center"/>
                </w:tcPr>
                <w:p w14:paraId="55F02E26">
                  <w:pPr>
                    <w:pStyle w:val="41"/>
                    <w:bidi w:val="0"/>
                    <w:rPr>
                      <w:rFonts w:hint="default"/>
                      <w:color w:val="auto"/>
                      <w:highlight w:val="none"/>
                    </w:rPr>
                  </w:pPr>
                  <w:r>
                    <w:rPr>
                      <w:rFonts w:hint="eastAsia"/>
                      <w:color w:val="auto"/>
                      <w:highlight w:val="none"/>
                    </w:rPr>
                    <w:t>符合</w:t>
                  </w:r>
                </w:p>
              </w:tc>
            </w:tr>
            <w:tr w14:paraId="0BA752E7">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trPr>
              <w:tc>
                <w:tcPr>
                  <w:tcW w:w="603" w:type="pct"/>
                  <w:tcBorders>
                    <w:tl2br w:val="nil"/>
                    <w:tr2bl w:val="nil"/>
                  </w:tcBorders>
                  <w:vAlign w:val="center"/>
                </w:tcPr>
                <w:p w14:paraId="24A53AE2">
                  <w:pPr>
                    <w:pStyle w:val="41"/>
                    <w:bidi w:val="0"/>
                    <w:rPr>
                      <w:rFonts w:hint="default"/>
                      <w:color w:val="auto"/>
                      <w:highlight w:val="none"/>
                    </w:rPr>
                  </w:pPr>
                  <w:r>
                    <w:rPr>
                      <w:rFonts w:hint="eastAsia"/>
                      <w:color w:val="auto"/>
                      <w:highlight w:val="none"/>
                    </w:rPr>
                    <w:t>环境风险防控</w:t>
                  </w:r>
                </w:p>
              </w:tc>
              <w:tc>
                <w:tcPr>
                  <w:tcW w:w="2418" w:type="pct"/>
                  <w:tcBorders>
                    <w:tl2br w:val="nil"/>
                    <w:tr2bl w:val="nil"/>
                  </w:tcBorders>
                  <w:vAlign w:val="center"/>
                </w:tcPr>
                <w:p w14:paraId="211E29B0">
                  <w:pPr>
                    <w:pStyle w:val="41"/>
                    <w:bidi w:val="0"/>
                    <w:jc w:val="left"/>
                    <w:rPr>
                      <w:rFonts w:hint="default"/>
                      <w:color w:val="auto"/>
                      <w:highlight w:val="none"/>
                    </w:rPr>
                  </w:pPr>
                  <w:r>
                    <w:rPr>
                      <w:rFonts w:hint="default"/>
                      <w:color w:val="auto"/>
                      <w:highlight w:val="none"/>
                    </w:rPr>
                    <w:t>建立区域监测预警系统，建立省市县上下联动、区域之间左右联动等联动应急响应体系，实行联防联控。</w:t>
                  </w:r>
                  <w:bookmarkStart w:id="18" w:name="sys1814697"/>
                  <w:r>
                    <w:rPr>
                      <w:rFonts w:hint="default"/>
                      <w:color w:val="auto"/>
                      <w:highlight w:val="none"/>
                    </w:rPr>
                    <w:t>生产、使用、储存危险化学品或其他存在环境风险的企业事业单位，应当采取风险防范措施，并根据《企业事业单位突发环境事件应急预案备案管理办法</w:t>
                  </w:r>
                  <w:r>
                    <w:rPr>
                      <w:rFonts w:hint="eastAsia"/>
                      <w:color w:val="auto"/>
                      <w:highlight w:val="none"/>
                      <w:lang w:eastAsia="zh-CN"/>
                    </w:rPr>
                    <w:t>（</w:t>
                  </w:r>
                  <w:r>
                    <w:rPr>
                      <w:rFonts w:hint="default"/>
                      <w:color w:val="auto"/>
                      <w:highlight w:val="none"/>
                    </w:rPr>
                    <w:t>试行</w:t>
                  </w:r>
                  <w:r>
                    <w:rPr>
                      <w:rFonts w:hint="eastAsia"/>
                      <w:color w:val="auto"/>
                      <w:highlight w:val="none"/>
                      <w:lang w:eastAsia="zh-CN"/>
                    </w:rPr>
                    <w:t>）</w:t>
                  </w:r>
                  <w:r>
                    <w:rPr>
                      <w:rFonts w:hint="default"/>
                      <w:color w:val="auto"/>
                      <w:highlight w:val="none"/>
                    </w:rPr>
                    <w:t>》的要求编制环境风险应急预案，防止发生环境污染事故。</w:t>
                  </w:r>
                  <w:bookmarkEnd w:id="18"/>
                </w:p>
              </w:tc>
              <w:tc>
                <w:tcPr>
                  <w:tcW w:w="1452" w:type="pct"/>
                  <w:tcBorders>
                    <w:tl2br w:val="nil"/>
                    <w:tr2bl w:val="nil"/>
                  </w:tcBorders>
                  <w:vAlign w:val="center"/>
                </w:tcPr>
                <w:p w14:paraId="2EF08774">
                  <w:pPr>
                    <w:pStyle w:val="41"/>
                    <w:bidi w:val="0"/>
                    <w:rPr>
                      <w:rFonts w:hint="default"/>
                      <w:color w:val="auto"/>
                      <w:highlight w:val="none"/>
                    </w:rPr>
                  </w:pPr>
                  <w:bookmarkStart w:id="19" w:name="sys182058"/>
                  <w:r>
                    <w:rPr>
                      <w:rFonts w:hint="eastAsia"/>
                      <w:color w:val="auto"/>
                      <w:highlight w:val="none"/>
                    </w:rPr>
                    <w:t>本</w:t>
                  </w:r>
                  <w:r>
                    <w:rPr>
                      <w:rFonts w:hint="default"/>
                      <w:color w:val="auto"/>
                      <w:highlight w:val="none"/>
                    </w:rPr>
                    <w:t>项目将积极做好环境保护规划，加强水环境和大气环境的监测管理与信息公开</w:t>
                  </w:r>
                  <w:r>
                    <w:rPr>
                      <w:rFonts w:hint="eastAsia"/>
                      <w:color w:val="auto"/>
                      <w:highlight w:val="none"/>
                    </w:rPr>
                    <w:t>，</w:t>
                  </w:r>
                  <w:r>
                    <w:rPr>
                      <w:rFonts w:hint="default"/>
                      <w:color w:val="auto"/>
                      <w:highlight w:val="none"/>
                    </w:rPr>
                    <w:t>建立健全区域风险防范体系和生态安全保障体系</w:t>
                  </w:r>
                  <w:r>
                    <w:rPr>
                      <w:rFonts w:hint="eastAsia"/>
                      <w:color w:val="auto"/>
                      <w:highlight w:val="none"/>
                    </w:rPr>
                    <w:t>。</w:t>
                  </w:r>
                  <w:bookmarkEnd w:id="19"/>
                  <w:bookmarkStart w:id="20" w:name="sys1825837"/>
                  <w:r>
                    <w:rPr>
                      <w:rFonts w:hint="eastAsia"/>
                      <w:color w:val="auto"/>
                      <w:highlight w:val="none"/>
                    </w:rPr>
                    <w:t>本项目实施后，</w:t>
                  </w:r>
                  <w:bookmarkEnd w:id="20"/>
                  <w:r>
                    <w:rPr>
                      <w:rFonts w:hint="eastAsia"/>
                      <w:color w:val="auto"/>
                      <w:highlight w:val="none"/>
                      <w:lang w:val="en-US" w:eastAsia="zh-CN"/>
                    </w:rPr>
                    <w:t>项目建成后企业应修订</w:t>
                  </w:r>
                  <w:r>
                    <w:rPr>
                      <w:rFonts w:hint="default"/>
                      <w:color w:val="auto"/>
                      <w:highlight w:val="none"/>
                      <w:lang w:val="zh-CN"/>
                    </w:rPr>
                    <w:t>突发环境事件应急预案，并</w:t>
                  </w:r>
                  <w:r>
                    <w:rPr>
                      <w:rFonts w:hint="eastAsia"/>
                      <w:color w:val="auto"/>
                      <w:highlight w:val="none"/>
                      <w:lang w:val="en-US" w:eastAsia="zh-CN"/>
                    </w:rPr>
                    <w:t>按照预案要求</w:t>
                  </w:r>
                  <w:r>
                    <w:rPr>
                      <w:rFonts w:hint="default"/>
                      <w:color w:val="auto"/>
                      <w:highlight w:val="none"/>
                      <w:lang w:val="zh-CN"/>
                    </w:rPr>
                    <w:t>定期开展演练。</w:t>
                  </w:r>
                </w:p>
              </w:tc>
              <w:tc>
                <w:tcPr>
                  <w:tcW w:w="525" w:type="pct"/>
                  <w:tcBorders>
                    <w:tl2br w:val="nil"/>
                    <w:tr2bl w:val="nil"/>
                  </w:tcBorders>
                  <w:vAlign w:val="center"/>
                </w:tcPr>
                <w:p w14:paraId="334C7687">
                  <w:pPr>
                    <w:pStyle w:val="41"/>
                    <w:bidi w:val="0"/>
                    <w:rPr>
                      <w:rFonts w:hint="default"/>
                      <w:color w:val="auto"/>
                      <w:highlight w:val="none"/>
                    </w:rPr>
                  </w:pPr>
                  <w:r>
                    <w:rPr>
                      <w:rFonts w:hint="default"/>
                      <w:color w:val="auto"/>
                      <w:highlight w:val="none"/>
                    </w:rPr>
                    <w:t>符合</w:t>
                  </w:r>
                </w:p>
              </w:tc>
            </w:tr>
            <w:tr w14:paraId="65C24538">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trPr>
              <w:tc>
                <w:tcPr>
                  <w:tcW w:w="603" w:type="pct"/>
                  <w:tcBorders>
                    <w:tl2br w:val="nil"/>
                    <w:tr2bl w:val="nil"/>
                  </w:tcBorders>
                  <w:vAlign w:val="center"/>
                </w:tcPr>
                <w:p w14:paraId="0515DB63">
                  <w:pPr>
                    <w:pStyle w:val="41"/>
                    <w:bidi w:val="0"/>
                    <w:rPr>
                      <w:rFonts w:hint="default"/>
                      <w:color w:val="auto"/>
                      <w:highlight w:val="none"/>
                    </w:rPr>
                  </w:pPr>
                  <w:r>
                    <w:rPr>
                      <w:rFonts w:hint="eastAsia"/>
                      <w:color w:val="auto"/>
                      <w:highlight w:val="none"/>
                    </w:rPr>
                    <w:t>资源开发利用要求</w:t>
                  </w:r>
                </w:p>
              </w:tc>
              <w:tc>
                <w:tcPr>
                  <w:tcW w:w="2418" w:type="pct"/>
                  <w:tcBorders>
                    <w:tl2br w:val="nil"/>
                    <w:tr2bl w:val="nil"/>
                  </w:tcBorders>
                  <w:vAlign w:val="center"/>
                </w:tcPr>
                <w:p w14:paraId="1A9A0C77">
                  <w:pPr>
                    <w:pStyle w:val="41"/>
                    <w:bidi w:val="0"/>
                    <w:jc w:val="left"/>
                    <w:rPr>
                      <w:rFonts w:hint="default"/>
                      <w:color w:val="auto"/>
                      <w:highlight w:val="none"/>
                    </w:rPr>
                  </w:pPr>
                  <w:r>
                    <w:rPr>
                      <w:rFonts w:hint="default"/>
                      <w:color w:val="auto"/>
                      <w:highlight w:val="none"/>
                    </w:rPr>
                    <w:t>水资源利用总量要求</w:t>
                  </w:r>
                  <w:r>
                    <w:rPr>
                      <w:rFonts w:hint="eastAsia"/>
                      <w:color w:val="auto"/>
                      <w:highlight w:val="none"/>
                    </w:rPr>
                    <w:t>：</w:t>
                  </w:r>
                </w:p>
                <w:p w14:paraId="59BC8702">
                  <w:pPr>
                    <w:pStyle w:val="41"/>
                    <w:bidi w:val="0"/>
                    <w:jc w:val="left"/>
                    <w:rPr>
                      <w:rFonts w:hint="default"/>
                      <w:color w:val="auto"/>
                      <w:highlight w:val="none"/>
                    </w:rPr>
                  </w:pPr>
                  <w:r>
                    <w:rPr>
                      <w:rFonts w:hint="default"/>
                      <w:color w:val="auto"/>
                      <w:highlight w:val="none"/>
                    </w:rPr>
                    <w:t>到2035年</w:t>
                  </w:r>
                  <w:r>
                    <w:rPr>
                      <w:rFonts w:hint="eastAsia"/>
                      <w:color w:val="auto"/>
                      <w:highlight w:val="none"/>
                    </w:rPr>
                    <w:t>，</w:t>
                  </w:r>
                  <w:r>
                    <w:rPr>
                      <w:rFonts w:hint="default"/>
                      <w:color w:val="auto"/>
                      <w:highlight w:val="none"/>
                    </w:rPr>
                    <w:t>开发区用水总量不得超过89.54万hm</w:t>
                  </w:r>
                  <w:r>
                    <w:rPr>
                      <w:rFonts w:hint="eastAsia"/>
                      <w:color w:val="auto"/>
                      <w:highlight w:val="none"/>
                      <w:vertAlign w:val="superscript"/>
                    </w:rPr>
                    <w:t>3</w:t>
                  </w:r>
                  <w:r>
                    <w:rPr>
                      <w:rFonts w:hint="default"/>
                      <w:color w:val="auto"/>
                      <w:highlight w:val="none"/>
                    </w:rPr>
                    <w:t>/d</w:t>
                  </w:r>
                  <w:r>
                    <w:rPr>
                      <w:rFonts w:hint="eastAsia"/>
                      <w:color w:val="auto"/>
                      <w:highlight w:val="none"/>
                    </w:rPr>
                    <w:t>。</w:t>
                  </w:r>
                  <w:r>
                    <w:rPr>
                      <w:rFonts w:hint="default"/>
                      <w:color w:val="auto"/>
                      <w:highlight w:val="none"/>
                    </w:rPr>
                    <w:t>单位工业增加值新鲜水耗不高于1.80立方米</w:t>
                  </w:r>
                  <w:r>
                    <w:rPr>
                      <w:rFonts w:hint="eastAsia"/>
                      <w:color w:val="auto"/>
                      <w:highlight w:val="none"/>
                    </w:rPr>
                    <w:t>/</w:t>
                  </w:r>
                  <w:r>
                    <w:rPr>
                      <w:rFonts w:hint="default"/>
                      <w:color w:val="auto"/>
                      <w:highlight w:val="none"/>
                    </w:rPr>
                    <w:t>万元，工业用水重复利用率达到85%。</w:t>
                  </w:r>
                </w:p>
                <w:p w14:paraId="75127703">
                  <w:pPr>
                    <w:pStyle w:val="41"/>
                    <w:bidi w:val="0"/>
                    <w:jc w:val="left"/>
                    <w:rPr>
                      <w:rFonts w:hint="default"/>
                      <w:color w:val="auto"/>
                      <w:highlight w:val="none"/>
                    </w:rPr>
                  </w:pPr>
                  <w:r>
                    <w:rPr>
                      <w:rFonts w:hint="default"/>
                      <w:color w:val="auto"/>
                      <w:highlight w:val="none"/>
                    </w:rPr>
                    <w:t>能源利用总量及效率要求</w:t>
                  </w:r>
                  <w:r>
                    <w:rPr>
                      <w:rFonts w:hint="eastAsia"/>
                      <w:color w:val="auto"/>
                      <w:highlight w:val="none"/>
                    </w:rPr>
                    <w:t>：</w:t>
                  </w:r>
                </w:p>
                <w:p w14:paraId="0125BF0C">
                  <w:pPr>
                    <w:pStyle w:val="41"/>
                    <w:bidi w:val="0"/>
                    <w:jc w:val="left"/>
                    <w:rPr>
                      <w:rFonts w:hint="default"/>
                      <w:color w:val="auto"/>
                      <w:highlight w:val="none"/>
                    </w:rPr>
                  </w:pPr>
                  <w:r>
                    <w:rPr>
                      <w:rFonts w:hint="default"/>
                      <w:color w:val="auto"/>
                      <w:highlight w:val="none"/>
                    </w:rPr>
                    <w:t>到2035年，单位工业增加值综合能耗不高于0.05吨标煤/万元。</w:t>
                  </w:r>
                </w:p>
                <w:p w14:paraId="3EB32662">
                  <w:pPr>
                    <w:pStyle w:val="41"/>
                    <w:bidi w:val="0"/>
                    <w:jc w:val="left"/>
                    <w:rPr>
                      <w:rFonts w:hint="default"/>
                      <w:color w:val="auto"/>
                      <w:highlight w:val="none"/>
                    </w:rPr>
                  </w:pPr>
                  <w:r>
                    <w:rPr>
                      <w:rFonts w:hint="default"/>
                      <w:color w:val="auto"/>
                      <w:highlight w:val="none"/>
                    </w:rPr>
                    <w:t>土地资源利用总量要求</w:t>
                  </w:r>
                  <w:r>
                    <w:rPr>
                      <w:rFonts w:hint="eastAsia"/>
                      <w:color w:val="auto"/>
                      <w:highlight w:val="none"/>
                    </w:rPr>
                    <w:t>：</w:t>
                  </w:r>
                </w:p>
                <w:p w14:paraId="51A01623">
                  <w:pPr>
                    <w:pStyle w:val="41"/>
                    <w:bidi w:val="0"/>
                    <w:jc w:val="left"/>
                    <w:rPr>
                      <w:rFonts w:hint="default"/>
                      <w:color w:val="auto"/>
                      <w:highlight w:val="none"/>
                    </w:rPr>
                  </w:pPr>
                  <w:r>
                    <w:rPr>
                      <w:rFonts w:hint="default"/>
                      <w:color w:val="auto"/>
                      <w:highlight w:val="none"/>
                    </w:rPr>
                    <w:t>到2035年，开发区城市建设用地应不突破193.93km</w:t>
                  </w:r>
                  <w:r>
                    <w:rPr>
                      <w:rFonts w:hint="default"/>
                      <w:color w:val="auto"/>
                      <w:highlight w:val="none"/>
                      <w:vertAlign w:val="superscript"/>
                    </w:rPr>
                    <w:t>2</w:t>
                  </w:r>
                  <w:r>
                    <w:rPr>
                      <w:rFonts w:hint="eastAsia"/>
                      <w:color w:val="auto"/>
                      <w:highlight w:val="none"/>
                    </w:rPr>
                    <w:t>，</w:t>
                  </w:r>
                  <w:r>
                    <w:rPr>
                      <w:rFonts w:hint="default"/>
                      <w:color w:val="auto"/>
                      <w:highlight w:val="none"/>
                    </w:rPr>
                    <w:t>工业用地不突破43.67km</w:t>
                  </w:r>
                  <w:r>
                    <w:rPr>
                      <w:rFonts w:hint="default"/>
                      <w:color w:val="auto"/>
                      <w:highlight w:val="none"/>
                      <w:vertAlign w:val="superscript"/>
                    </w:rPr>
                    <w:t>2</w:t>
                  </w:r>
                  <w:r>
                    <w:rPr>
                      <w:rFonts w:hint="default"/>
                      <w:color w:val="auto"/>
                      <w:highlight w:val="none"/>
                    </w:rPr>
                    <w:t>。</w:t>
                  </w:r>
                </w:p>
                <w:p w14:paraId="63ED35DD">
                  <w:pPr>
                    <w:pStyle w:val="41"/>
                    <w:bidi w:val="0"/>
                    <w:jc w:val="left"/>
                    <w:rPr>
                      <w:rFonts w:hint="default"/>
                      <w:color w:val="auto"/>
                      <w:highlight w:val="none"/>
                    </w:rPr>
                  </w:pPr>
                  <w:r>
                    <w:rPr>
                      <w:rFonts w:hint="default"/>
                      <w:color w:val="auto"/>
                      <w:highlight w:val="none"/>
                    </w:rPr>
                    <w:t>禁燃区要求</w:t>
                  </w:r>
                  <w:r>
                    <w:rPr>
                      <w:rFonts w:hint="eastAsia"/>
                      <w:color w:val="auto"/>
                      <w:highlight w:val="none"/>
                    </w:rPr>
                    <w:t>：</w:t>
                  </w:r>
                </w:p>
                <w:p w14:paraId="0D412009">
                  <w:pPr>
                    <w:pStyle w:val="41"/>
                    <w:bidi w:val="0"/>
                    <w:jc w:val="left"/>
                    <w:rPr>
                      <w:rFonts w:hint="default"/>
                      <w:color w:val="auto"/>
                      <w:highlight w:val="none"/>
                    </w:rPr>
                  </w:pPr>
                  <w:r>
                    <w:rPr>
                      <w:rFonts w:hint="default"/>
                      <w:color w:val="auto"/>
                      <w:highlight w:val="none"/>
                    </w:rPr>
                    <w:t>禁燃区禁止新建、扩建燃用高污染燃料的项目和设施，已建成的应</w:t>
                  </w:r>
                  <w:bookmarkStart w:id="21" w:name="OLE_LINK57"/>
                  <w:r>
                    <w:rPr>
                      <w:rFonts w:hint="default"/>
                      <w:color w:val="auto"/>
                      <w:highlight w:val="none"/>
                    </w:rPr>
                    <w:t>逐步或依法限期改用天然气、</w:t>
                  </w:r>
                  <w:r>
                    <w:rPr>
                      <w:rFonts w:hint="eastAsia"/>
                      <w:color w:val="auto"/>
                      <w:highlight w:val="none"/>
                      <w:lang w:eastAsia="zh-CN"/>
                    </w:rPr>
                    <w:t>电力</w:t>
                  </w:r>
                  <w:r>
                    <w:rPr>
                      <w:rFonts w:hint="default"/>
                      <w:color w:val="auto"/>
                      <w:highlight w:val="none"/>
                    </w:rPr>
                    <w:t>或者</w:t>
                  </w:r>
                  <w:bookmarkEnd w:id="21"/>
                  <w:r>
                    <w:rPr>
                      <w:rFonts w:hint="default"/>
                      <w:color w:val="auto"/>
                      <w:highlight w:val="none"/>
                    </w:rPr>
                    <w:t>其他清洁能源。</w:t>
                  </w:r>
                </w:p>
              </w:tc>
              <w:tc>
                <w:tcPr>
                  <w:tcW w:w="1452" w:type="pct"/>
                  <w:tcBorders>
                    <w:tl2br w:val="nil"/>
                    <w:tr2bl w:val="nil"/>
                  </w:tcBorders>
                  <w:vAlign w:val="center"/>
                </w:tcPr>
                <w:p w14:paraId="6610CE5D">
                  <w:pPr>
                    <w:pStyle w:val="41"/>
                    <w:bidi w:val="0"/>
                    <w:rPr>
                      <w:rFonts w:hint="default"/>
                      <w:color w:val="auto"/>
                      <w:highlight w:val="none"/>
                    </w:rPr>
                  </w:pPr>
                  <w:r>
                    <w:rPr>
                      <w:rFonts w:hint="default"/>
                      <w:color w:val="auto"/>
                      <w:highlight w:val="none"/>
                    </w:rPr>
                    <w:t>本项目实施后，企业</w:t>
                  </w:r>
                  <w:r>
                    <w:rPr>
                      <w:rFonts w:hint="eastAsia"/>
                      <w:color w:val="auto"/>
                      <w:highlight w:val="none"/>
                    </w:rPr>
                    <w:t>严格执行开发区水资源利用总量要求、能源利用总量及效率要求、土地资源利用总量要求、禁燃区要求。</w:t>
                  </w:r>
                </w:p>
              </w:tc>
              <w:tc>
                <w:tcPr>
                  <w:tcW w:w="525" w:type="pct"/>
                  <w:tcBorders>
                    <w:tl2br w:val="nil"/>
                    <w:tr2bl w:val="nil"/>
                  </w:tcBorders>
                  <w:vAlign w:val="center"/>
                </w:tcPr>
                <w:p w14:paraId="0EDFEF02">
                  <w:pPr>
                    <w:pStyle w:val="41"/>
                    <w:bidi w:val="0"/>
                    <w:rPr>
                      <w:rFonts w:hint="default"/>
                      <w:color w:val="auto"/>
                      <w:highlight w:val="none"/>
                    </w:rPr>
                  </w:pPr>
                  <w:r>
                    <w:rPr>
                      <w:rFonts w:hint="eastAsia"/>
                      <w:color w:val="auto"/>
                      <w:highlight w:val="none"/>
                    </w:rPr>
                    <w:t>符合</w:t>
                  </w:r>
                </w:p>
              </w:tc>
            </w:tr>
            <w:bookmarkEnd w:id="1"/>
          </w:tbl>
          <w:p w14:paraId="53F78C2B">
            <w:pPr>
              <w:pStyle w:val="41"/>
              <w:bidi w:val="0"/>
              <w:rPr>
                <w:color w:val="auto"/>
                <w:highlight w:val="none"/>
              </w:rPr>
            </w:pPr>
            <w:bookmarkStart w:id="22" w:name="_Hlk66973223"/>
          </w:p>
          <w:p w14:paraId="40B8983D">
            <w:pPr>
              <w:spacing w:line="360" w:lineRule="auto"/>
              <w:ind w:firstLine="480" w:firstLineChars="200"/>
              <w:rPr>
                <w:color w:val="auto"/>
                <w:highlight w:val="none"/>
              </w:rPr>
            </w:pPr>
            <w:r>
              <w:rPr>
                <w:color w:val="auto"/>
                <w:sz w:val="24"/>
                <w:highlight w:val="none"/>
              </w:rPr>
              <w:t>综上，本项目的建设能够满足区域规划</w:t>
            </w:r>
            <w:r>
              <w:rPr>
                <w:rFonts w:hint="eastAsia"/>
                <w:color w:val="auto"/>
                <w:sz w:val="24"/>
                <w:highlight w:val="none"/>
              </w:rPr>
              <w:t>及规划环境影响评价</w:t>
            </w:r>
            <w:r>
              <w:rPr>
                <w:color w:val="auto"/>
                <w:sz w:val="24"/>
                <w:highlight w:val="none"/>
              </w:rPr>
              <w:t>要求。</w:t>
            </w:r>
            <w:bookmarkEnd w:id="22"/>
          </w:p>
        </w:tc>
      </w:tr>
      <w:tr w14:paraId="554282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5" w:type="dxa"/>
            <w:vAlign w:val="center"/>
          </w:tcPr>
          <w:p w14:paraId="5F1BDA54">
            <w:pPr>
              <w:autoSpaceDE w:val="0"/>
              <w:autoSpaceDN w:val="0"/>
              <w:adjustRightInd w:val="0"/>
              <w:snapToGrid w:val="0"/>
              <w:spacing w:line="240" w:lineRule="auto"/>
              <w:jc w:val="center"/>
              <w:rPr>
                <w:b/>
                <w:bCs/>
                <w:color w:val="auto"/>
                <w:kern w:val="0"/>
                <w:szCs w:val="21"/>
                <w:highlight w:val="none"/>
              </w:rPr>
            </w:pPr>
            <w:r>
              <w:rPr>
                <w:b/>
                <w:bCs/>
                <w:color w:val="auto"/>
                <w:kern w:val="0"/>
                <w:szCs w:val="21"/>
                <w:highlight w:val="none"/>
              </w:rPr>
              <w:t>其他</w:t>
            </w:r>
          </w:p>
          <w:p w14:paraId="7D124433">
            <w:pPr>
              <w:autoSpaceDE w:val="0"/>
              <w:autoSpaceDN w:val="0"/>
              <w:adjustRightInd w:val="0"/>
              <w:snapToGrid w:val="0"/>
              <w:spacing w:line="240" w:lineRule="auto"/>
              <w:jc w:val="center"/>
              <w:rPr>
                <w:b/>
                <w:bCs/>
                <w:color w:val="auto"/>
                <w:kern w:val="0"/>
                <w:szCs w:val="21"/>
                <w:highlight w:val="none"/>
              </w:rPr>
            </w:pPr>
            <w:r>
              <w:rPr>
                <w:b/>
                <w:bCs/>
                <w:color w:val="auto"/>
                <w:kern w:val="0"/>
                <w:szCs w:val="21"/>
                <w:highlight w:val="none"/>
              </w:rPr>
              <w:t>符合性</w:t>
            </w:r>
          </w:p>
          <w:p w14:paraId="0165E710">
            <w:pPr>
              <w:autoSpaceDE w:val="0"/>
              <w:autoSpaceDN w:val="0"/>
              <w:adjustRightInd w:val="0"/>
              <w:snapToGrid w:val="0"/>
              <w:spacing w:line="240" w:lineRule="auto"/>
              <w:jc w:val="center"/>
              <w:rPr>
                <w:color w:val="auto"/>
                <w:kern w:val="0"/>
                <w:szCs w:val="21"/>
                <w:highlight w:val="none"/>
              </w:rPr>
            </w:pPr>
            <w:r>
              <w:rPr>
                <w:b/>
                <w:bCs/>
                <w:color w:val="auto"/>
                <w:kern w:val="0"/>
                <w:szCs w:val="21"/>
                <w:highlight w:val="none"/>
              </w:rPr>
              <w:t>分析</w:t>
            </w:r>
          </w:p>
        </w:tc>
        <w:tc>
          <w:tcPr>
            <w:tcW w:w="7944" w:type="dxa"/>
            <w:gridSpan w:val="3"/>
            <w:vAlign w:val="center"/>
          </w:tcPr>
          <w:p w14:paraId="2B4338AF">
            <w:pPr>
              <w:keepNext w:val="0"/>
              <w:keepLines w:val="0"/>
              <w:pageBreakBefore w:val="0"/>
              <w:widowControl w:val="0"/>
              <w:kinsoku/>
              <w:wordWrap/>
              <w:overflowPunct/>
              <w:topLinePunct w:val="0"/>
              <w:autoSpaceDE/>
              <w:autoSpaceDN/>
              <w:bidi w:val="0"/>
              <w:adjustRightInd/>
              <w:snapToGrid/>
              <w:spacing w:line="460" w:lineRule="exact"/>
              <w:ind w:firstLine="482" w:firstLineChars="200"/>
              <w:jc w:val="left"/>
              <w:textAlignment w:val="auto"/>
              <w:rPr>
                <w:b/>
                <w:bCs/>
                <w:color w:val="auto"/>
                <w:sz w:val="24"/>
                <w:highlight w:val="none"/>
              </w:rPr>
            </w:pPr>
            <w:r>
              <w:rPr>
                <w:b/>
                <w:bCs/>
                <w:color w:val="auto"/>
                <w:sz w:val="24"/>
                <w:highlight w:val="none"/>
              </w:rPr>
              <w:t>1、产业政策相符性分析</w:t>
            </w:r>
          </w:p>
          <w:p w14:paraId="6B79CCC9">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eastAsia="宋体"/>
                <w:color w:val="auto"/>
                <w:sz w:val="24"/>
                <w:highlight w:val="none"/>
                <w:lang w:eastAsia="zh-CN"/>
              </w:rPr>
            </w:pPr>
            <w:r>
              <w:rPr>
                <w:color w:val="auto"/>
                <w:sz w:val="24"/>
                <w:highlight w:val="none"/>
              </w:rPr>
              <w:t>本项目与产业政策相符性，如下表</w:t>
            </w:r>
            <w:r>
              <w:rPr>
                <w:rFonts w:hint="eastAsia"/>
                <w:color w:val="auto"/>
                <w:sz w:val="24"/>
                <w:highlight w:val="none"/>
                <w:lang w:eastAsia="zh-CN"/>
              </w:rPr>
              <w:t>。</w:t>
            </w:r>
          </w:p>
          <w:p w14:paraId="5C7A5429">
            <w:pPr>
              <w:pStyle w:val="43"/>
              <w:bidi w:val="0"/>
              <w:rPr>
                <w:color w:val="auto"/>
                <w:highlight w:val="none"/>
              </w:rPr>
            </w:pPr>
            <w:r>
              <w:rPr>
                <w:rFonts w:hint="eastAsia"/>
                <w:color w:val="auto"/>
                <w:highlight w:val="none"/>
                <w:lang w:val="en-US" w:eastAsia="zh-CN"/>
              </w:rPr>
              <w:t>本</w:t>
            </w:r>
            <w:r>
              <w:rPr>
                <w:color w:val="auto"/>
                <w:highlight w:val="none"/>
              </w:rPr>
              <w:t>项目与产业政策相符性一览表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59"/>
              <w:gridCol w:w="3567"/>
              <w:gridCol w:w="1002"/>
            </w:tblGrid>
            <w:tr w14:paraId="3089D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43" w:type="pct"/>
                  <w:vAlign w:val="center"/>
                </w:tcPr>
                <w:p w14:paraId="3FB32A34">
                  <w:pPr>
                    <w:pStyle w:val="41"/>
                    <w:bidi w:val="0"/>
                    <w:rPr>
                      <w:b/>
                      <w:bCs/>
                      <w:color w:val="auto"/>
                      <w:highlight w:val="none"/>
                    </w:rPr>
                  </w:pPr>
                  <w:r>
                    <w:rPr>
                      <w:rFonts w:hint="eastAsia"/>
                      <w:b/>
                      <w:bCs/>
                      <w:color w:val="auto"/>
                      <w:highlight w:val="none"/>
                      <w:lang w:val="en-US" w:eastAsia="zh-CN"/>
                    </w:rPr>
                    <w:t>文件</w:t>
                  </w:r>
                  <w:r>
                    <w:rPr>
                      <w:b/>
                      <w:bCs/>
                      <w:color w:val="auto"/>
                      <w:highlight w:val="none"/>
                    </w:rPr>
                    <w:t>名称</w:t>
                  </w:r>
                </w:p>
              </w:tc>
              <w:tc>
                <w:tcPr>
                  <w:tcW w:w="2307" w:type="pct"/>
                  <w:vAlign w:val="center"/>
                </w:tcPr>
                <w:p w14:paraId="3CAFEE25">
                  <w:pPr>
                    <w:pStyle w:val="41"/>
                    <w:bidi w:val="0"/>
                    <w:rPr>
                      <w:rFonts w:hint="default"/>
                      <w:b/>
                      <w:bCs/>
                      <w:color w:val="auto"/>
                      <w:highlight w:val="none"/>
                      <w:lang w:val="en-US" w:eastAsia="zh-CN"/>
                    </w:rPr>
                  </w:pPr>
                  <w:r>
                    <w:rPr>
                      <w:rFonts w:hint="eastAsia"/>
                      <w:b/>
                      <w:bCs/>
                      <w:color w:val="auto"/>
                      <w:highlight w:val="none"/>
                      <w:lang w:val="en-US" w:eastAsia="zh-CN"/>
                    </w:rPr>
                    <w:t>本项目情况</w:t>
                  </w:r>
                </w:p>
              </w:tc>
              <w:tc>
                <w:tcPr>
                  <w:tcW w:w="648" w:type="pct"/>
                  <w:vAlign w:val="center"/>
                </w:tcPr>
                <w:p w14:paraId="4CB59825">
                  <w:pPr>
                    <w:pStyle w:val="41"/>
                    <w:bidi w:val="0"/>
                    <w:rPr>
                      <w:b/>
                      <w:bCs/>
                      <w:color w:val="auto"/>
                      <w:highlight w:val="none"/>
                    </w:rPr>
                  </w:pPr>
                  <w:r>
                    <w:rPr>
                      <w:b/>
                      <w:bCs/>
                      <w:color w:val="auto"/>
                      <w:highlight w:val="none"/>
                    </w:rPr>
                    <w:t>相符性</w:t>
                  </w:r>
                </w:p>
              </w:tc>
            </w:tr>
            <w:tr w14:paraId="66B7B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43" w:type="pct"/>
                  <w:vAlign w:val="center"/>
                </w:tcPr>
                <w:p w14:paraId="67E685F6">
                  <w:pPr>
                    <w:pStyle w:val="41"/>
                    <w:bidi w:val="0"/>
                    <w:rPr>
                      <w:rFonts w:hint="default"/>
                      <w:color w:val="auto"/>
                      <w:highlight w:val="none"/>
                      <w:lang w:val="en-US" w:eastAsia="zh-CN"/>
                    </w:rPr>
                  </w:pPr>
                  <w:r>
                    <w:rPr>
                      <w:color w:val="auto"/>
                      <w:highlight w:val="none"/>
                    </w:rPr>
                    <w:t>《产业结构调整指导目录</w:t>
                  </w:r>
                  <w:r>
                    <w:rPr>
                      <w:rFonts w:hint="eastAsia"/>
                      <w:color w:val="auto"/>
                      <w:highlight w:val="none"/>
                      <w:lang w:eastAsia="zh-CN"/>
                    </w:rPr>
                    <w:t>（</w:t>
                  </w:r>
                  <w:r>
                    <w:rPr>
                      <w:rFonts w:hint="eastAsia"/>
                      <w:color w:val="auto"/>
                      <w:highlight w:val="none"/>
                      <w:lang w:val="en-US" w:eastAsia="zh-CN"/>
                    </w:rPr>
                    <w:t>2024</w:t>
                  </w:r>
                  <w:r>
                    <w:rPr>
                      <w:color w:val="auto"/>
                      <w:highlight w:val="none"/>
                    </w:rPr>
                    <w:t>年本</w:t>
                  </w:r>
                  <w:r>
                    <w:rPr>
                      <w:rFonts w:hint="eastAsia"/>
                      <w:color w:val="auto"/>
                      <w:highlight w:val="none"/>
                      <w:lang w:eastAsia="zh-CN"/>
                    </w:rPr>
                    <w:t>）</w:t>
                  </w:r>
                  <w:r>
                    <w:rPr>
                      <w:color w:val="auto"/>
                      <w:highlight w:val="none"/>
                    </w:rPr>
                    <w:t>》</w:t>
                  </w:r>
                </w:p>
              </w:tc>
              <w:tc>
                <w:tcPr>
                  <w:tcW w:w="2307" w:type="pct"/>
                  <w:vAlign w:val="center"/>
                </w:tcPr>
                <w:p w14:paraId="5AAD5A5E">
                  <w:pPr>
                    <w:pStyle w:val="41"/>
                    <w:bidi w:val="0"/>
                    <w:rPr>
                      <w:rFonts w:hint="eastAsia"/>
                      <w:color w:val="auto"/>
                      <w:highlight w:val="none"/>
                      <w:lang w:val="en-US" w:eastAsia="zh-CN"/>
                    </w:rPr>
                  </w:pPr>
                  <w:r>
                    <w:rPr>
                      <w:rFonts w:hint="default"/>
                      <w:color w:val="auto"/>
                      <w:highlight w:val="none"/>
                    </w:rPr>
                    <w:t>本项目主要进行中药研发室</w:t>
                  </w:r>
                  <w:r>
                    <w:rPr>
                      <w:rFonts w:hint="eastAsia"/>
                      <w:color w:val="auto"/>
                      <w:highlight w:val="none"/>
                      <w:lang w:eastAsia="zh-CN"/>
                    </w:rPr>
                    <w:t>，</w:t>
                  </w:r>
                  <w:r>
                    <w:rPr>
                      <w:rFonts w:hint="eastAsia"/>
                      <w:color w:val="auto"/>
                      <w:highlight w:val="none"/>
                      <w:lang w:val="en-US" w:eastAsia="zh-CN"/>
                    </w:rPr>
                    <w:t>属于文件中鼓励类项目：</w:t>
                  </w:r>
                  <w:r>
                    <w:rPr>
                      <w:rFonts w:hint="default"/>
                      <w:color w:val="auto"/>
                      <w:sz w:val="21"/>
                      <w:szCs w:val="21"/>
                      <w:highlight w:val="none"/>
                    </w:rPr>
                    <w:t>十三、医药</w:t>
                  </w:r>
                  <w:r>
                    <w:rPr>
                      <w:rFonts w:hint="eastAsia"/>
                      <w:color w:val="auto"/>
                      <w:sz w:val="21"/>
                      <w:szCs w:val="21"/>
                      <w:highlight w:val="none"/>
                      <w:lang w:eastAsia="zh-CN"/>
                    </w:rPr>
                    <w:t>，</w:t>
                  </w:r>
                  <w:r>
                    <w:rPr>
                      <w:rFonts w:hint="default"/>
                      <w:color w:val="auto"/>
                      <w:sz w:val="21"/>
                      <w:szCs w:val="21"/>
                      <w:highlight w:val="none"/>
                    </w:rPr>
                    <w:t>5．中医药传承创新</w:t>
                  </w:r>
                  <w:r>
                    <w:rPr>
                      <w:color w:val="auto"/>
                      <w:highlight w:val="none"/>
                    </w:rPr>
                    <w:t>。</w:t>
                  </w:r>
                </w:p>
              </w:tc>
              <w:tc>
                <w:tcPr>
                  <w:tcW w:w="648" w:type="pct"/>
                  <w:vAlign w:val="center"/>
                </w:tcPr>
                <w:p w14:paraId="66A5A55B">
                  <w:pPr>
                    <w:pStyle w:val="41"/>
                    <w:bidi w:val="0"/>
                    <w:rPr>
                      <w:color w:val="auto"/>
                      <w:highlight w:val="none"/>
                      <w:lang w:val="en-US" w:eastAsia="zh-CN"/>
                    </w:rPr>
                  </w:pPr>
                  <w:r>
                    <w:rPr>
                      <w:color w:val="auto"/>
                      <w:highlight w:val="none"/>
                    </w:rPr>
                    <w:t>相符</w:t>
                  </w:r>
                </w:p>
              </w:tc>
            </w:tr>
            <w:tr w14:paraId="386C9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43" w:type="pct"/>
                  <w:vAlign w:val="center"/>
                </w:tcPr>
                <w:p w14:paraId="6552FCB3">
                  <w:pPr>
                    <w:pStyle w:val="41"/>
                    <w:bidi w:val="0"/>
                    <w:rPr>
                      <w:rFonts w:hint="default"/>
                      <w:color w:val="auto"/>
                      <w:highlight w:val="none"/>
                      <w:lang w:val="en-US" w:eastAsia="zh-CN"/>
                    </w:rPr>
                  </w:pPr>
                  <w:r>
                    <w:rPr>
                      <w:rFonts w:hint="default"/>
                      <w:color w:val="auto"/>
                      <w:highlight w:val="none"/>
                    </w:rPr>
                    <w:t>《环境保护综合名录（2021年版）》</w:t>
                  </w:r>
                </w:p>
              </w:tc>
              <w:tc>
                <w:tcPr>
                  <w:tcW w:w="2307" w:type="pct"/>
                  <w:vAlign w:val="center"/>
                </w:tcPr>
                <w:p w14:paraId="5CB29901">
                  <w:pPr>
                    <w:pStyle w:val="41"/>
                    <w:bidi w:val="0"/>
                    <w:rPr>
                      <w:rFonts w:hint="eastAsia"/>
                      <w:color w:val="auto"/>
                      <w:highlight w:val="none"/>
                      <w:lang w:val="en-US" w:eastAsia="zh-CN"/>
                    </w:rPr>
                  </w:pPr>
                  <w:r>
                    <w:rPr>
                      <w:rFonts w:hint="default"/>
                      <w:color w:val="auto"/>
                      <w:highlight w:val="none"/>
                    </w:rPr>
                    <w:t>本项目</w:t>
                  </w:r>
                  <w:r>
                    <w:rPr>
                      <w:rFonts w:hint="eastAsia"/>
                      <w:color w:val="auto"/>
                      <w:highlight w:val="none"/>
                      <w:lang w:val="en-US" w:eastAsia="zh-CN"/>
                    </w:rPr>
                    <w:t>建成后主要进行中药研发，</w:t>
                  </w:r>
                  <w:r>
                    <w:rPr>
                      <w:rFonts w:hint="default"/>
                      <w:color w:val="auto"/>
                      <w:highlight w:val="none"/>
                    </w:rPr>
                    <w:t>不属于</w:t>
                  </w:r>
                  <w:r>
                    <w:rPr>
                      <w:rFonts w:hint="eastAsia"/>
                      <w:color w:val="auto"/>
                      <w:highlight w:val="none"/>
                      <w:lang w:eastAsia="zh-CN"/>
                    </w:rPr>
                    <w:t>“</w:t>
                  </w:r>
                  <w:r>
                    <w:rPr>
                      <w:rFonts w:hint="default"/>
                      <w:color w:val="auto"/>
                      <w:highlight w:val="none"/>
                    </w:rPr>
                    <w:t>两高</w:t>
                  </w:r>
                  <w:r>
                    <w:rPr>
                      <w:rFonts w:hint="eastAsia"/>
                      <w:color w:val="auto"/>
                      <w:highlight w:val="none"/>
                      <w:lang w:eastAsia="zh-CN"/>
                    </w:rPr>
                    <w:t>”</w:t>
                  </w:r>
                  <w:r>
                    <w:rPr>
                      <w:rFonts w:hint="default"/>
                      <w:color w:val="auto"/>
                      <w:highlight w:val="none"/>
                    </w:rPr>
                    <w:t>产品名录</w:t>
                  </w:r>
                  <w:r>
                    <w:rPr>
                      <w:rFonts w:hint="eastAsia"/>
                      <w:color w:val="auto"/>
                      <w:highlight w:val="none"/>
                      <w:lang w:eastAsia="zh-CN"/>
                    </w:rPr>
                    <w:t>。</w:t>
                  </w:r>
                </w:p>
              </w:tc>
              <w:tc>
                <w:tcPr>
                  <w:tcW w:w="648" w:type="pct"/>
                  <w:vAlign w:val="center"/>
                </w:tcPr>
                <w:p w14:paraId="0121375D">
                  <w:pPr>
                    <w:pStyle w:val="41"/>
                    <w:bidi w:val="0"/>
                    <w:rPr>
                      <w:rFonts w:hint="eastAsia"/>
                      <w:color w:val="auto"/>
                      <w:highlight w:val="none"/>
                      <w:lang w:val="en-US" w:eastAsia="zh-CN"/>
                    </w:rPr>
                  </w:pPr>
                  <w:r>
                    <w:rPr>
                      <w:color w:val="auto"/>
                      <w:highlight w:val="none"/>
                    </w:rPr>
                    <w:t>相符</w:t>
                  </w:r>
                </w:p>
              </w:tc>
            </w:tr>
            <w:tr w14:paraId="69288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43" w:type="pct"/>
                  <w:vAlign w:val="center"/>
                </w:tcPr>
                <w:p w14:paraId="72F550A5">
                  <w:pPr>
                    <w:pStyle w:val="41"/>
                    <w:bidi w:val="0"/>
                    <w:rPr>
                      <w:rFonts w:hint="default"/>
                      <w:color w:val="auto"/>
                      <w:highlight w:val="none"/>
                      <w:lang w:val="en-US" w:eastAsia="zh-CN"/>
                    </w:rPr>
                  </w:pPr>
                  <w:r>
                    <w:rPr>
                      <w:rFonts w:hint="default"/>
                      <w:color w:val="auto"/>
                      <w:highlight w:val="none"/>
                    </w:rPr>
                    <w:t>《关于加强高耗能、高排放建设项目生态环境源头防控的指导意见》</w:t>
                  </w:r>
                  <w:r>
                    <w:rPr>
                      <w:rFonts w:hint="default"/>
                      <w:color w:val="auto"/>
                      <w:highlight w:val="none"/>
                      <w:lang w:eastAsia="zh-CN"/>
                    </w:rPr>
                    <w:t>（</w:t>
                  </w:r>
                  <w:r>
                    <w:rPr>
                      <w:rFonts w:hint="default"/>
                      <w:color w:val="auto"/>
                      <w:highlight w:val="none"/>
                      <w:lang w:val="en-US" w:eastAsia="zh-CN"/>
                    </w:rPr>
                    <w:t>环环评</w:t>
                  </w:r>
                  <w:r>
                    <w:rPr>
                      <w:rFonts w:hint="eastAsia"/>
                      <w:color w:val="auto"/>
                      <w:highlight w:val="none"/>
                      <w:lang w:val="en-US" w:eastAsia="zh-CN"/>
                    </w:rPr>
                    <w:t>〔2021〕45号</w:t>
                  </w:r>
                  <w:r>
                    <w:rPr>
                      <w:rFonts w:hint="default"/>
                      <w:color w:val="auto"/>
                      <w:highlight w:val="none"/>
                      <w:lang w:val="en-US" w:eastAsia="zh-CN"/>
                    </w:rPr>
                    <w:t>）</w:t>
                  </w:r>
                </w:p>
              </w:tc>
              <w:tc>
                <w:tcPr>
                  <w:tcW w:w="2307" w:type="pct"/>
                  <w:vAlign w:val="center"/>
                </w:tcPr>
                <w:p w14:paraId="398EEE15">
                  <w:pPr>
                    <w:pStyle w:val="41"/>
                    <w:bidi w:val="0"/>
                    <w:rPr>
                      <w:rFonts w:hint="eastAsia"/>
                      <w:color w:val="auto"/>
                      <w:highlight w:val="none"/>
                      <w:lang w:val="en-US" w:eastAsia="zh-CN"/>
                    </w:rPr>
                  </w:pPr>
                  <w:r>
                    <w:rPr>
                      <w:rFonts w:hint="default"/>
                      <w:color w:val="auto"/>
                      <w:highlight w:val="none"/>
                    </w:rPr>
                    <w:t>本项目</w:t>
                  </w:r>
                  <w:r>
                    <w:rPr>
                      <w:rFonts w:hint="eastAsia"/>
                      <w:color w:val="auto"/>
                      <w:highlight w:val="none"/>
                      <w:lang w:val="en-US" w:eastAsia="zh-CN"/>
                    </w:rPr>
                    <w:t>建成后主要进行</w:t>
                  </w:r>
                  <w:r>
                    <w:rPr>
                      <w:rFonts w:hint="eastAsia"/>
                      <w:color w:val="auto"/>
                      <w:sz w:val="21"/>
                      <w:szCs w:val="21"/>
                      <w:highlight w:val="none"/>
                      <w:lang w:val="en-US" w:eastAsia="zh-CN"/>
                    </w:rPr>
                    <w:t>中药研发</w:t>
                  </w:r>
                  <w:r>
                    <w:rPr>
                      <w:rFonts w:hint="eastAsia"/>
                      <w:color w:val="auto"/>
                      <w:highlight w:val="none"/>
                      <w:lang w:val="en-US" w:eastAsia="zh-CN"/>
                    </w:rPr>
                    <w:t>，</w:t>
                  </w:r>
                  <w:r>
                    <w:rPr>
                      <w:rFonts w:hint="default"/>
                      <w:color w:val="auto"/>
                      <w:highlight w:val="none"/>
                    </w:rPr>
                    <w:t>对照《江苏省</w:t>
                  </w:r>
                  <w:r>
                    <w:rPr>
                      <w:rFonts w:hint="eastAsia"/>
                      <w:color w:val="auto"/>
                      <w:highlight w:val="none"/>
                      <w:lang w:eastAsia="zh-CN"/>
                    </w:rPr>
                    <w:t>“</w:t>
                  </w:r>
                  <w:r>
                    <w:rPr>
                      <w:rFonts w:hint="default"/>
                      <w:color w:val="auto"/>
                      <w:highlight w:val="none"/>
                    </w:rPr>
                    <w:t>两高</w:t>
                  </w:r>
                  <w:r>
                    <w:rPr>
                      <w:rFonts w:hint="eastAsia"/>
                      <w:color w:val="auto"/>
                      <w:highlight w:val="none"/>
                      <w:lang w:eastAsia="zh-CN"/>
                    </w:rPr>
                    <w:t>”</w:t>
                  </w:r>
                  <w:r>
                    <w:rPr>
                      <w:rFonts w:hint="default"/>
                      <w:color w:val="auto"/>
                      <w:highlight w:val="none"/>
                    </w:rPr>
                    <w:t>项目管理目录</w:t>
                  </w:r>
                  <w:r>
                    <w:rPr>
                      <w:rFonts w:hint="eastAsia"/>
                      <w:color w:val="auto"/>
                      <w:highlight w:val="none"/>
                      <w:lang w:eastAsia="zh-CN"/>
                    </w:rPr>
                    <w:t>（</w:t>
                  </w:r>
                  <w:r>
                    <w:rPr>
                      <w:rFonts w:hint="default"/>
                      <w:color w:val="auto"/>
                      <w:highlight w:val="none"/>
                    </w:rPr>
                    <w:t>2024年版</w:t>
                  </w:r>
                  <w:r>
                    <w:rPr>
                      <w:rFonts w:hint="eastAsia"/>
                      <w:color w:val="auto"/>
                      <w:highlight w:val="none"/>
                      <w:lang w:eastAsia="zh-CN"/>
                    </w:rPr>
                    <w:t>）</w:t>
                  </w:r>
                  <w:r>
                    <w:rPr>
                      <w:rFonts w:hint="default"/>
                      <w:color w:val="auto"/>
                      <w:highlight w:val="none"/>
                    </w:rPr>
                    <w:t>》，本项目不属于</w:t>
                  </w:r>
                  <w:sdt>
                    <w:sdtPr>
                      <w:rPr>
                        <w:color w:val="auto"/>
                        <w:highlight w:val="none"/>
                      </w:rPr>
                      <w:alias w:val="敏感词检查"/>
                      <w:tag w:val="auto"/>
                      <w:id w:val="3032523"/>
                    </w:sdtPr>
                    <w:sdtEndPr>
                      <w:rPr>
                        <w:color w:val="auto"/>
                        <w:highlight w:val="none"/>
                      </w:rPr>
                    </w:sdtEndPr>
                    <w:sdtContent>
                      <w:bookmarkStart w:id="23" w:name="bkPolitics3032523"/>
                      <w:r>
                        <w:rPr>
                          <w:rFonts w:hint="default"/>
                          <w:color w:val="auto"/>
                          <w:highlight w:val="none"/>
                        </w:rPr>
                        <w:t>两高</w:t>
                      </w:r>
                      <w:bookmarkEnd w:id="23"/>
                    </w:sdtContent>
                  </w:sdt>
                  <w:r>
                    <w:rPr>
                      <w:rFonts w:hint="default"/>
                      <w:color w:val="auto"/>
                      <w:highlight w:val="none"/>
                    </w:rPr>
                    <w:t>项目。</w:t>
                  </w:r>
                </w:p>
              </w:tc>
              <w:tc>
                <w:tcPr>
                  <w:tcW w:w="648" w:type="pct"/>
                  <w:vAlign w:val="center"/>
                </w:tcPr>
                <w:p w14:paraId="610AB8A0">
                  <w:pPr>
                    <w:pStyle w:val="41"/>
                    <w:bidi w:val="0"/>
                    <w:rPr>
                      <w:rFonts w:hint="eastAsia"/>
                      <w:color w:val="auto"/>
                      <w:highlight w:val="none"/>
                      <w:lang w:val="en-US" w:eastAsia="zh-CN"/>
                    </w:rPr>
                  </w:pPr>
                  <w:r>
                    <w:rPr>
                      <w:color w:val="auto"/>
                      <w:highlight w:val="none"/>
                    </w:rPr>
                    <w:t>相符</w:t>
                  </w:r>
                </w:p>
              </w:tc>
            </w:tr>
            <w:tr w14:paraId="73640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43" w:type="pct"/>
                  <w:vAlign w:val="center"/>
                </w:tcPr>
                <w:p w14:paraId="0B12A259">
                  <w:pPr>
                    <w:pStyle w:val="41"/>
                    <w:bidi w:val="0"/>
                    <w:rPr>
                      <w:rFonts w:hint="default"/>
                      <w:color w:val="auto"/>
                      <w:highlight w:val="none"/>
                    </w:rPr>
                  </w:pPr>
                  <w:r>
                    <w:rPr>
                      <w:rFonts w:hint="default"/>
                      <w:color w:val="auto"/>
                      <w:highlight w:val="none"/>
                    </w:rPr>
                    <w:t>《江苏省</w:t>
                  </w:r>
                  <w:r>
                    <w:rPr>
                      <w:rFonts w:hint="eastAsia"/>
                      <w:color w:val="auto"/>
                      <w:highlight w:val="none"/>
                      <w:lang w:eastAsia="zh-CN"/>
                    </w:rPr>
                    <w:t>“</w:t>
                  </w:r>
                  <w:r>
                    <w:rPr>
                      <w:rFonts w:hint="default"/>
                      <w:color w:val="auto"/>
                      <w:highlight w:val="none"/>
                    </w:rPr>
                    <w:t>两高</w:t>
                  </w:r>
                  <w:r>
                    <w:rPr>
                      <w:rFonts w:hint="eastAsia"/>
                      <w:color w:val="auto"/>
                      <w:highlight w:val="none"/>
                      <w:lang w:eastAsia="zh-CN"/>
                    </w:rPr>
                    <w:t>”</w:t>
                  </w:r>
                  <w:r>
                    <w:rPr>
                      <w:rFonts w:hint="default"/>
                      <w:color w:val="auto"/>
                      <w:highlight w:val="none"/>
                    </w:rPr>
                    <w:t>项目管理目录</w:t>
                  </w:r>
                  <w:r>
                    <w:rPr>
                      <w:rFonts w:hint="eastAsia"/>
                      <w:color w:val="auto"/>
                      <w:highlight w:val="none"/>
                      <w:lang w:eastAsia="zh-CN"/>
                    </w:rPr>
                    <w:t>（</w:t>
                  </w:r>
                  <w:r>
                    <w:rPr>
                      <w:rFonts w:hint="default"/>
                      <w:color w:val="auto"/>
                      <w:highlight w:val="none"/>
                    </w:rPr>
                    <w:t>2024年版</w:t>
                  </w:r>
                  <w:r>
                    <w:rPr>
                      <w:rFonts w:hint="eastAsia"/>
                      <w:color w:val="auto"/>
                      <w:highlight w:val="none"/>
                      <w:lang w:eastAsia="zh-CN"/>
                    </w:rPr>
                    <w:t>）</w:t>
                  </w:r>
                  <w:r>
                    <w:rPr>
                      <w:rFonts w:hint="default"/>
                      <w:color w:val="auto"/>
                      <w:highlight w:val="none"/>
                    </w:rPr>
                    <w:t>》</w:t>
                  </w:r>
                </w:p>
              </w:tc>
              <w:tc>
                <w:tcPr>
                  <w:tcW w:w="2307" w:type="pct"/>
                  <w:vAlign w:val="center"/>
                </w:tcPr>
                <w:p w14:paraId="6A7A8F9F">
                  <w:pPr>
                    <w:pStyle w:val="41"/>
                    <w:bidi w:val="0"/>
                    <w:rPr>
                      <w:rFonts w:hint="default"/>
                      <w:color w:val="auto"/>
                      <w:highlight w:val="none"/>
                    </w:rPr>
                  </w:pPr>
                  <w:r>
                    <w:rPr>
                      <w:rFonts w:hint="default"/>
                      <w:color w:val="auto"/>
                      <w:highlight w:val="none"/>
                    </w:rPr>
                    <w:t>本项目</w:t>
                  </w:r>
                  <w:r>
                    <w:rPr>
                      <w:rFonts w:hint="eastAsia"/>
                      <w:color w:val="auto"/>
                      <w:highlight w:val="none"/>
                      <w:lang w:val="en-US" w:eastAsia="zh-CN"/>
                    </w:rPr>
                    <w:t>建成后主要进行中药研发，</w:t>
                  </w:r>
                  <w:r>
                    <w:rPr>
                      <w:rFonts w:hint="default"/>
                      <w:color w:val="auto"/>
                      <w:highlight w:val="none"/>
                    </w:rPr>
                    <w:t>对照《江苏省</w:t>
                  </w:r>
                  <w:r>
                    <w:rPr>
                      <w:rFonts w:hint="eastAsia"/>
                      <w:color w:val="auto"/>
                      <w:highlight w:val="none"/>
                      <w:lang w:eastAsia="zh-CN"/>
                    </w:rPr>
                    <w:t>“</w:t>
                  </w:r>
                  <w:r>
                    <w:rPr>
                      <w:rFonts w:hint="default"/>
                      <w:color w:val="auto"/>
                      <w:highlight w:val="none"/>
                    </w:rPr>
                    <w:t>两高</w:t>
                  </w:r>
                  <w:r>
                    <w:rPr>
                      <w:rFonts w:hint="eastAsia"/>
                      <w:color w:val="auto"/>
                      <w:highlight w:val="none"/>
                      <w:lang w:eastAsia="zh-CN"/>
                    </w:rPr>
                    <w:t>”</w:t>
                  </w:r>
                  <w:r>
                    <w:rPr>
                      <w:rFonts w:hint="default"/>
                      <w:color w:val="auto"/>
                      <w:highlight w:val="none"/>
                    </w:rPr>
                    <w:t>项目管理目录</w:t>
                  </w:r>
                  <w:r>
                    <w:rPr>
                      <w:rFonts w:hint="eastAsia"/>
                      <w:color w:val="auto"/>
                      <w:highlight w:val="none"/>
                      <w:lang w:eastAsia="zh-CN"/>
                    </w:rPr>
                    <w:t>（</w:t>
                  </w:r>
                  <w:r>
                    <w:rPr>
                      <w:rFonts w:hint="default"/>
                      <w:color w:val="auto"/>
                      <w:highlight w:val="none"/>
                    </w:rPr>
                    <w:t>2024年版</w:t>
                  </w:r>
                  <w:r>
                    <w:rPr>
                      <w:rFonts w:hint="eastAsia"/>
                      <w:color w:val="auto"/>
                      <w:highlight w:val="none"/>
                      <w:lang w:eastAsia="zh-CN"/>
                    </w:rPr>
                    <w:t>）</w:t>
                  </w:r>
                  <w:r>
                    <w:rPr>
                      <w:rFonts w:hint="default"/>
                      <w:color w:val="auto"/>
                      <w:highlight w:val="none"/>
                    </w:rPr>
                    <w:t>》，本项目不属于</w:t>
                  </w:r>
                  <w:sdt>
                    <w:sdtPr>
                      <w:rPr>
                        <w:color w:val="auto"/>
                        <w:highlight w:val="none"/>
                      </w:rPr>
                      <w:alias w:val="敏感词检查"/>
                      <w:tag w:val="auto"/>
                      <w:id w:val="147467638"/>
                    </w:sdtPr>
                    <w:sdtEndPr>
                      <w:rPr>
                        <w:color w:val="auto"/>
                        <w:highlight w:val="none"/>
                      </w:rPr>
                    </w:sdtEndPr>
                    <w:sdtContent>
                      <w:r>
                        <w:rPr>
                          <w:rFonts w:hint="default"/>
                          <w:color w:val="auto"/>
                          <w:highlight w:val="none"/>
                        </w:rPr>
                        <w:t>两高</w:t>
                      </w:r>
                    </w:sdtContent>
                  </w:sdt>
                  <w:r>
                    <w:rPr>
                      <w:rFonts w:hint="default"/>
                      <w:color w:val="auto"/>
                      <w:highlight w:val="none"/>
                    </w:rPr>
                    <w:t>项目。</w:t>
                  </w:r>
                </w:p>
              </w:tc>
              <w:tc>
                <w:tcPr>
                  <w:tcW w:w="648" w:type="pct"/>
                  <w:vAlign w:val="center"/>
                </w:tcPr>
                <w:p w14:paraId="201A2C44">
                  <w:pPr>
                    <w:pStyle w:val="41"/>
                    <w:bidi w:val="0"/>
                    <w:rPr>
                      <w:color w:val="auto"/>
                      <w:highlight w:val="none"/>
                    </w:rPr>
                  </w:pPr>
                  <w:r>
                    <w:rPr>
                      <w:color w:val="auto"/>
                      <w:highlight w:val="none"/>
                    </w:rPr>
                    <w:t>相符</w:t>
                  </w:r>
                </w:p>
              </w:tc>
            </w:tr>
          </w:tbl>
          <w:p w14:paraId="2959AF8E">
            <w:pPr>
              <w:pStyle w:val="41"/>
              <w:bidi w:val="0"/>
              <w:rPr>
                <w:color w:val="auto"/>
                <w:highlight w:val="none"/>
              </w:rPr>
            </w:pPr>
          </w:p>
          <w:p w14:paraId="34CC9712">
            <w:pPr>
              <w:bidi w:val="0"/>
              <w:ind w:firstLine="482" w:firstLineChars="200"/>
              <w:rPr>
                <w:b/>
                <w:bCs/>
                <w:color w:val="auto"/>
                <w:highlight w:val="none"/>
              </w:rPr>
            </w:pPr>
            <w:r>
              <w:rPr>
                <w:b/>
                <w:bCs/>
                <w:color w:val="auto"/>
                <w:highlight w:val="none"/>
              </w:rPr>
              <w:t>2、土地政策相符性分析</w:t>
            </w:r>
          </w:p>
          <w:p w14:paraId="1906011A">
            <w:pPr>
              <w:bidi w:val="0"/>
              <w:ind w:firstLine="480" w:firstLineChars="200"/>
              <w:rPr>
                <w:rFonts w:hint="eastAsia"/>
                <w:color w:val="auto"/>
                <w:highlight w:val="none"/>
                <w:lang w:eastAsia="zh-CN"/>
              </w:rPr>
            </w:pPr>
            <w:r>
              <w:rPr>
                <w:color w:val="auto"/>
                <w:highlight w:val="none"/>
              </w:rPr>
              <w:t>本项目与土地政策相符性，如下表</w:t>
            </w:r>
            <w:r>
              <w:rPr>
                <w:rFonts w:hint="eastAsia"/>
                <w:color w:val="auto"/>
                <w:highlight w:val="none"/>
                <w:lang w:eastAsia="zh-CN"/>
              </w:rPr>
              <w:t>。</w:t>
            </w:r>
          </w:p>
          <w:p w14:paraId="3A97C534">
            <w:pPr>
              <w:pStyle w:val="43"/>
              <w:bidi w:val="0"/>
              <w:rPr>
                <w:color w:val="auto"/>
                <w:highlight w:val="none"/>
              </w:rPr>
            </w:pPr>
            <w:r>
              <w:rPr>
                <w:rFonts w:hint="eastAsia"/>
                <w:color w:val="auto"/>
                <w:highlight w:val="none"/>
                <w:lang w:val="en-US" w:eastAsia="zh-CN"/>
              </w:rPr>
              <w:t>本</w:t>
            </w:r>
            <w:r>
              <w:rPr>
                <w:color w:val="auto"/>
                <w:highlight w:val="none"/>
              </w:rPr>
              <w:t>项目与</w:t>
            </w:r>
            <w:r>
              <w:rPr>
                <w:rFonts w:hint="eastAsia"/>
                <w:color w:val="auto"/>
                <w:highlight w:val="none"/>
              </w:rPr>
              <w:t>土地</w:t>
            </w:r>
            <w:r>
              <w:rPr>
                <w:color w:val="auto"/>
                <w:highlight w:val="none"/>
              </w:rPr>
              <w:t>政策相符性一览表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20"/>
              <w:gridCol w:w="4298"/>
              <w:gridCol w:w="1010"/>
            </w:tblGrid>
            <w:tr w14:paraId="50D82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65" w:type="pct"/>
                  <w:vAlign w:val="center"/>
                </w:tcPr>
                <w:p w14:paraId="459DCFC5">
                  <w:pPr>
                    <w:pStyle w:val="41"/>
                    <w:bidi w:val="0"/>
                    <w:rPr>
                      <w:b/>
                      <w:bCs/>
                      <w:color w:val="auto"/>
                      <w:highlight w:val="none"/>
                    </w:rPr>
                  </w:pPr>
                  <w:r>
                    <w:rPr>
                      <w:rFonts w:hint="eastAsia"/>
                      <w:b/>
                      <w:bCs/>
                      <w:color w:val="auto"/>
                      <w:highlight w:val="none"/>
                      <w:lang w:val="en-US" w:eastAsia="zh-CN"/>
                    </w:rPr>
                    <w:t>文件</w:t>
                  </w:r>
                  <w:r>
                    <w:rPr>
                      <w:b/>
                      <w:bCs/>
                      <w:color w:val="auto"/>
                      <w:highlight w:val="none"/>
                    </w:rPr>
                    <w:t>名称</w:t>
                  </w:r>
                </w:p>
              </w:tc>
              <w:tc>
                <w:tcPr>
                  <w:tcW w:w="2780" w:type="pct"/>
                  <w:vAlign w:val="center"/>
                </w:tcPr>
                <w:p w14:paraId="7EA2E8C4">
                  <w:pPr>
                    <w:pStyle w:val="41"/>
                    <w:bidi w:val="0"/>
                    <w:rPr>
                      <w:rFonts w:hint="default"/>
                      <w:b/>
                      <w:bCs/>
                      <w:color w:val="auto"/>
                      <w:highlight w:val="none"/>
                      <w:lang w:val="en-US" w:eastAsia="zh-CN"/>
                    </w:rPr>
                  </w:pPr>
                  <w:r>
                    <w:rPr>
                      <w:rFonts w:hint="eastAsia"/>
                      <w:b/>
                      <w:bCs/>
                      <w:color w:val="auto"/>
                      <w:highlight w:val="none"/>
                      <w:lang w:val="en-US" w:eastAsia="zh-CN"/>
                    </w:rPr>
                    <w:t>本项目情况</w:t>
                  </w:r>
                </w:p>
              </w:tc>
              <w:tc>
                <w:tcPr>
                  <w:tcW w:w="653" w:type="pct"/>
                  <w:vAlign w:val="center"/>
                </w:tcPr>
                <w:p w14:paraId="23BCFA54">
                  <w:pPr>
                    <w:pStyle w:val="41"/>
                    <w:bidi w:val="0"/>
                    <w:rPr>
                      <w:b/>
                      <w:bCs/>
                      <w:color w:val="auto"/>
                      <w:highlight w:val="none"/>
                    </w:rPr>
                  </w:pPr>
                  <w:r>
                    <w:rPr>
                      <w:b/>
                      <w:bCs/>
                      <w:color w:val="auto"/>
                      <w:highlight w:val="none"/>
                    </w:rPr>
                    <w:t>相符性</w:t>
                  </w:r>
                </w:p>
              </w:tc>
            </w:tr>
            <w:tr w14:paraId="37EC4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65" w:type="pct"/>
                  <w:vAlign w:val="center"/>
                </w:tcPr>
                <w:p w14:paraId="2BAC2098">
                  <w:pPr>
                    <w:pStyle w:val="41"/>
                    <w:bidi w:val="0"/>
                    <w:rPr>
                      <w:rFonts w:hint="eastAsia"/>
                      <w:color w:val="auto"/>
                      <w:highlight w:val="none"/>
                      <w:lang w:val="en-US" w:eastAsia="zh-CN"/>
                    </w:rPr>
                  </w:pPr>
                  <w:r>
                    <w:rPr>
                      <w:rFonts w:hint="default"/>
                      <w:color w:val="auto"/>
                      <w:highlight w:val="none"/>
                    </w:rPr>
                    <w:t>《</w:t>
                  </w:r>
                  <w:r>
                    <w:rPr>
                      <w:rFonts w:hint="eastAsia"/>
                      <w:color w:val="auto"/>
                      <w:highlight w:val="none"/>
                      <w:lang w:val="en-US" w:eastAsia="zh-CN"/>
                    </w:rPr>
                    <w:t>江苏省限制用地项目目录（2013年本）</w:t>
                  </w:r>
                  <w:r>
                    <w:rPr>
                      <w:rFonts w:hint="eastAsia"/>
                      <w:color w:val="auto"/>
                      <w:highlight w:val="none"/>
                      <w:lang w:eastAsia="zh-CN"/>
                    </w:rPr>
                    <w:t>》</w:t>
                  </w:r>
                  <w:r>
                    <w:rPr>
                      <w:rFonts w:hint="eastAsia"/>
                      <w:color w:val="auto"/>
                      <w:highlight w:val="none"/>
                      <w:lang w:val="en-US" w:eastAsia="zh-CN"/>
                    </w:rPr>
                    <w:t>和《江苏省禁止用地项目目录（2013年本）》</w:t>
                  </w:r>
                </w:p>
              </w:tc>
              <w:tc>
                <w:tcPr>
                  <w:tcW w:w="2780" w:type="pct"/>
                  <w:vAlign w:val="center"/>
                </w:tcPr>
                <w:p w14:paraId="12B84142">
                  <w:pPr>
                    <w:pStyle w:val="41"/>
                    <w:bidi w:val="0"/>
                    <w:rPr>
                      <w:color w:val="auto"/>
                      <w:highlight w:val="none"/>
                    </w:rPr>
                  </w:pPr>
                  <w:r>
                    <w:rPr>
                      <w:rFonts w:hint="eastAsia"/>
                      <w:color w:val="auto"/>
                      <w:highlight w:val="none"/>
                      <w:lang w:val="zh-CN"/>
                    </w:rPr>
                    <w:t>本项目位于南京市江宁区高新园龙眠大道578号，根据企业提供的不动产权证（附件5），项目所在地块用地类型为科教用地。根据《江宁经济技术开发区总体发展规划（2020-2035）环境影响评价报告书》中江宁经济技术开发区近期土地利用规划图-2025年（附图</w:t>
                  </w:r>
                  <w:r>
                    <w:rPr>
                      <w:rFonts w:hint="eastAsia"/>
                      <w:color w:val="auto"/>
                      <w:highlight w:val="none"/>
                      <w:lang w:val="en-US" w:eastAsia="zh-CN"/>
                    </w:rPr>
                    <w:t>6</w:t>
                  </w:r>
                  <w:r>
                    <w:rPr>
                      <w:rFonts w:hint="eastAsia"/>
                      <w:color w:val="auto"/>
                      <w:highlight w:val="none"/>
                      <w:lang w:val="zh-CN"/>
                    </w:rPr>
                    <w:t>）、江宁经济技术开发区远期土地利用规划图-2035年（附图</w:t>
                  </w:r>
                  <w:r>
                    <w:rPr>
                      <w:rFonts w:hint="eastAsia"/>
                      <w:color w:val="auto"/>
                      <w:highlight w:val="none"/>
                      <w:lang w:val="en-US" w:eastAsia="zh-CN"/>
                    </w:rPr>
                    <w:t>7</w:t>
                  </w:r>
                  <w:r>
                    <w:rPr>
                      <w:rFonts w:hint="eastAsia"/>
                      <w:color w:val="auto"/>
                      <w:highlight w:val="none"/>
                      <w:lang w:val="zh-CN"/>
                    </w:rPr>
                    <w:t>），项目所在地块为科研设计用地，</w:t>
                  </w:r>
                  <w:r>
                    <w:rPr>
                      <w:color w:val="auto"/>
                      <w:highlight w:val="none"/>
                      <w:lang w:val="zh-CN"/>
                    </w:rPr>
                    <w:t>不属于限制和禁止用地。</w:t>
                  </w:r>
                </w:p>
              </w:tc>
              <w:tc>
                <w:tcPr>
                  <w:tcW w:w="653" w:type="pct"/>
                  <w:vAlign w:val="center"/>
                </w:tcPr>
                <w:p w14:paraId="59D1EB82">
                  <w:pPr>
                    <w:pStyle w:val="41"/>
                    <w:bidi w:val="0"/>
                    <w:rPr>
                      <w:color w:val="auto"/>
                      <w:highlight w:val="none"/>
                    </w:rPr>
                  </w:pPr>
                  <w:r>
                    <w:rPr>
                      <w:color w:val="auto"/>
                      <w:highlight w:val="none"/>
                    </w:rPr>
                    <w:t>相符</w:t>
                  </w:r>
                </w:p>
              </w:tc>
            </w:tr>
          </w:tbl>
          <w:p w14:paraId="066B628E">
            <w:pPr>
              <w:pStyle w:val="41"/>
              <w:bidi w:val="0"/>
              <w:rPr>
                <w:color w:val="auto"/>
                <w:highlight w:val="none"/>
              </w:rPr>
            </w:pPr>
          </w:p>
          <w:p w14:paraId="5EC19BEF">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b/>
                <w:bCs/>
                <w:color w:val="auto"/>
                <w:sz w:val="24"/>
                <w:highlight w:val="none"/>
              </w:rPr>
            </w:pPr>
            <w:r>
              <w:rPr>
                <w:b/>
                <w:bCs/>
                <w:color w:val="auto"/>
                <w:sz w:val="24"/>
                <w:highlight w:val="none"/>
              </w:rPr>
              <w:t>3、与</w:t>
            </w:r>
            <w:r>
              <w:rPr>
                <w:rFonts w:hint="eastAsia"/>
                <w:b/>
                <w:bCs/>
                <w:color w:val="auto"/>
                <w:sz w:val="24"/>
                <w:highlight w:val="none"/>
              </w:rPr>
              <w:t>“</w:t>
            </w:r>
            <w:r>
              <w:rPr>
                <w:b/>
                <w:bCs/>
                <w:color w:val="auto"/>
                <w:sz w:val="24"/>
                <w:highlight w:val="none"/>
              </w:rPr>
              <w:t>三线一单</w:t>
            </w:r>
            <w:r>
              <w:rPr>
                <w:rFonts w:hint="eastAsia"/>
                <w:b/>
                <w:bCs/>
                <w:color w:val="auto"/>
                <w:sz w:val="24"/>
                <w:highlight w:val="none"/>
              </w:rPr>
              <w:t>”</w:t>
            </w:r>
            <w:r>
              <w:rPr>
                <w:b/>
                <w:bCs/>
                <w:color w:val="auto"/>
                <w:sz w:val="24"/>
                <w:highlight w:val="none"/>
              </w:rPr>
              <w:t>相符性分析</w:t>
            </w:r>
          </w:p>
          <w:p w14:paraId="35337B82">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b/>
                <w:bCs/>
                <w:color w:val="auto"/>
                <w:sz w:val="24"/>
                <w:highlight w:val="none"/>
              </w:rPr>
            </w:pPr>
            <w:r>
              <w:rPr>
                <w:b/>
                <w:bCs/>
                <w:color w:val="auto"/>
                <w:sz w:val="24"/>
                <w:highlight w:val="none"/>
              </w:rPr>
              <w:t>（1）生态红线相符性分析</w:t>
            </w:r>
          </w:p>
          <w:p w14:paraId="0B892682">
            <w:pPr>
              <w:bidi w:val="0"/>
              <w:ind w:firstLine="480" w:firstLineChars="200"/>
              <w:rPr>
                <w:rFonts w:hint="eastAsia"/>
                <w:color w:val="auto"/>
                <w:highlight w:val="none"/>
              </w:rPr>
            </w:pPr>
            <w:r>
              <w:rPr>
                <w:rFonts w:hint="eastAsia"/>
                <w:color w:val="auto"/>
                <w:highlight w:val="none"/>
              </w:rPr>
              <w:t>对照《自然资源部办公厅关于北京等省</w:t>
            </w:r>
            <w:r>
              <w:rPr>
                <w:rFonts w:hint="eastAsia"/>
                <w:color w:val="auto"/>
                <w:highlight w:val="none"/>
                <w:lang w:eastAsia="zh-CN"/>
              </w:rPr>
              <w:t>（</w:t>
            </w:r>
            <w:r>
              <w:rPr>
                <w:rFonts w:hint="eastAsia"/>
                <w:color w:val="auto"/>
                <w:highlight w:val="none"/>
              </w:rPr>
              <w:t>区、市</w:t>
            </w:r>
            <w:r>
              <w:rPr>
                <w:rFonts w:hint="eastAsia"/>
                <w:color w:val="auto"/>
                <w:highlight w:val="none"/>
                <w:lang w:eastAsia="zh-CN"/>
              </w:rPr>
              <w:t>）</w:t>
            </w:r>
            <w:r>
              <w:rPr>
                <w:rFonts w:hint="eastAsia"/>
                <w:color w:val="auto"/>
                <w:highlight w:val="none"/>
              </w:rPr>
              <w:t>启用“三区三线”划定成果作为报批建设项目用地用海依据的函》（自然资办函</w:t>
            </w:r>
            <w:r>
              <w:rPr>
                <w:rFonts w:hint="eastAsia"/>
                <w:color w:val="auto"/>
                <w:highlight w:val="none"/>
                <w:lang w:eastAsia="zh-CN"/>
              </w:rPr>
              <w:t>〔</w:t>
            </w:r>
            <w:r>
              <w:rPr>
                <w:rFonts w:hint="eastAsia"/>
                <w:color w:val="auto"/>
                <w:highlight w:val="none"/>
              </w:rPr>
              <w:t>2022</w:t>
            </w:r>
            <w:r>
              <w:rPr>
                <w:rFonts w:hint="eastAsia"/>
                <w:color w:val="auto"/>
                <w:highlight w:val="none"/>
                <w:lang w:eastAsia="zh-CN"/>
              </w:rPr>
              <w:t>〕</w:t>
            </w:r>
            <w:r>
              <w:rPr>
                <w:rFonts w:hint="eastAsia"/>
                <w:color w:val="auto"/>
                <w:highlight w:val="none"/>
              </w:rPr>
              <w:t>2207号）、南京市“三区三线”划定成果、《南京市江宁区2023年度生态空间管控区调整方案》《江苏省自然资源厅关于南京市江宁区2023年度生态空间管控区调整方案的复函》（苏自然资函</w:t>
            </w:r>
            <w:r>
              <w:rPr>
                <w:rFonts w:hint="eastAsia"/>
                <w:color w:val="auto"/>
                <w:highlight w:val="none"/>
                <w:lang w:eastAsia="zh-CN"/>
              </w:rPr>
              <w:t>〔</w:t>
            </w:r>
            <w:r>
              <w:rPr>
                <w:rFonts w:hint="eastAsia"/>
                <w:color w:val="auto"/>
                <w:highlight w:val="none"/>
              </w:rPr>
              <w:t>2023</w:t>
            </w:r>
            <w:r>
              <w:rPr>
                <w:rFonts w:hint="eastAsia"/>
                <w:color w:val="auto"/>
                <w:highlight w:val="none"/>
                <w:lang w:eastAsia="zh-CN"/>
              </w:rPr>
              <w:t>〕</w:t>
            </w:r>
            <w:r>
              <w:rPr>
                <w:rFonts w:hint="eastAsia"/>
                <w:color w:val="auto"/>
                <w:highlight w:val="none"/>
              </w:rPr>
              <w:t>1058号），</w:t>
            </w:r>
            <w:r>
              <w:rPr>
                <w:color w:val="auto"/>
                <w:highlight w:val="none"/>
              </w:rPr>
              <w:t>本项目</w:t>
            </w:r>
            <w:r>
              <w:rPr>
                <w:rFonts w:hint="eastAsia"/>
                <w:color w:val="auto"/>
                <w:highlight w:val="none"/>
              </w:rPr>
              <w:t>不占用</w:t>
            </w:r>
            <w:r>
              <w:rPr>
                <w:rFonts w:hint="eastAsia"/>
                <w:color w:val="auto"/>
                <w:highlight w:val="none"/>
                <w:lang w:val="en-US" w:eastAsia="zh-CN"/>
              </w:rPr>
              <w:t>国家级</w:t>
            </w:r>
            <w:r>
              <w:rPr>
                <w:rFonts w:hint="eastAsia"/>
                <w:color w:val="auto"/>
                <w:highlight w:val="none"/>
                <w:lang w:eastAsia="zh-CN"/>
              </w:rPr>
              <w:t>生态</w:t>
            </w:r>
            <w:r>
              <w:rPr>
                <w:rFonts w:hint="eastAsia"/>
                <w:color w:val="auto"/>
                <w:highlight w:val="none"/>
              </w:rPr>
              <w:t>保护红线和生态空间管控区域，项目的建设符合文件要求。</w:t>
            </w:r>
            <w:bookmarkStart w:id="24" w:name="sys23611696"/>
            <w:r>
              <w:rPr>
                <w:rFonts w:hint="eastAsia"/>
                <w:color w:val="auto"/>
                <w:highlight w:val="none"/>
                <w:lang w:val="en-US" w:eastAsia="zh-CN"/>
              </w:rPr>
              <w:t>距离本项目厂址最近的国家级生态保护红线为</w:t>
            </w:r>
            <w:r>
              <w:rPr>
                <w:rFonts w:hint="eastAsia"/>
                <w:color w:val="auto"/>
                <w:highlight w:val="none"/>
              </w:rPr>
              <w:t>江苏江宁汤山方山国家地质公园</w:t>
            </w:r>
            <w:r>
              <w:rPr>
                <w:rFonts w:hint="eastAsia"/>
                <w:color w:val="auto"/>
                <w:highlight w:val="none"/>
                <w:lang w:eastAsia="zh-CN"/>
              </w:rPr>
              <w:t>（</w:t>
            </w:r>
            <w:r>
              <w:rPr>
                <w:rFonts w:hint="eastAsia"/>
                <w:color w:val="auto"/>
                <w:highlight w:val="none"/>
                <w:lang w:val="en-US" w:eastAsia="zh-CN"/>
              </w:rPr>
              <w:t>附图4</w:t>
            </w:r>
            <w:r>
              <w:rPr>
                <w:rFonts w:hint="eastAsia"/>
                <w:color w:val="auto"/>
                <w:highlight w:val="none"/>
                <w:lang w:eastAsia="zh-CN"/>
              </w:rPr>
              <w:t>），</w:t>
            </w:r>
            <w:r>
              <w:rPr>
                <w:rFonts w:hint="eastAsia"/>
                <w:color w:val="auto"/>
                <w:highlight w:val="none"/>
                <w:lang w:val="en-US" w:eastAsia="zh-CN"/>
              </w:rPr>
              <w:t>位于本项目西南方向约2400m。</w:t>
            </w:r>
            <w:r>
              <w:rPr>
                <w:color w:val="auto"/>
                <w:highlight w:val="none"/>
              </w:rPr>
              <w:t>距离本项目厂址最近的</w:t>
            </w:r>
            <w:r>
              <w:rPr>
                <w:rFonts w:hint="eastAsia"/>
                <w:color w:val="auto"/>
                <w:highlight w:val="none"/>
              </w:rPr>
              <w:t>生态空间管控区域</w:t>
            </w:r>
            <w:r>
              <w:rPr>
                <w:color w:val="auto"/>
                <w:highlight w:val="none"/>
              </w:rPr>
              <w:t>为</w:t>
            </w:r>
            <w:r>
              <w:rPr>
                <w:rFonts w:hint="eastAsia"/>
                <w:color w:val="auto"/>
                <w:highlight w:val="none"/>
              </w:rPr>
              <w:t>江苏江宁汤山方山国家地质公园</w:t>
            </w:r>
            <w:r>
              <w:rPr>
                <w:rFonts w:hint="eastAsia"/>
                <w:color w:val="auto"/>
                <w:highlight w:val="none"/>
                <w:lang w:val="en-US" w:eastAsia="zh-CN"/>
              </w:rPr>
              <w:t>（附图5）</w:t>
            </w:r>
            <w:r>
              <w:rPr>
                <w:color w:val="auto"/>
                <w:highlight w:val="none"/>
              </w:rPr>
              <w:t>，</w:t>
            </w:r>
            <w:r>
              <w:rPr>
                <w:rFonts w:hint="eastAsia"/>
                <w:color w:val="auto"/>
                <w:highlight w:val="none"/>
                <w:lang w:val="en-US" w:eastAsia="zh-CN"/>
              </w:rPr>
              <w:t>位于本项目西南方向约1880m</w:t>
            </w:r>
            <w:r>
              <w:rPr>
                <w:color w:val="auto"/>
                <w:highlight w:val="none"/>
              </w:rPr>
              <w:t>。</w:t>
            </w:r>
            <w:bookmarkEnd w:id="24"/>
          </w:p>
          <w:p w14:paraId="30A8869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auto"/>
                <w:sz w:val="24"/>
                <w:highlight w:val="none"/>
              </w:rPr>
            </w:pPr>
            <w:r>
              <w:rPr>
                <w:rFonts w:hint="eastAsia"/>
                <w:color w:val="auto"/>
                <w:highlight w:val="none"/>
                <w:lang w:val="en-US" w:eastAsia="zh-CN"/>
              </w:rPr>
              <w:t>本项目的建设不会导致区域生态空间保护区生态服务功能下降，不违背江苏省、南京市生态红线区域保护规划中的要求。</w:t>
            </w:r>
          </w:p>
          <w:p w14:paraId="779C7E1E">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b/>
                <w:bCs/>
                <w:color w:val="auto"/>
                <w:sz w:val="24"/>
                <w:highlight w:val="none"/>
              </w:rPr>
            </w:pPr>
            <w:r>
              <w:rPr>
                <w:rFonts w:hint="eastAsia"/>
                <w:b/>
                <w:bCs/>
                <w:color w:val="auto"/>
                <w:sz w:val="24"/>
                <w:highlight w:val="none"/>
              </w:rPr>
              <w:t>（2）环境质量底线相符性</w:t>
            </w:r>
          </w:p>
          <w:p w14:paraId="74AC26A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olor w:val="auto"/>
                <w:sz w:val="24"/>
                <w:highlight w:val="none"/>
              </w:rPr>
            </w:pPr>
            <w:r>
              <w:rPr>
                <w:rFonts w:hint="default" w:ascii="Times New Roman" w:hAnsi="Times New Roman" w:cs="Times New Roman"/>
                <w:color w:val="auto"/>
                <w:highlight w:val="none"/>
              </w:rPr>
              <w:t>根据南京市生态环境局公布的</w:t>
            </w:r>
            <w:r>
              <w:rPr>
                <w:rFonts w:hint="default" w:ascii="Times New Roman" w:hAnsi="Times New Roman" w:eastAsia="宋体" w:cs="Times New Roman"/>
                <w:color w:val="auto"/>
                <w:sz w:val="24"/>
                <w:highlight w:val="none"/>
              </w:rPr>
              <w:t>《202</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年南京市</w:t>
            </w:r>
            <w:r>
              <w:rPr>
                <w:rFonts w:hint="eastAsia" w:cs="Times New Roman"/>
                <w:color w:val="auto"/>
                <w:sz w:val="24"/>
                <w:highlight w:val="none"/>
                <w:lang w:val="en-US" w:eastAsia="zh-CN"/>
              </w:rPr>
              <w:t>生态</w:t>
            </w:r>
            <w:r>
              <w:rPr>
                <w:rFonts w:hint="default" w:ascii="Times New Roman" w:hAnsi="Times New Roman" w:eastAsia="宋体" w:cs="Times New Roman"/>
                <w:color w:val="auto"/>
                <w:sz w:val="24"/>
                <w:highlight w:val="none"/>
              </w:rPr>
              <w:t>环境状况公</w:t>
            </w:r>
            <w:r>
              <w:rPr>
                <w:rFonts w:hint="default" w:ascii="Times New Roman" w:hAnsi="Times New Roman" w:eastAsia="宋体" w:cs="Times New Roman"/>
                <w:bCs/>
                <w:color w:val="auto"/>
                <w:sz w:val="24"/>
                <w:highlight w:val="none"/>
              </w:rPr>
              <w:t>报》</w:t>
            </w:r>
            <w:r>
              <w:rPr>
                <w:rFonts w:hint="default" w:ascii="Times New Roman" w:hAnsi="Times New Roman" w:cs="Times New Roman"/>
                <w:color w:val="auto"/>
                <w:highlight w:val="none"/>
              </w:rPr>
              <w:t>，项目所在区域大气环境质量属于不达标区（</w:t>
            </w:r>
            <w:r>
              <w:rPr>
                <w:rFonts w:hint="default" w:ascii="Times New Roman" w:hAnsi="Times New Roman" w:cs="Times New Roman"/>
                <w:color w:val="auto"/>
                <w:highlight w:val="none"/>
                <w:lang w:val="en-US" w:eastAsia="zh-CN"/>
              </w:rPr>
              <w:t>不</w:t>
            </w:r>
            <w:r>
              <w:rPr>
                <w:rFonts w:hint="default" w:ascii="Times New Roman" w:hAnsi="Times New Roman" w:cs="Times New Roman"/>
                <w:color w:val="auto"/>
                <w:highlight w:val="none"/>
              </w:rPr>
              <w:t>达标因子为O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），区域地表水、声环境质量较好。</w:t>
            </w:r>
          </w:p>
          <w:p w14:paraId="63BD7689">
            <w:pPr>
              <w:bidi w:val="0"/>
              <w:ind w:firstLine="480" w:firstLineChars="200"/>
              <w:rPr>
                <w:rFonts w:hint="eastAsia"/>
                <w:color w:val="auto"/>
                <w:highlight w:val="none"/>
                <w:lang w:val="en-US" w:eastAsia="zh-CN"/>
              </w:rPr>
            </w:pPr>
            <w:r>
              <w:rPr>
                <w:rFonts w:hint="eastAsia"/>
                <w:color w:val="auto"/>
                <w:highlight w:val="none"/>
                <w:lang w:val="en-US" w:eastAsia="zh-CN"/>
              </w:rPr>
              <w:t>本项目废气经有效收集处理后达标排放，</w:t>
            </w:r>
            <w:r>
              <w:rPr>
                <w:rFonts w:hint="eastAsia"/>
                <w:color w:val="auto"/>
                <w:highlight w:val="none"/>
              </w:rPr>
              <w:t>正常运营时，</w:t>
            </w:r>
            <w:r>
              <w:rPr>
                <w:rFonts w:hint="eastAsia"/>
                <w:color w:val="auto"/>
                <w:highlight w:val="none"/>
                <w:lang w:val="en-US" w:eastAsia="zh-CN"/>
              </w:rPr>
              <w:t>项目</w:t>
            </w:r>
            <w:r>
              <w:rPr>
                <w:color w:val="auto"/>
                <w:highlight w:val="none"/>
              </w:rPr>
              <w:t>产生废气对周围大气环境</w:t>
            </w:r>
            <w:r>
              <w:rPr>
                <w:rFonts w:hint="eastAsia"/>
                <w:color w:val="auto"/>
                <w:highlight w:val="none"/>
              </w:rPr>
              <w:t>影响较小，</w:t>
            </w:r>
            <w:r>
              <w:rPr>
                <w:color w:val="auto"/>
                <w:highlight w:val="none"/>
              </w:rPr>
              <w:t>不会改变</w:t>
            </w:r>
            <w:r>
              <w:rPr>
                <w:rFonts w:hint="eastAsia"/>
                <w:color w:val="auto"/>
                <w:highlight w:val="none"/>
              </w:rPr>
              <w:t>周围大气</w:t>
            </w:r>
            <w:r>
              <w:rPr>
                <w:color w:val="auto"/>
                <w:highlight w:val="none"/>
              </w:rPr>
              <w:t>环境功能级别，</w:t>
            </w:r>
            <w:r>
              <w:rPr>
                <w:rFonts w:hint="eastAsia"/>
                <w:color w:val="auto"/>
                <w:highlight w:val="none"/>
              </w:rPr>
              <w:t>大气</w:t>
            </w:r>
            <w:r>
              <w:rPr>
                <w:color w:val="auto"/>
                <w:highlight w:val="none"/>
              </w:rPr>
              <w:t>功能可维持现状。</w:t>
            </w:r>
          </w:p>
          <w:p w14:paraId="0AD143A5">
            <w:pPr>
              <w:bidi w:val="0"/>
              <w:ind w:firstLine="480" w:firstLineChars="200"/>
              <w:rPr>
                <w:rFonts w:hint="default"/>
                <w:color w:val="auto"/>
                <w:highlight w:val="none"/>
                <w:lang w:val="en-US" w:eastAsia="zh-CN"/>
              </w:rPr>
            </w:pPr>
            <w:bookmarkStart w:id="25" w:name="OLE_LINK88"/>
            <w:r>
              <w:rPr>
                <w:rFonts w:hint="eastAsia"/>
                <w:color w:val="auto"/>
                <w:highlight w:val="none"/>
                <w:lang w:val="en-US" w:eastAsia="zh-CN"/>
              </w:rPr>
              <w:t>本项目废水经预处理后接管至高新区污水处理厂进一步处理，处理达标后</w:t>
            </w:r>
            <w:r>
              <w:rPr>
                <w:rFonts w:hint="eastAsia"/>
                <w:color w:val="auto"/>
                <w:highlight w:val="none"/>
              </w:rPr>
              <w:t>尾水</w:t>
            </w:r>
            <w:r>
              <w:rPr>
                <w:rFonts w:hint="eastAsia"/>
                <w:color w:val="auto"/>
                <w:highlight w:val="none"/>
                <w:lang w:val="en-US" w:eastAsia="zh-CN"/>
              </w:rPr>
              <w:t>排入秦淮河</w:t>
            </w:r>
            <w:r>
              <w:rPr>
                <w:rFonts w:hint="eastAsia"/>
                <w:color w:val="auto"/>
                <w:highlight w:val="none"/>
              </w:rPr>
              <w:t>。</w:t>
            </w:r>
            <w:r>
              <w:rPr>
                <w:color w:val="auto"/>
                <w:highlight w:val="none"/>
              </w:rPr>
              <w:t>本项目</w:t>
            </w:r>
            <w:r>
              <w:rPr>
                <w:rFonts w:hint="eastAsia"/>
                <w:color w:val="auto"/>
                <w:highlight w:val="none"/>
                <w:lang w:val="en-US" w:eastAsia="zh-CN"/>
              </w:rPr>
              <w:t>废水</w:t>
            </w:r>
            <w:r>
              <w:rPr>
                <w:rFonts w:hint="eastAsia"/>
                <w:color w:val="auto"/>
                <w:highlight w:val="none"/>
              </w:rPr>
              <w:t>可以</w:t>
            </w:r>
            <w:r>
              <w:rPr>
                <w:color w:val="auto"/>
                <w:highlight w:val="none"/>
              </w:rPr>
              <w:t>得到合理处置，对</w:t>
            </w:r>
            <w:r>
              <w:rPr>
                <w:rFonts w:hint="eastAsia"/>
                <w:color w:val="auto"/>
                <w:highlight w:val="none"/>
              </w:rPr>
              <w:t>项目周边水环境</w:t>
            </w:r>
            <w:r>
              <w:rPr>
                <w:color w:val="auto"/>
                <w:highlight w:val="none"/>
              </w:rPr>
              <w:t>影响较小，不会改变其水环境功能级别，水质功能可维持现状。</w:t>
            </w:r>
          </w:p>
          <w:bookmarkEnd w:id="25"/>
          <w:p w14:paraId="4FB0358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color w:val="auto"/>
                <w:highlight w:val="none"/>
                <w:lang w:val="en-US" w:eastAsia="zh-CN"/>
              </w:rPr>
              <w:t>企业运营过程中确保厂界噪声满足《工业企业厂界环境噪声排放标准》（GB12348-2008）中的2类标准限值。</w:t>
            </w:r>
          </w:p>
          <w:p w14:paraId="3FC1A42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cs="Times New Roman"/>
                <w:color w:val="auto"/>
                <w:sz w:val="24"/>
                <w:szCs w:val="24"/>
                <w:highlight w:val="none"/>
                <w:lang w:val="en-US" w:eastAsia="zh-CN"/>
              </w:rPr>
            </w:pPr>
            <w:r>
              <w:rPr>
                <w:color w:val="auto"/>
                <w:sz w:val="24"/>
                <w:highlight w:val="none"/>
              </w:rPr>
              <w:t>本项目固体废物均</w:t>
            </w:r>
            <w:r>
              <w:rPr>
                <w:rFonts w:hint="eastAsia"/>
                <w:color w:val="auto"/>
                <w:sz w:val="24"/>
                <w:highlight w:val="none"/>
                <w:lang w:val="en-US" w:eastAsia="zh-CN"/>
              </w:rPr>
              <w:t>委外</w:t>
            </w:r>
            <w:r>
              <w:rPr>
                <w:color w:val="auto"/>
                <w:sz w:val="24"/>
                <w:highlight w:val="none"/>
              </w:rPr>
              <w:t>合理处置。</w:t>
            </w:r>
          </w:p>
          <w:p w14:paraId="34BAF51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b/>
                <w:bCs/>
                <w:color w:val="auto"/>
                <w:sz w:val="24"/>
                <w:highlight w:val="none"/>
              </w:rPr>
            </w:pPr>
            <w:r>
              <w:rPr>
                <w:rFonts w:hint="eastAsia"/>
                <w:color w:val="auto"/>
                <w:highlight w:val="none"/>
                <w:lang w:val="en-US" w:eastAsia="zh-CN"/>
              </w:rPr>
              <w:t>综上所述，本项目建成</w:t>
            </w:r>
            <w:r>
              <w:rPr>
                <w:color w:val="auto"/>
                <w:highlight w:val="none"/>
              </w:rPr>
              <w:t>投产后对区域</w:t>
            </w:r>
            <w:sdt>
              <w:sdtPr>
                <w:rPr>
                  <w:color w:val="auto"/>
                  <w:highlight w:val="none"/>
                </w:rPr>
                <w:alias w:val="易错词检查"/>
                <w:tag w:val="auto"/>
                <w:id w:val="172720"/>
              </w:sdtPr>
              <w:sdtEndPr>
                <w:rPr>
                  <w:color w:val="auto"/>
                  <w:highlight w:val="none"/>
                </w:rPr>
              </w:sdtEndPr>
              <w:sdtContent>
                <w:r>
                  <w:rPr>
                    <w:color w:val="auto"/>
                    <w:highlight w:val="none"/>
                  </w:rPr>
                  <w:t>生态环境</w:t>
                </w:r>
                <w:r>
                  <w:rPr>
                    <w:rFonts w:hint="eastAsia"/>
                    <w:color w:val="auto"/>
                    <w:highlight w:val="none"/>
                  </w:rPr>
                  <w:t>不</w:t>
                </w:r>
              </w:sdtContent>
            </w:sdt>
            <w:r>
              <w:rPr>
                <w:rFonts w:hint="eastAsia"/>
                <w:color w:val="auto"/>
                <w:highlight w:val="none"/>
              </w:rPr>
              <w:t>会造成</w:t>
            </w:r>
            <w:r>
              <w:rPr>
                <w:color w:val="auto"/>
                <w:highlight w:val="none"/>
              </w:rPr>
              <w:t>明显影响</w:t>
            </w:r>
            <w:r>
              <w:rPr>
                <w:rFonts w:hint="eastAsia"/>
                <w:color w:val="auto"/>
                <w:highlight w:val="none"/>
              </w:rPr>
              <w:t>，</w:t>
            </w:r>
            <w:r>
              <w:rPr>
                <w:color w:val="auto"/>
                <w:highlight w:val="none"/>
              </w:rPr>
              <w:t>区域</w:t>
            </w:r>
            <w:r>
              <w:rPr>
                <w:rFonts w:hint="eastAsia"/>
                <w:color w:val="auto"/>
                <w:highlight w:val="none"/>
              </w:rPr>
              <w:t>内</w:t>
            </w:r>
            <w:r>
              <w:rPr>
                <w:color w:val="auto"/>
                <w:highlight w:val="none"/>
              </w:rPr>
              <w:t>地表水环境、大气环境和声环境质量仍可满足规划功能要求</w:t>
            </w:r>
            <w:r>
              <w:rPr>
                <w:rFonts w:hint="eastAsia"/>
                <w:color w:val="auto"/>
                <w:highlight w:val="none"/>
                <w:lang w:eastAsia="zh-CN"/>
              </w:rPr>
              <w:t>，</w:t>
            </w:r>
            <w:r>
              <w:rPr>
                <w:rFonts w:hint="eastAsia"/>
                <w:color w:val="auto"/>
                <w:highlight w:val="none"/>
              </w:rPr>
              <w:t>因此，本项目的建设符合环境质量底线标准。</w:t>
            </w:r>
          </w:p>
          <w:p w14:paraId="2BA395FD">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b/>
                <w:bCs/>
                <w:color w:val="auto"/>
                <w:sz w:val="24"/>
                <w:highlight w:val="none"/>
              </w:rPr>
            </w:pPr>
            <w:r>
              <w:rPr>
                <w:b/>
                <w:bCs/>
                <w:color w:val="auto"/>
                <w:sz w:val="24"/>
                <w:highlight w:val="none"/>
              </w:rPr>
              <w:t>（3）资源利用上线</w:t>
            </w:r>
          </w:p>
          <w:p w14:paraId="56775FC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b/>
                <w:bCs/>
                <w:color w:val="auto"/>
                <w:sz w:val="24"/>
                <w:highlight w:val="none"/>
              </w:rPr>
            </w:pPr>
            <w:r>
              <w:rPr>
                <w:rFonts w:hint="eastAsia" w:ascii="Times New Roman" w:hAnsi="Times New Roman" w:eastAsia="宋体"/>
                <w:color w:val="auto"/>
                <w:sz w:val="24"/>
                <w:highlight w:val="none"/>
              </w:rPr>
              <w:t>本项目用水来源为市政自来水，用电来自市政供电网</w:t>
            </w:r>
            <w:r>
              <w:rPr>
                <w:rFonts w:hint="eastAsia"/>
                <w:color w:val="auto"/>
                <w:sz w:val="24"/>
                <w:highlight w:val="none"/>
                <w:lang w:eastAsia="zh-CN"/>
              </w:rPr>
              <w:t>，</w:t>
            </w:r>
            <w:r>
              <w:rPr>
                <w:rFonts w:hint="eastAsia"/>
                <w:color w:val="auto"/>
                <w:sz w:val="24"/>
                <w:highlight w:val="none"/>
                <w:lang w:val="en-US" w:eastAsia="zh-CN"/>
              </w:rPr>
              <w:t>天然气来自市政供气网</w:t>
            </w:r>
            <w:r>
              <w:rPr>
                <w:rFonts w:hint="eastAsia" w:ascii="Times New Roman" w:hAnsi="Times New Roman" w:eastAsia="宋体"/>
                <w:color w:val="auto"/>
                <w:sz w:val="24"/>
                <w:highlight w:val="none"/>
              </w:rPr>
              <w:t>。本项目的资源消耗主要体现在对水、电</w:t>
            </w:r>
            <w:r>
              <w:rPr>
                <w:rFonts w:hint="eastAsia"/>
                <w:color w:val="auto"/>
                <w:sz w:val="24"/>
                <w:highlight w:val="none"/>
                <w:lang w:eastAsia="zh-CN"/>
              </w:rPr>
              <w:t>、</w:t>
            </w:r>
            <w:r>
              <w:rPr>
                <w:rFonts w:hint="eastAsia"/>
                <w:color w:val="auto"/>
                <w:sz w:val="24"/>
                <w:highlight w:val="none"/>
                <w:lang w:val="en-US" w:eastAsia="zh-CN"/>
              </w:rPr>
              <w:t>天然气</w:t>
            </w:r>
            <w:r>
              <w:rPr>
                <w:rFonts w:hint="eastAsia" w:ascii="Times New Roman" w:hAnsi="Times New Roman" w:eastAsia="宋体"/>
                <w:color w:val="auto"/>
                <w:sz w:val="24"/>
                <w:highlight w:val="none"/>
              </w:rPr>
              <w:t>资源的利用上。本项目将全过程贯彻清洁生产、循环经济理念，严格执行土地利用规划有关规定，不会达到资源利用上线。</w:t>
            </w:r>
          </w:p>
          <w:p w14:paraId="1A83E96B">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b/>
                <w:bCs/>
                <w:color w:val="auto"/>
                <w:sz w:val="24"/>
                <w:highlight w:val="none"/>
              </w:rPr>
            </w:pPr>
            <w:r>
              <w:rPr>
                <w:b/>
                <w:bCs/>
                <w:color w:val="auto"/>
                <w:sz w:val="24"/>
                <w:highlight w:val="none"/>
              </w:rPr>
              <w:t>（4）环境准入负面清单</w:t>
            </w:r>
          </w:p>
          <w:p w14:paraId="4FAFCB99">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eastAsia="宋体"/>
                <w:color w:val="auto"/>
                <w:sz w:val="24"/>
                <w:highlight w:val="none"/>
                <w:lang w:eastAsia="zh-CN"/>
              </w:rPr>
            </w:pPr>
            <w:r>
              <w:rPr>
                <w:color w:val="auto"/>
                <w:sz w:val="24"/>
                <w:highlight w:val="none"/>
              </w:rPr>
              <w:t>本项目与环境准入负面清单相符性</w:t>
            </w:r>
            <w:r>
              <w:rPr>
                <w:rFonts w:hint="eastAsia"/>
                <w:color w:val="auto"/>
                <w:sz w:val="24"/>
                <w:highlight w:val="none"/>
              </w:rPr>
              <w:t>分析</w:t>
            </w:r>
            <w:r>
              <w:rPr>
                <w:color w:val="auto"/>
                <w:sz w:val="24"/>
                <w:highlight w:val="none"/>
              </w:rPr>
              <w:t>如下表</w:t>
            </w:r>
            <w:r>
              <w:rPr>
                <w:rFonts w:hint="eastAsia"/>
                <w:color w:val="auto"/>
                <w:sz w:val="24"/>
                <w:highlight w:val="none"/>
              </w:rPr>
              <w:t>所示</w:t>
            </w:r>
            <w:r>
              <w:rPr>
                <w:rFonts w:hint="eastAsia"/>
                <w:color w:val="auto"/>
                <w:sz w:val="24"/>
                <w:highlight w:val="none"/>
                <w:lang w:eastAsia="zh-CN"/>
              </w:rPr>
              <w:t>。</w:t>
            </w:r>
          </w:p>
          <w:p w14:paraId="17E0261F">
            <w:pPr>
              <w:pStyle w:val="43"/>
              <w:bidi w:val="0"/>
              <w:rPr>
                <w:color w:val="auto"/>
                <w:highlight w:val="none"/>
              </w:rPr>
            </w:pPr>
            <w:r>
              <w:rPr>
                <w:color w:val="auto"/>
                <w:highlight w:val="none"/>
              </w:rPr>
              <w:t>建设项目与</w:t>
            </w:r>
            <w:r>
              <w:rPr>
                <w:rFonts w:hint="eastAsia"/>
                <w:color w:val="auto"/>
                <w:highlight w:val="none"/>
              </w:rPr>
              <w:t>环境准入负面清单</w:t>
            </w:r>
            <w:r>
              <w:rPr>
                <w:color w:val="auto"/>
                <w:highlight w:val="none"/>
              </w:rPr>
              <w:t>相符性一览表</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95"/>
              <w:gridCol w:w="2790"/>
              <w:gridCol w:w="940"/>
            </w:tblGrid>
            <w:tr w14:paraId="2C6ED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85" w:type="pct"/>
                  <w:vAlign w:val="center"/>
                </w:tcPr>
                <w:p w14:paraId="622D730F">
                  <w:pPr>
                    <w:pStyle w:val="41"/>
                    <w:bidi w:val="0"/>
                    <w:rPr>
                      <w:rFonts w:hint="eastAsia"/>
                      <w:b/>
                      <w:bCs/>
                      <w:color w:val="auto"/>
                      <w:highlight w:val="none"/>
                      <w:lang w:eastAsia="zh-CN"/>
                    </w:rPr>
                  </w:pPr>
                  <w:r>
                    <w:rPr>
                      <w:rFonts w:hint="eastAsia"/>
                      <w:b/>
                      <w:bCs/>
                      <w:color w:val="auto"/>
                      <w:highlight w:val="none"/>
                      <w:lang w:val="en-US" w:eastAsia="zh-CN"/>
                    </w:rPr>
                    <w:t>文件名称</w:t>
                  </w:r>
                </w:p>
              </w:tc>
              <w:tc>
                <w:tcPr>
                  <w:tcW w:w="1805" w:type="pct"/>
                  <w:vAlign w:val="center"/>
                </w:tcPr>
                <w:p w14:paraId="71A38B79">
                  <w:pPr>
                    <w:pStyle w:val="41"/>
                    <w:bidi w:val="0"/>
                    <w:rPr>
                      <w:rFonts w:hint="default"/>
                      <w:b/>
                      <w:bCs/>
                      <w:color w:val="auto"/>
                      <w:highlight w:val="none"/>
                      <w:lang w:val="en-US" w:eastAsia="zh-CN"/>
                    </w:rPr>
                  </w:pPr>
                  <w:r>
                    <w:rPr>
                      <w:rFonts w:hint="eastAsia"/>
                      <w:b/>
                      <w:bCs/>
                      <w:color w:val="auto"/>
                      <w:highlight w:val="none"/>
                      <w:lang w:val="en-US" w:eastAsia="zh-CN"/>
                    </w:rPr>
                    <w:t>本项目情况</w:t>
                  </w:r>
                </w:p>
              </w:tc>
              <w:tc>
                <w:tcPr>
                  <w:tcW w:w="608" w:type="pct"/>
                  <w:vAlign w:val="center"/>
                </w:tcPr>
                <w:p w14:paraId="5C7BC97D">
                  <w:pPr>
                    <w:pStyle w:val="41"/>
                    <w:bidi w:val="0"/>
                    <w:rPr>
                      <w:rFonts w:hint="default"/>
                      <w:b/>
                      <w:bCs/>
                      <w:color w:val="auto"/>
                      <w:highlight w:val="none"/>
                      <w:lang w:val="en-US" w:eastAsia="zh-CN"/>
                    </w:rPr>
                  </w:pPr>
                  <w:r>
                    <w:rPr>
                      <w:rFonts w:hint="eastAsia"/>
                      <w:b/>
                      <w:bCs/>
                      <w:color w:val="auto"/>
                      <w:highlight w:val="none"/>
                      <w:lang w:val="en-US" w:eastAsia="zh-CN"/>
                    </w:rPr>
                    <w:t>相符性</w:t>
                  </w:r>
                </w:p>
              </w:tc>
            </w:tr>
            <w:tr w14:paraId="5E4D7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85" w:type="pct"/>
                  <w:vAlign w:val="center"/>
                </w:tcPr>
                <w:p w14:paraId="56DA857C">
                  <w:pPr>
                    <w:pStyle w:val="41"/>
                    <w:bidi w:val="0"/>
                    <w:rPr>
                      <w:color w:val="auto"/>
                      <w:highlight w:val="none"/>
                      <w:lang w:val="zh-CN"/>
                    </w:rPr>
                  </w:pPr>
                  <w:r>
                    <w:rPr>
                      <w:rFonts w:hint="eastAsia"/>
                      <w:color w:val="auto"/>
                      <w:highlight w:val="none"/>
                      <w:lang w:val="en-US" w:eastAsia="zh-CN"/>
                    </w:rPr>
                    <w:t>国家发展改革委商务部关于印发《市场准入负面清单（2022年版）》的通知（发改体改规〔2022〕397号）</w:t>
                  </w:r>
                </w:p>
              </w:tc>
              <w:tc>
                <w:tcPr>
                  <w:tcW w:w="1805" w:type="pct"/>
                  <w:vAlign w:val="center"/>
                </w:tcPr>
                <w:p w14:paraId="46FF4641">
                  <w:pPr>
                    <w:pStyle w:val="41"/>
                    <w:bidi w:val="0"/>
                    <w:rPr>
                      <w:rFonts w:hint="eastAsia"/>
                      <w:color w:val="auto"/>
                      <w:highlight w:val="none"/>
                      <w:lang w:val="en-US" w:eastAsia="zh-CN"/>
                    </w:rPr>
                  </w:pPr>
                  <w:r>
                    <w:rPr>
                      <w:rFonts w:hint="eastAsia"/>
                      <w:color w:val="auto"/>
                      <w:highlight w:val="none"/>
                    </w:rPr>
                    <w:t>本项目</w:t>
                  </w:r>
                  <w:r>
                    <w:rPr>
                      <w:rFonts w:hint="eastAsia"/>
                      <w:color w:val="auto"/>
                      <w:highlight w:val="none"/>
                      <w:lang w:val="en-US" w:eastAsia="zh-CN"/>
                    </w:rPr>
                    <w:t>主要进行中药研发</w:t>
                  </w:r>
                  <w:r>
                    <w:rPr>
                      <w:rFonts w:hint="eastAsia"/>
                      <w:color w:val="auto"/>
                      <w:highlight w:val="none"/>
                    </w:rPr>
                    <w:t>，</w:t>
                  </w:r>
                  <w:r>
                    <w:rPr>
                      <w:color w:val="auto"/>
                      <w:highlight w:val="none"/>
                    </w:rPr>
                    <w:t>不属于市场准入负面清单中项目</w:t>
                  </w:r>
                  <w:r>
                    <w:rPr>
                      <w:rFonts w:hint="eastAsia"/>
                      <w:color w:val="auto"/>
                      <w:highlight w:val="none"/>
                      <w:lang w:eastAsia="zh-CN"/>
                    </w:rPr>
                    <w:t>。</w:t>
                  </w:r>
                </w:p>
              </w:tc>
              <w:tc>
                <w:tcPr>
                  <w:tcW w:w="608" w:type="pct"/>
                  <w:vAlign w:val="center"/>
                </w:tcPr>
                <w:p w14:paraId="7DAE2F78">
                  <w:pPr>
                    <w:pStyle w:val="41"/>
                    <w:bidi w:val="0"/>
                    <w:rPr>
                      <w:rFonts w:hint="eastAsia"/>
                      <w:color w:val="auto"/>
                      <w:highlight w:val="none"/>
                      <w:lang w:val="en-US" w:eastAsia="zh-CN"/>
                    </w:rPr>
                  </w:pPr>
                  <w:r>
                    <w:rPr>
                      <w:rFonts w:hint="eastAsia"/>
                      <w:color w:val="auto"/>
                      <w:highlight w:val="none"/>
                      <w:lang w:val="en-US" w:eastAsia="zh-CN"/>
                    </w:rPr>
                    <w:t>相符</w:t>
                  </w:r>
                </w:p>
              </w:tc>
            </w:tr>
            <w:tr w14:paraId="096DB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85" w:type="pct"/>
                  <w:vAlign w:val="center"/>
                </w:tcPr>
                <w:p w14:paraId="72F412EE">
                  <w:pPr>
                    <w:pStyle w:val="41"/>
                    <w:bidi w:val="0"/>
                    <w:rPr>
                      <w:rFonts w:hint="eastAsia"/>
                      <w:color w:val="auto"/>
                      <w:highlight w:val="none"/>
                      <w:lang w:val="en-US" w:eastAsia="zh-CN"/>
                    </w:rPr>
                  </w:pPr>
                  <w:r>
                    <w:rPr>
                      <w:rFonts w:hint="eastAsia"/>
                      <w:color w:val="auto"/>
                      <w:highlight w:val="none"/>
                      <w:lang w:val="en-US" w:eastAsia="zh-CN"/>
                    </w:rPr>
                    <w:t>关于印发《〈长江经济带发展负面清单指南（试行，2022年版）〉江苏省实施细则》的通知（苏长江办发〔2022〕55号）</w:t>
                  </w:r>
                </w:p>
              </w:tc>
              <w:tc>
                <w:tcPr>
                  <w:tcW w:w="1805" w:type="pct"/>
                  <w:vAlign w:val="center"/>
                </w:tcPr>
                <w:p w14:paraId="37FD6B03">
                  <w:pPr>
                    <w:pStyle w:val="41"/>
                    <w:bidi w:val="0"/>
                    <w:rPr>
                      <w:rFonts w:hint="eastAsia"/>
                      <w:color w:val="auto"/>
                      <w:highlight w:val="none"/>
                      <w:lang w:eastAsia="zh-CN"/>
                    </w:rPr>
                  </w:pPr>
                  <w:r>
                    <w:rPr>
                      <w:rFonts w:hint="eastAsia"/>
                      <w:color w:val="auto"/>
                      <w:highlight w:val="none"/>
                    </w:rPr>
                    <w:t>本项目</w:t>
                  </w:r>
                  <w:r>
                    <w:rPr>
                      <w:rFonts w:hint="eastAsia"/>
                      <w:color w:val="auto"/>
                      <w:highlight w:val="none"/>
                      <w:lang w:val="en-US" w:eastAsia="zh-CN"/>
                    </w:rPr>
                    <w:t>主要进行中药研发</w:t>
                  </w:r>
                  <w:r>
                    <w:rPr>
                      <w:rFonts w:hint="eastAsia"/>
                      <w:color w:val="auto"/>
                      <w:highlight w:val="none"/>
                    </w:rPr>
                    <w:t>，</w:t>
                  </w:r>
                  <w:r>
                    <w:rPr>
                      <w:color w:val="auto"/>
                      <w:highlight w:val="none"/>
                    </w:rPr>
                    <w:t>不属</w:t>
                  </w:r>
                  <w:r>
                    <w:rPr>
                      <w:rFonts w:hint="eastAsia"/>
                      <w:color w:val="auto"/>
                      <w:highlight w:val="none"/>
                      <w:lang w:val="en-US" w:eastAsia="zh-CN"/>
                    </w:rPr>
                    <w:t>于</w:t>
                  </w:r>
                  <w:r>
                    <w:rPr>
                      <w:color w:val="auto"/>
                      <w:highlight w:val="none"/>
                    </w:rPr>
                    <w:t>负面清单中项目</w:t>
                  </w:r>
                  <w:r>
                    <w:rPr>
                      <w:rFonts w:hint="eastAsia"/>
                      <w:color w:val="auto"/>
                      <w:highlight w:val="none"/>
                      <w:lang w:eastAsia="zh-CN"/>
                    </w:rPr>
                    <w:t>。</w:t>
                  </w:r>
                </w:p>
              </w:tc>
              <w:tc>
                <w:tcPr>
                  <w:tcW w:w="608" w:type="pct"/>
                  <w:vAlign w:val="center"/>
                </w:tcPr>
                <w:p w14:paraId="0306AA95">
                  <w:pPr>
                    <w:pStyle w:val="41"/>
                    <w:bidi w:val="0"/>
                    <w:rPr>
                      <w:rFonts w:hint="default"/>
                      <w:color w:val="auto"/>
                      <w:highlight w:val="none"/>
                      <w:lang w:val="en-US" w:eastAsia="zh-CN"/>
                    </w:rPr>
                  </w:pPr>
                  <w:r>
                    <w:rPr>
                      <w:rFonts w:hint="eastAsia"/>
                      <w:color w:val="auto"/>
                      <w:highlight w:val="none"/>
                      <w:lang w:val="en-US" w:eastAsia="zh-CN"/>
                    </w:rPr>
                    <w:t>相符</w:t>
                  </w:r>
                </w:p>
              </w:tc>
            </w:tr>
          </w:tbl>
          <w:p w14:paraId="0A2E246A">
            <w:pPr>
              <w:pStyle w:val="41"/>
              <w:bidi w:val="0"/>
              <w:rPr>
                <w:color w:val="auto"/>
                <w:highlight w:val="none"/>
              </w:rPr>
            </w:pPr>
          </w:p>
          <w:p w14:paraId="12B3B93F">
            <w:pPr>
              <w:bidi w:val="0"/>
              <w:ind w:firstLine="482" w:firstLineChars="200"/>
              <w:rPr>
                <w:b/>
                <w:bCs/>
                <w:color w:val="auto"/>
                <w:highlight w:val="none"/>
              </w:rPr>
            </w:pPr>
            <w:r>
              <w:rPr>
                <w:b/>
                <w:bCs/>
                <w:color w:val="auto"/>
                <w:highlight w:val="none"/>
                <w:lang w:val="en-US" w:eastAsia="zh-CN"/>
              </w:rPr>
              <w:t>（5）</w:t>
            </w:r>
            <w:r>
              <w:rPr>
                <w:b/>
                <w:bCs/>
                <w:color w:val="auto"/>
                <w:highlight w:val="none"/>
              </w:rPr>
              <w:t>与</w:t>
            </w:r>
            <w:r>
              <w:rPr>
                <w:rFonts w:hint="eastAsia"/>
                <w:b/>
                <w:bCs/>
                <w:color w:val="auto"/>
                <w:highlight w:val="none"/>
              </w:rPr>
              <w:t>《江苏省2023年度生态环境分区管控动态更新成果》</w:t>
            </w:r>
            <w:r>
              <w:rPr>
                <w:b/>
                <w:bCs/>
                <w:color w:val="auto"/>
                <w:highlight w:val="none"/>
              </w:rPr>
              <w:t>相符性分析</w:t>
            </w:r>
          </w:p>
          <w:p w14:paraId="3701017C">
            <w:pPr>
              <w:bidi w:val="0"/>
              <w:ind w:firstLine="480" w:firstLineChars="200"/>
              <w:rPr>
                <w:color w:val="auto"/>
                <w:highlight w:val="none"/>
              </w:rPr>
            </w:pPr>
            <w:r>
              <w:rPr>
                <w:color w:val="auto"/>
                <w:highlight w:val="none"/>
              </w:rPr>
              <w:t>本项目位于</w:t>
            </w:r>
            <w:r>
              <w:rPr>
                <w:rFonts w:hint="eastAsia"/>
                <w:color w:val="auto"/>
                <w:highlight w:val="none"/>
                <w:lang w:eastAsia="zh-CN"/>
              </w:rPr>
              <w:t>南京市江宁区高新园龙眠大道578号</w:t>
            </w:r>
            <w:r>
              <w:rPr>
                <w:rFonts w:hint="eastAsia"/>
                <w:color w:val="auto"/>
                <w:highlight w:val="none"/>
              </w:rPr>
              <w:t>，属于</w:t>
            </w:r>
            <w:r>
              <w:rPr>
                <w:rFonts w:hint="eastAsia"/>
                <w:color w:val="auto"/>
                <w:highlight w:val="none"/>
                <w:lang w:val="en-US" w:eastAsia="zh-CN"/>
              </w:rPr>
              <w:t>江苏省重点流域长江流域</w:t>
            </w:r>
            <w:r>
              <w:rPr>
                <w:color w:val="auto"/>
                <w:highlight w:val="none"/>
              </w:rPr>
              <w:t>，其重点管控要求与本项目相符性分析见</w:t>
            </w:r>
            <w:r>
              <w:rPr>
                <w:rFonts w:hint="eastAsia"/>
                <w:color w:val="auto"/>
                <w:highlight w:val="none"/>
              </w:rPr>
              <w:t>下表</w:t>
            </w:r>
            <w:r>
              <w:rPr>
                <w:color w:val="auto"/>
                <w:highlight w:val="none"/>
              </w:rPr>
              <w:t>。</w:t>
            </w:r>
          </w:p>
          <w:p w14:paraId="4E3DCF6A">
            <w:pPr>
              <w:pStyle w:val="43"/>
              <w:keepNext/>
              <w:keepLines/>
              <w:pageBreakBefore w:val="0"/>
              <w:widowControl w:val="0"/>
              <w:kinsoku/>
              <w:wordWrap/>
              <w:overflowPunct/>
              <w:topLinePunct w:val="0"/>
              <w:autoSpaceDE/>
              <w:autoSpaceDN/>
              <w:bidi w:val="0"/>
              <w:adjustRightInd w:val="0"/>
              <w:snapToGrid/>
              <w:ind w:left="0" w:firstLine="850"/>
              <w:textAlignment w:val="baseline"/>
              <w:rPr>
                <w:color w:val="auto"/>
                <w:highlight w:val="none"/>
              </w:rPr>
            </w:pPr>
            <w:r>
              <w:rPr>
                <w:rFonts w:hint="eastAsia"/>
                <w:color w:val="auto"/>
                <w:highlight w:val="none"/>
                <w:lang w:val="en-US" w:eastAsia="zh-CN"/>
              </w:rPr>
              <w:t>与</w:t>
            </w:r>
            <w:r>
              <w:rPr>
                <w:rFonts w:hint="eastAsia"/>
                <w:color w:val="auto"/>
                <w:highlight w:val="none"/>
              </w:rPr>
              <w:t>《江苏省2023年度生态环境分区管控动态更新成果》</w:t>
            </w:r>
            <w:r>
              <w:rPr>
                <w:color w:val="auto"/>
                <w:highlight w:val="none"/>
              </w:rPr>
              <w:t>相符性分析</w:t>
            </w:r>
          </w:p>
          <w:tbl>
            <w:tblPr>
              <w:tblStyle w:val="33"/>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88"/>
              <w:gridCol w:w="4124"/>
              <w:gridCol w:w="2061"/>
              <w:gridCol w:w="753"/>
            </w:tblGrid>
            <w:tr w14:paraId="7B1FBA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10" w:type="pct"/>
                  <w:tcBorders>
                    <w:tl2br w:val="nil"/>
                    <w:tr2bl w:val="nil"/>
                  </w:tcBorders>
                  <w:noWrap w:val="0"/>
                  <w:vAlign w:val="center"/>
                </w:tcPr>
                <w:p w14:paraId="74F0310B">
                  <w:pPr>
                    <w:pStyle w:val="41"/>
                    <w:bidi w:val="0"/>
                    <w:rPr>
                      <w:rFonts w:hint="eastAsia"/>
                      <w:b/>
                      <w:bCs/>
                      <w:color w:val="auto"/>
                      <w:highlight w:val="none"/>
                      <w:lang w:val="en-US" w:eastAsia="zh-CN"/>
                    </w:rPr>
                  </w:pPr>
                  <w:r>
                    <w:rPr>
                      <w:rFonts w:hint="eastAsia"/>
                      <w:b/>
                      <w:bCs/>
                      <w:color w:val="auto"/>
                      <w:highlight w:val="none"/>
                      <w:lang w:val="en-US" w:eastAsia="zh-CN"/>
                    </w:rPr>
                    <w:t>管控类别</w:t>
                  </w:r>
                </w:p>
              </w:tc>
              <w:tc>
                <w:tcPr>
                  <w:tcW w:w="2668" w:type="pct"/>
                  <w:tcBorders>
                    <w:tl2br w:val="nil"/>
                    <w:tr2bl w:val="nil"/>
                  </w:tcBorders>
                  <w:noWrap w:val="0"/>
                  <w:vAlign w:val="center"/>
                </w:tcPr>
                <w:p w14:paraId="30AC1B97">
                  <w:pPr>
                    <w:pStyle w:val="41"/>
                    <w:bidi w:val="0"/>
                    <w:rPr>
                      <w:rFonts w:hint="eastAsia"/>
                      <w:b/>
                      <w:bCs/>
                      <w:color w:val="auto"/>
                      <w:highlight w:val="none"/>
                      <w:lang w:val="en-US" w:eastAsia="zh-CN"/>
                    </w:rPr>
                  </w:pPr>
                  <w:r>
                    <w:rPr>
                      <w:rFonts w:hint="eastAsia"/>
                      <w:b/>
                      <w:bCs/>
                      <w:color w:val="auto"/>
                      <w:highlight w:val="none"/>
                      <w:lang w:val="en-US" w:eastAsia="zh-CN"/>
                    </w:rPr>
                    <w:t>重点管控要求</w:t>
                  </w:r>
                </w:p>
              </w:tc>
              <w:tc>
                <w:tcPr>
                  <w:tcW w:w="1333" w:type="pct"/>
                  <w:tcBorders>
                    <w:tl2br w:val="nil"/>
                    <w:tr2bl w:val="nil"/>
                  </w:tcBorders>
                  <w:noWrap w:val="0"/>
                  <w:vAlign w:val="center"/>
                </w:tcPr>
                <w:p w14:paraId="1A971845">
                  <w:pPr>
                    <w:pStyle w:val="41"/>
                    <w:bidi w:val="0"/>
                    <w:rPr>
                      <w:rFonts w:hint="eastAsia"/>
                      <w:b/>
                      <w:bCs/>
                      <w:color w:val="auto"/>
                      <w:highlight w:val="none"/>
                      <w:lang w:val="en-US" w:eastAsia="zh-CN"/>
                    </w:rPr>
                  </w:pPr>
                  <w:r>
                    <w:rPr>
                      <w:rFonts w:hint="eastAsia"/>
                      <w:b/>
                      <w:bCs/>
                      <w:color w:val="auto"/>
                      <w:highlight w:val="none"/>
                      <w:lang w:val="en-US" w:eastAsia="zh-CN"/>
                    </w:rPr>
                    <w:t>本项目情况</w:t>
                  </w:r>
                </w:p>
              </w:tc>
              <w:tc>
                <w:tcPr>
                  <w:tcW w:w="487" w:type="pct"/>
                  <w:tcBorders>
                    <w:tl2br w:val="nil"/>
                    <w:tr2bl w:val="nil"/>
                  </w:tcBorders>
                  <w:noWrap w:val="0"/>
                  <w:vAlign w:val="center"/>
                </w:tcPr>
                <w:p w14:paraId="7E24A1D6">
                  <w:pPr>
                    <w:pStyle w:val="41"/>
                    <w:bidi w:val="0"/>
                    <w:rPr>
                      <w:rFonts w:hint="eastAsia"/>
                      <w:b/>
                      <w:bCs/>
                      <w:color w:val="auto"/>
                      <w:highlight w:val="none"/>
                      <w:lang w:val="en-US" w:eastAsia="zh-CN"/>
                    </w:rPr>
                  </w:pPr>
                  <w:r>
                    <w:rPr>
                      <w:rFonts w:hint="eastAsia"/>
                      <w:b/>
                      <w:bCs/>
                      <w:color w:val="auto"/>
                      <w:highlight w:val="none"/>
                      <w:lang w:val="en-US" w:eastAsia="zh-CN"/>
                    </w:rPr>
                    <w:t>相符性</w:t>
                  </w:r>
                </w:p>
              </w:tc>
            </w:tr>
            <w:tr w14:paraId="775377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10" w:type="pct"/>
                  <w:vMerge w:val="restart"/>
                  <w:tcBorders>
                    <w:tl2br w:val="nil"/>
                    <w:tr2bl w:val="nil"/>
                  </w:tcBorders>
                  <w:noWrap w:val="0"/>
                  <w:vAlign w:val="center"/>
                </w:tcPr>
                <w:p w14:paraId="2FC7C9E2">
                  <w:pPr>
                    <w:pStyle w:val="41"/>
                    <w:bidi w:val="0"/>
                    <w:rPr>
                      <w:rFonts w:hint="eastAsia"/>
                      <w:color w:val="auto"/>
                      <w:highlight w:val="none"/>
                      <w:lang w:val="en-US" w:eastAsia="zh-CN"/>
                    </w:rPr>
                  </w:pPr>
                  <w:r>
                    <w:rPr>
                      <w:rFonts w:hint="eastAsia"/>
                      <w:color w:val="auto"/>
                      <w:highlight w:val="none"/>
                      <w:lang w:val="en-US" w:eastAsia="zh-CN"/>
                    </w:rPr>
                    <w:t>空间布局约束</w:t>
                  </w:r>
                </w:p>
              </w:tc>
              <w:tc>
                <w:tcPr>
                  <w:tcW w:w="2668" w:type="pct"/>
                  <w:tcBorders>
                    <w:tl2br w:val="nil"/>
                    <w:tr2bl w:val="nil"/>
                  </w:tcBorders>
                  <w:noWrap w:val="0"/>
                  <w:vAlign w:val="center"/>
                </w:tcPr>
                <w:p w14:paraId="08296D80">
                  <w:pPr>
                    <w:pStyle w:val="41"/>
                    <w:bidi w:val="0"/>
                    <w:rPr>
                      <w:rFonts w:hint="eastAsia"/>
                      <w:color w:val="auto"/>
                      <w:highlight w:val="none"/>
                      <w:lang w:val="en-US" w:eastAsia="zh-CN"/>
                    </w:rPr>
                  </w:pPr>
                  <w:r>
                    <w:rPr>
                      <w:rFonts w:hint="eastAsia"/>
                      <w:color w:val="auto"/>
                      <w:highlight w:val="none"/>
                      <w:lang w:val="en-US" w:eastAsia="zh-CN"/>
                    </w:rPr>
                    <w:t>1．</w:t>
                  </w:r>
                  <w:r>
                    <w:rPr>
                      <w:rFonts w:hint="eastAsia"/>
                      <w:color w:val="auto"/>
                      <w:highlight w:val="none"/>
                    </w:rPr>
                    <w:t>始终把长江生态修复放在首位，坚持共抓大保护、不搞大开发，引导长江流域产业转型升级和布局优化调整，实现科学发展、有序发展、高质量发展。</w:t>
                  </w:r>
                </w:p>
              </w:tc>
              <w:tc>
                <w:tcPr>
                  <w:tcW w:w="1333" w:type="pct"/>
                  <w:tcBorders>
                    <w:tl2br w:val="nil"/>
                    <w:tr2bl w:val="nil"/>
                  </w:tcBorders>
                  <w:noWrap w:val="0"/>
                  <w:vAlign w:val="center"/>
                </w:tcPr>
                <w:p w14:paraId="6448D28A">
                  <w:pPr>
                    <w:pStyle w:val="41"/>
                    <w:bidi w:val="0"/>
                    <w:rPr>
                      <w:rFonts w:hint="default"/>
                      <w:color w:val="auto"/>
                      <w:highlight w:val="none"/>
                      <w:lang w:val="en-US" w:eastAsia="zh-CN"/>
                    </w:rPr>
                  </w:pPr>
                  <w:r>
                    <w:rPr>
                      <w:rFonts w:hint="eastAsia"/>
                      <w:color w:val="auto"/>
                      <w:highlight w:val="none"/>
                      <w:lang w:val="en-US" w:eastAsia="zh-CN"/>
                    </w:rPr>
                    <w:t>根据上文分析，本项目符合相关产业政策要求。</w:t>
                  </w:r>
                </w:p>
              </w:tc>
              <w:tc>
                <w:tcPr>
                  <w:tcW w:w="487" w:type="pct"/>
                  <w:tcBorders>
                    <w:tl2br w:val="nil"/>
                    <w:tr2bl w:val="nil"/>
                  </w:tcBorders>
                  <w:noWrap w:val="0"/>
                  <w:vAlign w:val="center"/>
                </w:tcPr>
                <w:p w14:paraId="1F8F1059">
                  <w:pPr>
                    <w:pStyle w:val="41"/>
                    <w:bidi w:val="0"/>
                    <w:rPr>
                      <w:rFonts w:hint="eastAsia"/>
                      <w:color w:val="auto"/>
                      <w:highlight w:val="none"/>
                      <w:lang w:val="en-US" w:eastAsia="zh-CN"/>
                    </w:rPr>
                  </w:pPr>
                  <w:r>
                    <w:rPr>
                      <w:rFonts w:hint="eastAsia"/>
                      <w:color w:val="auto"/>
                      <w:highlight w:val="none"/>
                      <w:lang w:val="en-US" w:eastAsia="zh-CN"/>
                    </w:rPr>
                    <w:t>相符</w:t>
                  </w:r>
                </w:p>
              </w:tc>
            </w:tr>
            <w:tr w14:paraId="67168E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10" w:type="pct"/>
                  <w:vMerge w:val="continue"/>
                  <w:tcBorders>
                    <w:tl2br w:val="nil"/>
                    <w:tr2bl w:val="nil"/>
                  </w:tcBorders>
                  <w:noWrap w:val="0"/>
                  <w:vAlign w:val="center"/>
                </w:tcPr>
                <w:p w14:paraId="4A823B97">
                  <w:pPr>
                    <w:pStyle w:val="41"/>
                    <w:bidi w:val="0"/>
                    <w:rPr>
                      <w:rFonts w:hint="eastAsia"/>
                      <w:color w:val="auto"/>
                      <w:highlight w:val="none"/>
                      <w:lang w:val="en-US" w:eastAsia="zh-CN"/>
                    </w:rPr>
                  </w:pPr>
                </w:p>
              </w:tc>
              <w:tc>
                <w:tcPr>
                  <w:tcW w:w="2668" w:type="pct"/>
                  <w:tcBorders>
                    <w:tl2br w:val="nil"/>
                    <w:tr2bl w:val="nil"/>
                  </w:tcBorders>
                  <w:noWrap w:val="0"/>
                  <w:vAlign w:val="center"/>
                </w:tcPr>
                <w:p w14:paraId="5E90328F">
                  <w:pPr>
                    <w:pStyle w:val="41"/>
                    <w:bidi w:val="0"/>
                    <w:rPr>
                      <w:rFonts w:hint="eastAsia"/>
                      <w:color w:val="auto"/>
                      <w:highlight w:val="none"/>
                      <w:lang w:val="en-US" w:eastAsia="zh-CN"/>
                    </w:rPr>
                  </w:pPr>
                  <w:r>
                    <w:rPr>
                      <w:rFonts w:hint="eastAsia"/>
                      <w:color w:val="auto"/>
                      <w:highlight w:val="none"/>
                      <w:lang w:val="en-US" w:eastAsia="zh-CN"/>
                    </w:rPr>
                    <w:t>2．</w:t>
                  </w:r>
                  <w:r>
                    <w:rPr>
                      <w:rFonts w:hint="eastAsia"/>
                      <w:color w:val="auto"/>
                      <w:highlight w:val="none"/>
                    </w:rPr>
                    <w:t>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tc>
              <w:tc>
                <w:tcPr>
                  <w:tcW w:w="1333" w:type="pct"/>
                  <w:tcBorders>
                    <w:tl2br w:val="nil"/>
                    <w:tr2bl w:val="nil"/>
                  </w:tcBorders>
                  <w:noWrap w:val="0"/>
                  <w:vAlign w:val="center"/>
                </w:tcPr>
                <w:p w14:paraId="433A9AA1">
                  <w:pPr>
                    <w:pStyle w:val="41"/>
                    <w:bidi w:val="0"/>
                    <w:rPr>
                      <w:rFonts w:hint="default"/>
                      <w:color w:val="auto"/>
                      <w:highlight w:val="none"/>
                      <w:lang w:val="en-US" w:eastAsia="zh-CN"/>
                    </w:rPr>
                  </w:pPr>
                  <w:r>
                    <w:rPr>
                      <w:rFonts w:hint="eastAsia"/>
                      <w:color w:val="auto"/>
                      <w:highlight w:val="none"/>
                    </w:rPr>
                    <w:t>本项目不占用国家级生态保护红线和生态空间管控区域。</w:t>
                  </w:r>
                </w:p>
              </w:tc>
              <w:tc>
                <w:tcPr>
                  <w:tcW w:w="487" w:type="pct"/>
                  <w:tcBorders>
                    <w:tl2br w:val="nil"/>
                    <w:tr2bl w:val="nil"/>
                  </w:tcBorders>
                  <w:noWrap w:val="0"/>
                  <w:vAlign w:val="center"/>
                </w:tcPr>
                <w:p w14:paraId="4292903F">
                  <w:pPr>
                    <w:pStyle w:val="41"/>
                    <w:bidi w:val="0"/>
                    <w:rPr>
                      <w:rFonts w:hint="eastAsia"/>
                      <w:color w:val="auto"/>
                      <w:highlight w:val="none"/>
                      <w:lang w:val="en-US" w:eastAsia="zh-CN"/>
                    </w:rPr>
                  </w:pPr>
                  <w:r>
                    <w:rPr>
                      <w:rFonts w:hint="eastAsia"/>
                      <w:color w:val="auto"/>
                      <w:highlight w:val="none"/>
                      <w:lang w:val="en-US" w:eastAsia="zh-CN"/>
                    </w:rPr>
                    <w:t>相符</w:t>
                  </w:r>
                </w:p>
              </w:tc>
            </w:tr>
            <w:tr w14:paraId="7FCEA4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10" w:type="pct"/>
                  <w:vMerge w:val="continue"/>
                  <w:tcBorders>
                    <w:tl2br w:val="nil"/>
                    <w:tr2bl w:val="nil"/>
                  </w:tcBorders>
                  <w:noWrap w:val="0"/>
                  <w:vAlign w:val="center"/>
                </w:tcPr>
                <w:p w14:paraId="4912E89C">
                  <w:pPr>
                    <w:pStyle w:val="41"/>
                    <w:bidi w:val="0"/>
                    <w:rPr>
                      <w:rFonts w:hint="eastAsia"/>
                      <w:color w:val="auto"/>
                      <w:highlight w:val="none"/>
                      <w:lang w:val="en-US" w:eastAsia="zh-CN"/>
                    </w:rPr>
                  </w:pPr>
                </w:p>
              </w:tc>
              <w:tc>
                <w:tcPr>
                  <w:tcW w:w="2668" w:type="pct"/>
                  <w:tcBorders>
                    <w:tl2br w:val="nil"/>
                    <w:tr2bl w:val="nil"/>
                  </w:tcBorders>
                  <w:noWrap w:val="0"/>
                  <w:vAlign w:val="center"/>
                </w:tcPr>
                <w:p w14:paraId="329DB32D">
                  <w:pPr>
                    <w:pStyle w:val="41"/>
                    <w:bidi w:val="0"/>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禁止在沿江地区新建或扩建化学工业园区，禁止新建或扩建以大宗进口油气资源为原料的石油加工、石油化工、基础有机无机化工、煤化工项目；禁止在长江干流和主要支流岸线1公里范围内新建危化品码头。</w:t>
                  </w:r>
                </w:p>
              </w:tc>
              <w:tc>
                <w:tcPr>
                  <w:tcW w:w="1333" w:type="pct"/>
                  <w:tcBorders>
                    <w:tl2br w:val="nil"/>
                    <w:tr2bl w:val="nil"/>
                  </w:tcBorders>
                  <w:noWrap w:val="0"/>
                  <w:vAlign w:val="center"/>
                </w:tcPr>
                <w:p w14:paraId="6A719C76">
                  <w:pPr>
                    <w:pStyle w:val="41"/>
                    <w:bidi w:val="0"/>
                    <w:rPr>
                      <w:rFonts w:hint="default"/>
                      <w:color w:val="auto"/>
                      <w:highlight w:val="none"/>
                      <w:lang w:val="en-US" w:eastAsia="zh-CN"/>
                    </w:rPr>
                  </w:pPr>
                  <w:bookmarkStart w:id="26" w:name="sys171031"/>
                  <w:r>
                    <w:rPr>
                      <w:rFonts w:hint="eastAsia"/>
                      <w:color w:val="auto"/>
                      <w:highlight w:val="none"/>
                    </w:rPr>
                    <w:t>本项目</w:t>
                  </w:r>
                  <w:r>
                    <w:rPr>
                      <w:rFonts w:hint="eastAsia"/>
                      <w:color w:val="auto"/>
                      <w:highlight w:val="none"/>
                      <w:lang w:val="en-US" w:eastAsia="zh-CN"/>
                    </w:rPr>
                    <w:t>主要进行中药研发。不属于文件中要求的禁止建设项目。</w:t>
                  </w:r>
                  <w:bookmarkEnd w:id="26"/>
                </w:p>
              </w:tc>
              <w:tc>
                <w:tcPr>
                  <w:tcW w:w="487" w:type="pct"/>
                  <w:tcBorders>
                    <w:tl2br w:val="nil"/>
                    <w:tr2bl w:val="nil"/>
                  </w:tcBorders>
                  <w:noWrap w:val="0"/>
                  <w:vAlign w:val="center"/>
                </w:tcPr>
                <w:p w14:paraId="11D78881">
                  <w:pPr>
                    <w:pStyle w:val="41"/>
                    <w:bidi w:val="0"/>
                    <w:rPr>
                      <w:rFonts w:hint="eastAsia"/>
                      <w:color w:val="auto"/>
                      <w:highlight w:val="none"/>
                      <w:lang w:val="en-US" w:eastAsia="zh-CN"/>
                    </w:rPr>
                  </w:pPr>
                  <w:r>
                    <w:rPr>
                      <w:rFonts w:hint="eastAsia"/>
                      <w:color w:val="auto"/>
                      <w:highlight w:val="none"/>
                      <w:lang w:val="en-US" w:eastAsia="zh-CN"/>
                    </w:rPr>
                    <w:t>相符</w:t>
                  </w:r>
                </w:p>
              </w:tc>
            </w:tr>
            <w:tr w14:paraId="2B02F2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10" w:type="pct"/>
                  <w:vMerge w:val="continue"/>
                  <w:tcBorders>
                    <w:tl2br w:val="nil"/>
                    <w:tr2bl w:val="nil"/>
                  </w:tcBorders>
                  <w:noWrap w:val="0"/>
                  <w:vAlign w:val="center"/>
                </w:tcPr>
                <w:p w14:paraId="0A5E28C9">
                  <w:pPr>
                    <w:pStyle w:val="41"/>
                    <w:bidi w:val="0"/>
                    <w:rPr>
                      <w:rFonts w:hint="eastAsia"/>
                      <w:color w:val="auto"/>
                      <w:highlight w:val="none"/>
                      <w:lang w:val="en-US" w:eastAsia="zh-CN"/>
                    </w:rPr>
                  </w:pPr>
                </w:p>
              </w:tc>
              <w:tc>
                <w:tcPr>
                  <w:tcW w:w="2668" w:type="pct"/>
                  <w:tcBorders>
                    <w:tl2br w:val="nil"/>
                    <w:tr2bl w:val="nil"/>
                  </w:tcBorders>
                  <w:noWrap w:val="0"/>
                  <w:vAlign w:val="center"/>
                </w:tcPr>
                <w:p w14:paraId="624167E6">
                  <w:pPr>
                    <w:pStyle w:val="41"/>
                    <w:bidi w:val="0"/>
                    <w:rPr>
                      <w:rFonts w:hint="eastAsia"/>
                      <w:color w:val="auto"/>
                      <w:highlight w:val="none"/>
                      <w:lang w:val="en-US" w:eastAsia="zh-CN"/>
                    </w:rPr>
                  </w:pPr>
                  <w:r>
                    <w:rPr>
                      <w:rFonts w:hint="eastAsia"/>
                      <w:color w:val="auto"/>
                      <w:highlight w:val="none"/>
                      <w:lang w:val="en-US" w:eastAsia="zh-CN"/>
                    </w:rPr>
                    <w:t>4．</w:t>
                  </w:r>
                  <w:r>
                    <w:rPr>
                      <w:rFonts w:hint="eastAsia"/>
                      <w:color w:val="auto"/>
                      <w:highlight w:val="none"/>
                    </w:rPr>
                    <w:t>强化港口布局优化，禁止建设不符合国家港口布局规划和《江苏省沿江沿海港口布局规划（2015</w:t>
                  </w:r>
                  <w:r>
                    <w:rPr>
                      <w:rFonts w:hint="eastAsia"/>
                      <w:color w:val="auto"/>
                      <w:highlight w:val="none"/>
                      <w:lang w:eastAsia="zh-CN"/>
                    </w:rPr>
                    <w:t>—</w:t>
                  </w:r>
                  <w:r>
                    <w:rPr>
                      <w:rFonts w:hint="eastAsia"/>
                      <w:color w:val="auto"/>
                      <w:highlight w:val="none"/>
                    </w:rPr>
                    <w:t>2030年）》《江苏省内河港口布局规划（2017</w:t>
                  </w:r>
                  <w:r>
                    <w:rPr>
                      <w:rFonts w:hint="eastAsia"/>
                      <w:color w:val="auto"/>
                      <w:highlight w:val="none"/>
                      <w:lang w:eastAsia="zh-CN"/>
                    </w:rPr>
                    <w:t>—</w:t>
                  </w:r>
                  <w:r>
                    <w:rPr>
                      <w:rFonts w:hint="eastAsia"/>
                      <w:color w:val="auto"/>
                      <w:highlight w:val="none"/>
                    </w:rPr>
                    <w:t>2035年）》的码头项目，禁止建设未纳入《长江干线过江通道布局规划》的过江干线通道项目。</w:t>
                  </w:r>
                </w:p>
              </w:tc>
              <w:tc>
                <w:tcPr>
                  <w:tcW w:w="1333" w:type="pct"/>
                  <w:tcBorders>
                    <w:tl2br w:val="nil"/>
                    <w:tr2bl w:val="nil"/>
                  </w:tcBorders>
                  <w:noWrap w:val="0"/>
                  <w:vAlign w:val="center"/>
                </w:tcPr>
                <w:p w14:paraId="30200501">
                  <w:pPr>
                    <w:pStyle w:val="41"/>
                    <w:bidi w:val="0"/>
                    <w:rPr>
                      <w:rFonts w:hint="eastAsia"/>
                      <w:color w:val="auto"/>
                      <w:highlight w:val="none"/>
                      <w:lang w:val="en-US" w:eastAsia="zh-CN"/>
                    </w:rPr>
                  </w:pPr>
                  <w:bookmarkStart w:id="27" w:name="sys175041"/>
                  <w:r>
                    <w:rPr>
                      <w:rFonts w:hint="eastAsia"/>
                      <w:color w:val="auto"/>
                      <w:highlight w:val="none"/>
                    </w:rPr>
                    <w:t>本项目</w:t>
                  </w:r>
                  <w:r>
                    <w:rPr>
                      <w:rFonts w:hint="eastAsia"/>
                      <w:color w:val="auto"/>
                      <w:highlight w:val="none"/>
                      <w:lang w:val="en-US" w:eastAsia="zh-CN"/>
                    </w:rPr>
                    <w:t>主要进行中药研发。不属于文件中要求的禁止建设的码头项目及过江干线项目。</w:t>
                  </w:r>
                  <w:bookmarkEnd w:id="27"/>
                </w:p>
              </w:tc>
              <w:tc>
                <w:tcPr>
                  <w:tcW w:w="487" w:type="pct"/>
                  <w:tcBorders>
                    <w:tl2br w:val="nil"/>
                    <w:tr2bl w:val="nil"/>
                  </w:tcBorders>
                  <w:noWrap w:val="0"/>
                  <w:vAlign w:val="center"/>
                </w:tcPr>
                <w:p w14:paraId="47F9359C">
                  <w:pPr>
                    <w:pStyle w:val="41"/>
                    <w:bidi w:val="0"/>
                    <w:rPr>
                      <w:rFonts w:hint="eastAsia"/>
                      <w:color w:val="auto"/>
                      <w:highlight w:val="none"/>
                      <w:lang w:val="en-US" w:eastAsia="zh-CN"/>
                    </w:rPr>
                  </w:pPr>
                  <w:r>
                    <w:rPr>
                      <w:rFonts w:hint="eastAsia"/>
                      <w:color w:val="auto"/>
                      <w:highlight w:val="none"/>
                      <w:lang w:val="en-US" w:eastAsia="zh-CN"/>
                    </w:rPr>
                    <w:t>相符</w:t>
                  </w:r>
                </w:p>
              </w:tc>
            </w:tr>
            <w:tr w14:paraId="68B1B3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10" w:type="pct"/>
                  <w:vMerge w:val="continue"/>
                  <w:tcBorders>
                    <w:tl2br w:val="nil"/>
                    <w:tr2bl w:val="nil"/>
                  </w:tcBorders>
                  <w:noWrap w:val="0"/>
                  <w:vAlign w:val="center"/>
                </w:tcPr>
                <w:p w14:paraId="259CA803">
                  <w:pPr>
                    <w:pStyle w:val="41"/>
                    <w:bidi w:val="0"/>
                    <w:rPr>
                      <w:rFonts w:hint="eastAsia"/>
                      <w:color w:val="auto"/>
                      <w:highlight w:val="none"/>
                      <w:lang w:val="en-US" w:eastAsia="zh-CN"/>
                    </w:rPr>
                  </w:pPr>
                </w:p>
              </w:tc>
              <w:tc>
                <w:tcPr>
                  <w:tcW w:w="2668" w:type="pct"/>
                  <w:tcBorders>
                    <w:tl2br w:val="nil"/>
                    <w:tr2bl w:val="nil"/>
                  </w:tcBorders>
                  <w:noWrap w:val="0"/>
                  <w:vAlign w:val="center"/>
                </w:tcPr>
                <w:p w14:paraId="4DD291E8">
                  <w:pPr>
                    <w:pStyle w:val="41"/>
                    <w:bidi w:val="0"/>
                    <w:rPr>
                      <w:rFonts w:hint="eastAsia"/>
                      <w:color w:val="auto"/>
                      <w:highlight w:val="none"/>
                      <w:lang w:val="en-US" w:eastAsia="zh-CN"/>
                    </w:rPr>
                  </w:pPr>
                  <w:r>
                    <w:rPr>
                      <w:rFonts w:hint="eastAsia"/>
                      <w:color w:val="auto"/>
                      <w:highlight w:val="none"/>
                      <w:lang w:val="en-US" w:eastAsia="zh-CN"/>
                    </w:rPr>
                    <w:t>5．</w:t>
                  </w:r>
                  <w:r>
                    <w:rPr>
                      <w:rFonts w:hint="eastAsia"/>
                      <w:color w:val="auto"/>
                      <w:highlight w:val="none"/>
                    </w:rPr>
                    <w:t>禁止新建独立焦化项目。</w:t>
                  </w:r>
                </w:p>
              </w:tc>
              <w:tc>
                <w:tcPr>
                  <w:tcW w:w="1333" w:type="pct"/>
                  <w:tcBorders>
                    <w:tl2br w:val="nil"/>
                    <w:tr2bl w:val="nil"/>
                  </w:tcBorders>
                  <w:noWrap w:val="0"/>
                  <w:vAlign w:val="center"/>
                </w:tcPr>
                <w:p w14:paraId="74F4AAB8">
                  <w:pPr>
                    <w:pStyle w:val="41"/>
                    <w:bidi w:val="0"/>
                    <w:rPr>
                      <w:rFonts w:hint="eastAsia"/>
                      <w:color w:val="auto"/>
                      <w:highlight w:val="none"/>
                      <w:lang w:val="en-US" w:eastAsia="zh-CN"/>
                    </w:rPr>
                  </w:pPr>
                  <w:r>
                    <w:rPr>
                      <w:rFonts w:hint="eastAsia"/>
                      <w:color w:val="auto"/>
                      <w:highlight w:val="none"/>
                    </w:rPr>
                    <w:t>本项目</w:t>
                  </w:r>
                  <w:r>
                    <w:rPr>
                      <w:rFonts w:hint="eastAsia"/>
                      <w:color w:val="auto"/>
                      <w:highlight w:val="none"/>
                      <w:lang w:eastAsia="zh-CN"/>
                    </w:rPr>
                    <w:t>主要进行中药研发</w:t>
                  </w:r>
                  <w:r>
                    <w:rPr>
                      <w:rFonts w:hint="eastAsia"/>
                      <w:color w:val="auto"/>
                      <w:highlight w:val="none"/>
                      <w:lang w:val="en-US" w:eastAsia="zh-CN"/>
                    </w:rPr>
                    <w:t>，不属于独立焦化项目。</w:t>
                  </w:r>
                </w:p>
              </w:tc>
              <w:tc>
                <w:tcPr>
                  <w:tcW w:w="487" w:type="pct"/>
                  <w:tcBorders>
                    <w:tl2br w:val="nil"/>
                    <w:tr2bl w:val="nil"/>
                  </w:tcBorders>
                  <w:noWrap w:val="0"/>
                  <w:vAlign w:val="center"/>
                </w:tcPr>
                <w:p w14:paraId="0A50EBC5">
                  <w:pPr>
                    <w:pStyle w:val="41"/>
                    <w:bidi w:val="0"/>
                    <w:rPr>
                      <w:rFonts w:hint="eastAsia"/>
                      <w:color w:val="auto"/>
                      <w:highlight w:val="none"/>
                      <w:lang w:val="en-US" w:eastAsia="zh-CN"/>
                    </w:rPr>
                  </w:pPr>
                  <w:r>
                    <w:rPr>
                      <w:rFonts w:hint="eastAsia"/>
                      <w:color w:val="auto"/>
                      <w:highlight w:val="none"/>
                      <w:lang w:val="en-US" w:eastAsia="zh-CN"/>
                    </w:rPr>
                    <w:t>相符</w:t>
                  </w:r>
                </w:p>
              </w:tc>
            </w:tr>
            <w:tr w14:paraId="112B46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10" w:type="pct"/>
                  <w:vMerge w:val="restart"/>
                  <w:tcBorders>
                    <w:tl2br w:val="nil"/>
                    <w:tr2bl w:val="nil"/>
                  </w:tcBorders>
                  <w:noWrap w:val="0"/>
                  <w:vAlign w:val="center"/>
                </w:tcPr>
                <w:p w14:paraId="1543D634">
                  <w:pPr>
                    <w:pStyle w:val="41"/>
                    <w:bidi w:val="0"/>
                    <w:rPr>
                      <w:rFonts w:hint="eastAsia"/>
                      <w:color w:val="auto"/>
                      <w:highlight w:val="none"/>
                      <w:lang w:val="en-US" w:eastAsia="zh-CN"/>
                    </w:rPr>
                  </w:pPr>
                  <w:r>
                    <w:rPr>
                      <w:rFonts w:hint="eastAsia"/>
                      <w:color w:val="auto"/>
                      <w:highlight w:val="none"/>
                      <w:lang w:val="en-US" w:eastAsia="zh-CN"/>
                    </w:rPr>
                    <w:t>污染物排放管控</w:t>
                  </w:r>
                </w:p>
              </w:tc>
              <w:tc>
                <w:tcPr>
                  <w:tcW w:w="2668" w:type="pct"/>
                  <w:tcBorders>
                    <w:tl2br w:val="nil"/>
                    <w:tr2bl w:val="nil"/>
                  </w:tcBorders>
                  <w:noWrap w:val="0"/>
                  <w:vAlign w:val="center"/>
                </w:tcPr>
                <w:p w14:paraId="6A7398B7">
                  <w:pPr>
                    <w:pStyle w:val="41"/>
                    <w:bidi w:val="0"/>
                    <w:rPr>
                      <w:rFonts w:hint="eastAsia"/>
                      <w:color w:val="auto"/>
                      <w:highlight w:val="none"/>
                      <w:lang w:val="en-US" w:eastAsia="zh-CN"/>
                    </w:rPr>
                  </w:pPr>
                  <w:r>
                    <w:rPr>
                      <w:rFonts w:hint="eastAsia"/>
                      <w:color w:val="auto"/>
                      <w:highlight w:val="none"/>
                      <w:lang w:val="en-US" w:eastAsia="zh-CN"/>
                    </w:rPr>
                    <w:t>1．</w:t>
                  </w:r>
                  <w:r>
                    <w:rPr>
                      <w:rFonts w:hint="eastAsia"/>
                      <w:color w:val="auto"/>
                      <w:highlight w:val="none"/>
                    </w:rPr>
                    <w:t>根据《江苏省长江水污染防治条例》实施污染物总量控制制度。</w:t>
                  </w:r>
                </w:p>
              </w:tc>
              <w:tc>
                <w:tcPr>
                  <w:tcW w:w="1333" w:type="pct"/>
                  <w:vMerge w:val="restart"/>
                  <w:tcBorders>
                    <w:tl2br w:val="nil"/>
                    <w:tr2bl w:val="nil"/>
                  </w:tcBorders>
                  <w:noWrap w:val="0"/>
                  <w:vAlign w:val="center"/>
                </w:tcPr>
                <w:p w14:paraId="087D244B">
                  <w:pPr>
                    <w:pStyle w:val="41"/>
                    <w:bidi w:val="0"/>
                    <w:rPr>
                      <w:rFonts w:hint="eastAsia"/>
                      <w:color w:val="auto"/>
                      <w:highlight w:val="none"/>
                      <w:lang w:val="en-US" w:eastAsia="zh-CN"/>
                    </w:rPr>
                  </w:pPr>
                  <w:bookmarkStart w:id="28" w:name="sys183055"/>
                  <w:r>
                    <w:rPr>
                      <w:rFonts w:hint="eastAsia"/>
                      <w:color w:val="auto"/>
                      <w:highlight w:val="none"/>
                      <w:lang w:val="en-US" w:eastAsia="zh-CN"/>
                    </w:rPr>
                    <w:t>本项目已向南京市江宁生态环境局申请总量，废水污染物由江宁区水减排项目平衡，废气污染物由江宁区大气减排项目平衡。</w:t>
                  </w:r>
                  <w:bookmarkEnd w:id="28"/>
                </w:p>
              </w:tc>
              <w:tc>
                <w:tcPr>
                  <w:tcW w:w="487" w:type="pct"/>
                  <w:vMerge w:val="restart"/>
                  <w:tcBorders>
                    <w:tl2br w:val="nil"/>
                    <w:tr2bl w:val="nil"/>
                  </w:tcBorders>
                  <w:noWrap w:val="0"/>
                  <w:vAlign w:val="center"/>
                </w:tcPr>
                <w:p w14:paraId="5BE1BA48">
                  <w:pPr>
                    <w:pStyle w:val="41"/>
                    <w:bidi w:val="0"/>
                    <w:rPr>
                      <w:rFonts w:hint="eastAsia"/>
                      <w:color w:val="auto"/>
                      <w:highlight w:val="none"/>
                      <w:lang w:val="en-US" w:eastAsia="zh-CN"/>
                    </w:rPr>
                  </w:pPr>
                  <w:r>
                    <w:rPr>
                      <w:rFonts w:hint="eastAsia"/>
                      <w:color w:val="auto"/>
                      <w:highlight w:val="none"/>
                      <w:lang w:val="en-US" w:eastAsia="zh-CN"/>
                    </w:rPr>
                    <w:t>相符</w:t>
                  </w:r>
                </w:p>
              </w:tc>
            </w:tr>
            <w:tr w14:paraId="6AF9F4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10" w:type="pct"/>
                  <w:vMerge w:val="continue"/>
                  <w:tcBorders>
                    <w:tl2br w:val="nil"/>
                    <w:tr2bl w:val="nil"/>
                  </w:tcBorders>
                  <w:noWrap w:val="0"/>
                  <w:vAlign w:val="center"/>
                </w:tcPr>
                <w:p w14:paraId="6A3E9ACC">
                  <w:pPr>
                    <w:pStyle w:val="41"/>
                    <w:bidi w:val="0"/>
                    <w:rPr>
                      <w:rFonts w:hint="eastAsia"/>
                      <w:color w:val="auto"/>
                      <w:highlight w:val="none"/>
                      <w:lang w:val="en-US" w:eastAsia="zh-CN"/>
                    </w:rPr>
                  </w:pPr>
                </w:p>
              </w:tc>
              <w:tc>
                <w:tcPr>
                  <w:tcW w:w="2668" w:type="pct"/>
                  <w:tcBorders>
                    <w:tl2br w:val="nil"/>
                    <w:tr2bl w:val="nil"/>
                  </w:tcBorders>
                  <w:noWrap w:val="0"/>
                  <w:vAlign w:val="center"/>
                </w:tcPr>
                <w:p w14:paraId="4FDA6162">
                  <w:pPr>
                    <w:pStyle w:val="41"/>
                    <w:bidi w:val="0"/>
                    <w:rPr>
                      <w:rFonts w:hint="eastAsia"/>
                      <w:color w:val="auto"/>
                      <w:highlight w:val="none"/>
                      <w:lang w:val="en-US" w:eastAsia="zh-CN"/>
                    </w:rPr>
                  </w:pPr>
                  <w:r>
                    <w:rPr>
                      <w:rFonts w:hint="eastAsia"/>
                      <w:color w:val="auto"/>
                      <w:highlight w:val="none"/>
                      <w:lang w:val="en-US" w:eastAsia="zh-CN"/>
                    </w:rPr>
                    <w:t>2．</w:t>
                  </w:r>
                  <w:r>
                    <w:rPr>
                      <w:rFonts w:hint="eastAsia"/>
                      <w:color w:val="auto"/>
                      <w:highlight w:val="none"/>
                    </w:rPr>
                    <w:t>全面加强和规范长江入河排污口管理，有效管控入河污染物排放，形成权责清晰、监控到位、管理规范的长江入河排污口监管体系，加快改善长江水环境质量。</w:t>
                  </w:r>
                </w:p>
              </w:tc>
              <w:tc>
                <w:tcPr>
                  <w:tcW w:w="1333" w:type="pct"/>
                  <w:vMerge w:val="continue"/>
                  <w:tcBorders>
                    <w:tl2br w:val="nil"/>
                    <w:tr2bl w:val="nil"/>
                  </w:tcBorders>
                  <w:noWrap w:val="0"/>
                  <w:vAlign w:val="center"/>
                </w:tcPr>
                <w:p w14:paraId="34D40E46">
                  <w:pPr>
                    <w:pStyle w:val="41"/>
                    <w:bidi w:val="0"/>
                    <w:rPr>
                      <w:rFonts w:hint="eastAsia"/>
                      <w:color w:val="auto"/>
                      <w:highlight w:val="none"/>
                      <w:lang w:val="en-US" w:eastAsia="zh-CN"/>
                    </w:rPr>
                  </w:pPr>
                </w:p>
              </w:tc>
              <w:tc>
                <w:tcPr>
                  <w:tcW w:w="487" w:type="pct"/>
                  <w:vMerge w:val="continue"/>
                  <w:tcBorders>
                    <w:tl2br w:val="nil"/>
                    <w:tr2bl w:val="nil"/>
                  </w:tcBorders>
                  <w:noWrap w:val="0"/>
                  <w:vAlign w:val="center"/>
                </w:tcPr>
                <w:p w14:paraId="15C9000D">
                  <w:pPr>
                    <w:pStyle w:val="41"/>
                    <w:bidi w:val="0"/>
                    <w:rPr>
                      <w:rFonts w:hint="eastAsia"/>
                      <w:color w:val="auto"/>
                      <w:highlight w:val="none"/>
                      <w:lang w:val="en-US" w:eastAsia="zh-CN"/>
                    </w:rPr>
                  </w:pPr>
                </w:p>
              </w:tc>
            </w:tr>
            <w:tr w14:paraId="72F2E4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10" w:type="pct"/>
                  <w:vMerge w:val="restart"/>
                  <w:tcBorders>
                    <w:tl2br w:val="nil"/>
                    <w:tr2bl w:val="nil"/>
                  </w:tcBorders>
                  <w:noWrap w:val="0"/>
                  <w:vAlign w:val="center"/>
                </w:tcPr>
                <w:p w14:paraId="239683AC">
                  <w:pPr>
                    <w:pStyle w:val="41"/>
                    <w:bidi w:val="0"/>
                    <w:rPr>
                      <w:rFonts w:hint="eastAsia"/>
                      <w:color w:val="auto"/>
                      <w:highlight w:val="none"/>
                      <w:lang w:val="en-US" w:eastAsia="zh-CN"/>
                    </w:rPr>
                  </w:pPr>
                  <w:r>
                    <w:rPr>
                      <w:rFonts w:hint="eastAsia"/>
                      <w:color w:val="auto"/>
                      <w:highlight w:val="none"/>
                      <w:lang w:val="en-US" w:eastAsia="zh-CN"/>
                    </w:rPr>
                    <w:t>环境风险防控</w:t>
                  </w:r>
                </w:p>
              </w:tc>
              <w:tc>
                <w:tcPr>
                  <w:tcW w:w="2668" w:type="pct"/>
                  <w:tcBorders>
                    <w:tl2br w:val="nil"/>
                    <w:tr2bl w:val="nil"/>
                  </w:tcBorders>
                  <w:noWrap w:val="0"/>
                  <w:vAlign w:val="center"/>
                </w:tcPr>
                <w:p w14:paraId="424CD864">
                  <w:pPr>
                    <w:pStyle w:val="41"/>
                    <w:bidi w:val="0"/>
                    <w:rPr>
                      <w:rFonts w:hint="eastAsia"/>
                      <w:color w:val="auto"/>
                      <w:highlight w:val="none"/>
                      <w:lang w:val="en-US" w:eastAsia="zh-CN"/>
                    </w:rPr>
                  </w:pPr>
                  <w:r>
                    <w:rPr>
                      <w:rFonts w:hint="eastAsia"/>
                      <w:color w:val="auto"/>
                      <w:highlight w:val="none"/>
                      <w:lang w:val="en-US" w:eastAsia="zh-CN"/>
                    </w:rPr>
                    <w:t>1．</w:t>
                  </w:r>
                  <w:r>
                    <w:rPr>
                      <w:rFonts w:hint="eastAsia"/>
                      <w:color w:val="auto"/>
                      <w:highlight w:val="none"/>
                    </w:rPr>
                    <w:t>防范沿江环境风险。深化沿江石化、化工、医药、纺织、印染、化纤、危化品和石油类仓储、涉重金属和危险废物处置等重点企业环境风险防控。</w:t>
                  </w:r>
                </w:p>
              </w:tc>
              <w:tc>
                <w:tcPr>
                  <w:tcW w:w="1333" w:type="pct"/>
                  <w:vMerge w:val="restart"/>
                  <w:tcBorders>
                    <w:tl2br w:val="nil"/>
                    <w:tr2bl w:val="nil"/>
                  </w:tcBorders>
                  <w:noWrap w:val="0"/>
                  <w:vAlign w:val="center"/>
                </w:tcPr>
                <w:p w14:paraId="468A523B">
                  <w:pPr>
                    <w:pStyle w:val="41"/>
                    <w:bidi w:val="0"/>
                    <w:rPr>
                      <w:rFonts w:hint="eastAsia"/>
                      <w:color w:val="auto"/>
                      <w:highlight w:val="none"/>
                      <w:lang w:val="en-US" w:eastAsia="zh-CN"/>
                    </w:rPr>
                  </w:pPr>
                  <w:r>
                    <w:rPr>
                      <w:rFonts w:hint="eastAsia"/>
                      <w:color w:val="auto"/>
                      <w:highlight w:val="none"/>
                      <w:lang w:val="en-US" w:eastAsia="zh-CN"/>
                    </w:rPr>
                    <w:t>项目建成后企业应落实必要的环境风险防范措施，编制突发环境事件应急预案并定期开展演练。</w:t>
                  </w:r>
                </w:p>
              </w:tc>
              <w:tc>
                <w:tcPr>
                  <w:tcW w:w="487" w:type="pct"/>
                  <w:tcBorders>
                    <w:tl2br w:val="nil"/>
                    <w:tr2bl w:val="nil"/>
                  </w:tcBorders>
                  <w:noWrap w:val="0"/>
                  <w:vAlign w:val="center"/>
                </w:tcPr>
                <w:p w14:paraId="5A1643CE">
                  <w:pPr>
                    <w:pStyle w:val="41"/>
                    <w:bidi w:val="0"/>
                    <w:rPr>
                      <w:rFonts w:hint="eastAsia"/>
                      <w:color w:val="auto"/>
                      <w:highlight w:val="none"/>
                      <w:lang w:val="en-US" w:eastAsia="zh-CN"/>
                    </w:rPr>
                  </w:pPr>
                  <w:r>
                    <w:rPr>
                      <w:rFonts w:hint="eastAsia"/>
                      <w:color w:val="auto"/>
                      <w:highlight w:val="none"/>
                      <w:lang w:val="en-US" w:eastAsia="zh-CN"/>
                    </w:rPr>
                    <w:t>相符</w:t>
                  </w:r>
                </w:p>
              </w:tc>
            </w:tr>
            <w:tr w14:paraId="0E2CCD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10" w:type="pct"/>
                  <w:vMerge w:val="continue"/>
                  <w:tcBorders>
                    <w:tl2br w:val="nil"/>
                    <w:tr2bl w:val="nil"/>
                  </w:tcBorders>
                  <w:noWrap w:val="0"/>
                  <w:vAlign w:val="center"/>
                </w:tcPr>
                <w:p w14:paraId="28F00217">
                  <w:pPr>
                    <w:pStyle w:val="41"/>
                    <w:bidi w:val="0"/>
                    <w:rPr>
                      <w:rFonts w:hint="eastAsia"/>
                      <w:color w:val="auto"/>
                      <w:highlight w:val="none"/>
                      <w:lang w:val="en-US" w:eastAsia="zh-CN"/>
                    </w:rPr>
                  </w:pPr>
                </w:p>
              </w:tc>
              <w:tc>
                <w:tcPr>
                  <w:tcW w:w="2668" w:type="pct"/>
                  <w:tcBorders>
                    <w:tl2br w:val="nil"/>
                    <w:tr2bl w:val="nil"/>
                  </w:tcBorders>
                  <w:noWrap w:val="0"/>
                  <w:vAlign w:val="center"/>
                </w:tcPr>
                <w:p w14:paraId="5F2B6EAC">
                  <w:pPr>
                    <w:pStyle w:val="41"/>
                    <w:bidi w:val="0"/>
                    <w:rPr>
                      <w:rFonts w:hint="eastAsia"/>
                      <w:color w:val="auto"/>
                      <w:highlight w:val="none"/>
                      <w:lang w:val="en-US" w:eastAsia="zh-CN"/>
                    </w:rPr>
                  </w:pPr>
                  <w:r>
                    <w:rPr>
                      <w:rFonts w:hint="eastAsia"/>
                      <w:color w:val="auto"/>
                      <w:highlight w:val="none"/>
                      <w:lang w:val="en-US" w:eastAsia="zh-CN"/>
                    </w:rPr>
                    <w:t>2．</w:t>
                  </w:r>
                  <w:r>
                    <w:rPr>
                      <w:rFonts w:hint="eastAsia"/>
                      <w:color w:val="auto"/>
                      <w:highlight w:val="none"/>
                    </w:rPr>
                    <w:t>加强饮用水水源保护。优化水源保护区划定，推动饮用水水源地规范化建设。</w:t>
                  </w:r>
                </w:p>
              </w:tc>
              <w:tc>
                <w:tcPr>
                  <w:tcW w:w="1333" w:type="pct"/>
                  <w:vMerge w:val="continue"/>
                  <w:tcBorders>
                    <w:tl2br w:val="nil"/>
                    <w:tr2bl w:val="nil"/>
                  </w:tcBorders>
                  <w:noWrap w:val="0"/>
                  <w:vAlign w:val="center"/>
                </w:tcPr>
                <w:p w14:paraId="4E817913">
                  <w:pPr>
                    <w:pStyle w:val="41"/>
                    <w:bidi w:val="0"/>
                    <w:rPr>
                      <w:rFonts w:hint="eastAsia"/>
                      <w:color w:val="auto"/>
                      <w:highlight w:val="none"/>
                      <w:lang w:val="en-US" w:eastAsia="zh-CN"/>
                    </w:rPr>
                  </w:pPr>
                </w:p>
              </w:tc>
              <w:tc>
                <w:tcPr>
                  <w:tcW w:w="487" w:type="pct"/>
                  <w:tcBorders>
                    <w:tl2br w:val="nil"/>
                    <w:tr2bl w:val="nil"/>
                  </w:tcBorders>
                  <w:noWrap w:val="0"/>
                  <w:vAlign w:val="center"/>
                </w:tcPr>
                <w:p w14:paraId="5236DD14">
                  <w:pPr>
                    <w:pStyle w:val="41"/>
                    <w:bidi w:val="0"/>
                    <w:rPr>
                      <w:rFonts w:hint="eastAsia"/>
                      <w:color w:val="auto"/>
                      <w:highlight w:val="none"/>
                      <w:lang w:val="en-US" w:eastAsia="zh-CN"/>
                    </w:rPr>
                  </w:pPr>
                  <w:r>
                    <w:rPr>
                      <w:rFonts w:hint="eastAsia"/>
                      <w:color w:val="auto"/>
                      <w:highlight w:val="none"/>
                      <w:lang w:val="en-US" w:eastAsia="zh-CN"/>
                    </w:rPr>
                    <w:t>相符</w:t>
                  </w:r>
                </w:p>
              </w:tc>
            </w:tr>
            <w:tr w14:paraId="445457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10" w:type="pct"/>
                  <w:tcBorders>
                    <w:tl2br w:val="nil"/>
                    <w:tr2bl w:val="nil"/>
                  </w:tcBorders>
                  <w:noWrap w:val="0"/>
                  <w:vAlign w:val="center"/>
                </w:tcPr>
                <w:p w14:paraId="5CF9F920">
                  <w:pPr>
                    <w:pStyle w:val="41"/>
                    <w:bidi w:val="0"/>
                    <w:rPr>
                      <w:rFonts w:hint="eastAsia"/>
                      <w:color w:val="auto"/>
                      <w:highlight w:val="none"/>
                      <w:lang w:val="en-US" w:eastAsia="zh-CN"/>
                    </w:rPr>
                  </w:pPr>
                  <w:r>
                    <w:rPr>
                      <w:rFonts w:hint="eastAsia"/>
                      <w:color w:val="auto"/>
                      <w:highlight w:val="none"/>
                      <w:lang w:val="en-US" w:eastAsia="zh-CN"/>
                    </w:rPr>
                    <w:t>资源利用效率要求</w:t>
                  </w:r>
                </w:p>
              </w:tc>
              <w:tc>
                <w:tcPr>
                  <w:tcW w:w="2668" w:type="pct"/>
                  <w:tcBorders>
                    <w:tl2br w:val="nil"/>
                    <w:tr2bl w:val="nil"/>
                  </w:tcBorders>
                  <w:noWrap w:val="0"/>
                  <w:vAlign w:val="center"/>
                </w:tcPr>
                <w:p w14:paraId="085D4C77">
                  <w:pPr>
                    <w:pStyle w:val="41"/>
                    <w:bidi w:val="0"/>
                    <w:rPr>
                      <w:rFonts w:hint="eastAsia"/>
                      <w:color w:val="auto"/>
                      <w:highlight w:val="none"/>
                      <w:lang w:val="en-US" w:eastAsia="zh-CN"/>
                    </w:rPr>
                  </w:pPr>
                  <w:r>
                    <w:rPr>
                      <w:rFonts w:hint="eastAsia"/>
                      <w:color w:val="auto"/>
                      <w:highlight w:val="none"/>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1333" w:type="pct"/>
                  <w:tcBorders>
                    <w:tl2br w:val="nil"/>
                    <w:tr2bl w:val="nil"/>
                  </w:tcBorders>
                  <w:noWrap w:val="0"/>
                  <w:vAlign w:val="center"/>
                </w:tcPr>
                <w:p w14:paraId="0F285F39">
                  <w:pPr>
                    <w:pStyle w:val="41"/>
                    <w:bidi w:val="0"/>
                    <w:rPr>
                      <w:rFonts w:hint="default"/>
                      <w:color w:val="auto"/>
                      <w:highlight w:val="none"/>
                      <w:lang w:val="en-US" w:eastAsia="zh-CN"/>
                    </w:rPr>
                  </w:pPr>
                  <w:r>
                    <w:rPr>
                      <w:rFonts w:hint="eastAsia"/>
                      <w:color w:val="auto"/>
                      <w:highlight w:val="none"/>
                    </w:rPr>
                    <w:t>本项目</w:t>
                  </w:r>
                  <w:r>
                    <w:rPr>
                      <w:rFonts w:hint="eastAsia"/>
                      <w:color w:val="auto"/>
                      <w:highlight w:val="none"/>
                      <w:lang w:val="en-US" w:eastAsia="zh-CN"/>
                    </w:rPr>
                    <w:t>不属于化工、尾矿库项目。</w:t>
                  </w:r>
                </w:p>
              </w:tc>
              <w:tc>
                <w:tcPr>
                  <w:tcW w:w="487" w:type="pct"/>
                  <w:tcBorders>
                    <w:tl2br w:val="nil"/>
                    <w:tr2bl w:val="nil"/>
                  </w:tcBorders>
                  <w:noWrap w:val="0"/>
                  <w:vAlign w:val="center"/>
                </w:tcPr>
                <w:p w14:paraId="2DB64DC6">
                  <w:pPr>
                    <w:pStyle w:val="41"/>
                    <w:bidi w:val="0"/>
                    <w:rPr>
                      <w:rFonts w:hint="eastAsia"/>
                      <w:color w:val="auto"/>
                      <w:highlight w:val="none"/>
                      <w:lang w:val="en-US" w:eastAsia="zh-CN"/>
                    </w:rPr>
                  </w:pPr>
                  <w:r>
                    <w:rPr>
                      <w:rFonts w:hint="eastAsia"/>
                      <w:color w:val="auto"/>
                      <w:highlight w:val="none"/>
                      <w:lang w:val="en-US" w:eastAsia="zh-CN"/>
                    </w:rPr>
                    <w:t>相符</w:t>
                  </w:r>
                </w:p>
              </w:tc>
            </w:tr>
          </w:tbl>
          <w:p w14:paraId="5FC9A63C">
            <w:pPr>
              <w:pStyle w:val="41"/>
              <w:bidi w:val="0"/>
              <w:rPr>
                <w:rFonts w:hint="eastAsia"/>
              </w:rPr>
            </w:pPr>
          </w:p>
          <w:p w14:paraId="2B04946A">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b/>
                <w:bCs/>
                <w:color w:val="auto"/>
                <w:sz w:val="24"/>
                <w:highlight w:val="none"/>
              </w:rPr>
            </w:pPr>
            <w:r>
              <w:rPr>
                <w:rFonts w:hint="eastAsia"/>
                <w:b/>
                <w:bCs/>
                <w:color w:val="auto"/>
                <w:sz w:val="24"/>
                <w:highlight w:val="none"/>
              </w:rPr>
              <w:t>（</w:t>
            </w:r>
            <w:r>
              <w:rPr>
                <w:rFonts w:hint="eastAsia"/>
                <w:b/>
                <w:bCs/>
                <w:color w:val="auto"/>
                <w:sz w:val="24"/>
                <w:highlight w:val="none"/>
                <w:lang w:val="en-US" w:eastAsia="zh-CN"/>
              </w:rPr>
              <w:t>6</w:t>
            </w:r>
            <w:r>
              <w:rPr>
                <w:rFonts w:hint="eastAsia"/>
                <w:b/>
                <w:bCs/>
                <w:color w:val="auto"/>
                <w:sz w:val="24"/>
                <w:highlight w:val="none"/>
              </w:rPr>
              <w:t>）</w:t>
            </w:r>
            <w:r>
              <w:rPr>
                <w:b/>
                <w:bCs/>
                <w:color w:val="auto"/>
                <w:sz w:val="24"/>
                <w:highlight w:val="none"/>
              </w:rPr>
              <w:t>与</w:t>
            </w:r>
            <w:r>
              <w:rPr>
                <w:rFonts w:hint="eastAsia"/>
                <w:b/>
                <w:bCs/>
                <w:color w:val="auto"/>
                <w:highlight w:val="none"/>
              </w:rPr>
              <w:t>《南京市生态环境分区管控实施方案》（2023年更新版）</w:t>
            </w:r>
            <w:r>
              <w:rPr>
                <w:b/>
                <w:bCs/>
                <w:color w:val="auto"/>
                <w:sz w:val="24"/>
                <w:highlight w:val="none"/>
              </w:rPr>
              <w:t>相符性分析</w:t>
            </w:r>
          </w:p>
          <w:p w14:paraId="2FBE51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319905" cy="2791460"/>
                  <wp:effectExtent l="0" t="0" r="4445" b="8890"/>
                  <wp:docPr id="24" name="图片 24" descr="174353091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43530918174"/>
                          <pic:cNvPicPr>
                            <a:picLocks noChangeAspect="1"/>
                          </pic:cNvPicPr>
                        </pic:nvPicPr>
                        <pic:blipFill>
                          <a:blip r:embed="rId13"/>
                          <a:stretch>
                            <a:fillRect/>
                          </a:stretch>
                        </pic:blipFill>
                        <pic:spPr>
                          <a:xfrm>
                            <a:off x="0" y="0"/>
                            <a:ext cx="4319905" cy="2791460"/>
                          </a:xfrm>
                          <a:prstGeom prst="rect">
                            <a:avLst/>
                          </a:prstGeom>
                        </pic:spPr>
                      </pic:pic>
                    </a:graphicData>
                  </a:graphic>
                </wp:inline>
              </w:drawing>
            </w:r>
          </w:p>
          <w:p w14:paraId="44836FE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color w:val="auto"/>
                <w:highlight w:val="none"/>
              </w:rPr>
            </w:pPr>
            <w:r>
              <w:rPr>
                <w:rFonts w:hint="eastAsia"/>
                <w:b/>
                <w:bCs/>
                <w:color w:val="auto"/>
                <w:highlight w:val="none"/>
                <w:lang w:val="en-US" w:eastAsia="zh-CN"/>
              </w:rPr>
              <w:t>图1-1 在江苏省生态环境分区管控综合服务分析系统截图</w:t>
            </w:r>
          </w:p>
          <w:p w14:paraId="14E21D4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auto"/>
                <w:highlight w:val="none"/>
              </w:rPr>
            </w:pPr>
            <w:r>
              <w:rPr>
                <w:color w:val="auto"/>
                <w:highlight w:val="none"/>
              </w:rPr>
              <w:t>本项目位于</w:t>
            </w:r>
            <w:r>
              <w:rPr>
                <w:rFonts w:hint="eastAsia"/>
                <w:color w:val="auto"/>
                <w:sz w:val="24"/>
                <w:highlight w:val="none"/>
                <w:lang w:eastAsia="zh-CN"/>
              </w:rPr>
              <w:t>南京市江宁区高新园龙眠大道578号</w:t>
            </w:r>
            <w:r>
              <w:rPr>
                <w:rFonts w:hint="eastAsia"/>
                <w:color w:val="auto"/>
                <w:highlight w:val="none"/>
              </w:rPr>
              <w:t>，属于</w:t>
            </w:r>
            <w:r>
              <w:rPr>
                <w:rFonts w:hint="eastAsia"/>
                <w:color w:val="auto"/>
                <w:highlight w:val="none"/>
                <w:lang w:val="en-US" w:eastAsia="zh-CN"/>
              </w:rPr>
              <w:t>南京江宁经济技术开发区</w:t>
            </w:r>
            <w:r>
              <w:rPr>
                <w:color w:val="auto"/>
                <w:highlight w:val="none"/>
              </w:rPr>
              <w:t>，对照</w:t>
            </w:r>
            <w:r>
              <w:rPr>
                <w:rFonts w:hint="eastAsia"/>
                <w:color w:val="auto"/>
                <w:highlight w:val="none"/>
              </w:rPr>
              <w:t>《南京市生态环境分区管控实施方案》（2023年更新版）</w:t>
            </w:r>
            <w:r>
              <w:rPr>
                <w:color w:val="auto"/>
                <w:highlight w:val="none"/>
              </w:rPr>
              <w:t>可知，</w:t>
            </w:r>
            <w:r>
              <w:rPr>
                <w:rFonts w:hint="eastAsia"/>
                <w:color w:val="auto"/>
                <w:highlight w:val="none"/>
                <w:lang w:val="en-US" w:eastAsia="zh-CN"/>
              </w:rPr>
              <w:t>南京江宁经济技术开发区</w:t>
            </w:r>
            <w:r>
              <w:rPr>
                <w:color w:val="auto"/>
                <w:highlight w:val="none"/>
              </w:rPr>
              <w:t>属于重点管控单元，其重点管控要求与本项目相符性分析见</w:t>
            </w:r>
            <w:r>
              <w:rPr>
                <w:rFonts w:hint="eastAsia"/>
                <w:color w:val="auto"/>
                <w:highlight w:val="none"/>
              </w:rPr>
              <w:t>下表</w:t>
            </w:r>
            <w:r>
              <w:rPr>
                <w:color w:val="auto"/>
                <w:highlight w:val="none"/>
              </w:rPr>
              <w:t>。</w:t>
            </w:r>
          </w:p>
          <w:p w14:paraId="466BAFB4">
            <w:pPr>
              <w:pStyle w:val="43"/>
              <w:keepNext/>
              <w:keepLines/>
              <w:pageBreakBefore w:val="0"/>
              <w:widowControl w:val="0"/>
              <w:kinsoku/>
              <w:wordWrap/>
              <w:overflowPunct/>
              <w:topLinePunct w:val="0"/>
              <w:autoSpaceDE/>
              <w:autoSpaceDN/>
              <w:bidi w:val="0"/>
              <w:adjustRightInd w:val="0"/>
              <w:snapToGrid/>
              <w:ind w:left="0" w:firstLine="361" w:firstLineChars="150"/>
              <w:textAlignment w:val="baseline"/>
              <w:rPr>
                <w:color w:val="auto"/>
                <w:highlight w:val="none"/>
              </w:rPr>
            </w:pPr>
            <w:r>
              <w:rPr>
                <w:color w:val="auto"/>
                <w:highlight w:val="none"/>
              </w:rPr>
              <w:t>与</w:t>
            </w:r>
            <w:r>
              <w:rPr>
                <w:rFonts w:hint="eastAsia"/>
                <w:b/>
                <w:bCs/>
                <w:color w:val="auto"/>
                <w:highlight w:val="none"/>
              </w:rPr>
              <w:t>《南京市生态环境分区管控实施方案》（2023年更新版）</w:t>
            </w:r>
            <w:r>
              <w:rPr>
                <w:color w:val="auto"/>
                <w:highlight w:val="none"/>
              </w:rPr>
              <w:t>相符性分析</w:t>
            </w:r>
          </w:p>
          <w:tbl>
            <w:tblPr>
              <w:tblStyle w:val="32"/>
              <w:tblW w:w="4997"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453"/>
              <w:gridCol w:w="4493"/>
              <w:gridCol w:w="2140"/>
              <w:gridCol w:w="637"/>
            </w:tblGrid>
            <w:tr w14:paraId="2F7C8AE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225" w:type="pct"/>
                  <w:gridSpan w:val="2"/>
                  <w:tcBorders>
                    <w:tl2br w:val="nil"/>
                    <w:tr2bl w:val="nil"/>
                  </w:tcBorders>
                  <w:noWrap w:val="0"/>
                  <w:vAlign w:val="center"/>
                </w:tcPr>
                <w:p w14:paraId="050891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生态环境准入清单</w:t>
                  </w:r>
                </w:p>
              </w:tc>
              <w:tc>
                <w:tcPr>
                  <w:tcW w:w="1397" w:type="pct"/>
                  <w:tcBorders>
                    <w:tl2br w:val="nil"/>
                    <w:tr2bl w:val="nil"/>
                  </w:tcBorders>
                  <w:noWrap w:val="0"/>
                  <w:vAlign w:val="center"/>
                </w:tcPr>
                <w:p w14:paraId="7F7284F0">
                  <w:pPr>
                    <w:pStyle w:val="41"/>
                    <w:keepNext w:val="0"/>
                    <w:keepLines w:val="0"/>
                    <w:pageBreakBefore w:val="0"/>
                    <w:kinsoku/>
                    <w:wordWrap/>
                    <w:overflowPunct/>
                    <w:topLinePunct w:val="0"/>
                    <w:autoSpaceDE/>
                    <w:autoSpaceDN/>
                    <w:bidi w:val="0"/>
                    <w:adjustRightInd/>
                    <w:snapToGrid/>
                    <w:spacing w:after="0"/>
                    <w:ind w:firstLine="0" w:firstLineChars="0"/>
                    <w:rPr>
                      <w:rFonts w:hint="eastAsia"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cs="Times New Roman"/>
                      <w:b/>
                      <w:bCs/>
                      <w:color w:val="auto"/>
                      <w:sz w:val="21"/>
                      <w:szCs w:val="21"/>
                      <w:highlight w:val="none"/>
                    </w:rPr>
                    <w:t>本项目情况</w:t>
                  </w:r>
                </w:p>
              </w:tc>
              <w:tc>
                <w:tcPr>
                  <w:tcW w:w="377" w:type="pct"/>
                  <w:tcBorders>
                    <w:tl2br w:val="nil"/>
                    <w:tr2bl w:val="nil"/>
                  </w:tcBorders>
                  <w:noWrap w:val="0"/>
                  <w:vAlign w:val="center"/>
                </w:tcPr>
                <w:p w14:paraId="27CBB705">
                  <w:pPr>
                    <w:pStyle w:val="41"/>
                    <w:keepNext w:val="0"/>
                    <w:keepLines w:val="0"/>
                    <w:pageBreakBefore w:val="0"/>
                    <w:kinsoku/>
                    <w:wordWrap/>
                    <w:overflowPunct/>
                    <w:topLinePunct w:val="0"/>
                    <w:autoSpaceDE/>
                    <w:autoSpaceDN/>
                    <w:bidi w:val="0"/>
                    <w:adjustRightInd/>
                    <w:snapToGrid/>
                    <w:spacing w:after="0"/>
                    <w:ind w:firstLine="0" w:firstLineChars="0"/>
                    <w:rPr>
                      <w:rFonts w:hint="eastAsia"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cs="Times New Roman"/>
                      <w:b/>
                      <w:bCs/>
                      <w:color w:val="auto"/>
                      <w:sz w:val="21"/>
                      <w:szCs w:val="21"/>
                      <w:highlight w:val="none"/>
                    </w:rPr>
                    <w:t>相符性</w:t>
                  </w:r>
                </w:p>
              </w:tc>
            </w:tr>
            <w:tr w14:paraId="3D8E9E4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restart"/>
                  <w:tcBorders>
                    <w:tl2br w:val="nil"/>
                    <w:tr2bl w:val="nil"/>
                  </w:tcBorders>
                  <w:noWrap w:val="0"/>
                  <w:vAlign w:val="center"/>
                </w:tcPr>
                <w:p w14:paraId="709383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空间布局约束</w:t>
                  </w:r>
                </w:p>
              </w:tc>
              <w:tc>
                <w:tcPr>
                  <w:tcW w:w="2920" w:type="pct"/>
                  <w:tcBorders>
                    <w:tl2br w:val="nil"/>
                    <w:tr2bl w:val="nil"/>
                  </w:tcBorders>
                  <w:noWrap w:val="0"/>
                  <w:vAlign w:val="center"/>
                </w:tcPr>
                <w:p w14:paraId="297C25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（1）执行规划和规划环评及其审查意见相关要求。</w:t>
                  </w:r>
                </w:p>
              </w:tc>
              <w:tc>
                <w:tcPr>
                  <w:tcW w:w="1397" w:type="pct"/>
                  <w:tcBorders>
                    <w:tl2br w:val="nil"/>
                    <w:tr2bl w:val="nil"/>
                  </w:tcBorders>
                  <w:noWrap w:val="0"/>
                  <w:vAlign w:val="center"/>
                </w:tcPr>
                <w:p w14:paraId="227A4F8D">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eastAsia" w:ascii="方正仿宋_GBK" w:hAnsi="方正仿宋_GBK" w:eastAsia="方正仿宋_GBK" w:cs="方正仿宋_GBK"/>
                      <w:i w:val="0"/>
                      <w:iCs w:val="0"/>
                      <w:color w:val="auto"/>
                      <w:sz w:val="21"/>
                      <w:szCs w:val="21"/>
                      <w:highlight w:val="none"/>
                      <w:u w:val="none"/>
                      <w:lang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本项目符合</w:t>
                  </w:r>
                  <w:r>
                    <w:rPr>
                      <w:rFonts w:hint="default" w:ascii="Times New Roman" w:hAnsi="Times New Roman" w:eastAsia="宋体" w:cs="Times New Roman"/>
                      <w:i w:val="0"/>
                      <w:iCs w:val="0"/>
                      <w:color w:val="auto"/>
                      <w:kern w:val="0"/>
                      <w:sz w:val="21"/>
                      <w:szCs w:val="21"/>
                      <w:highlight w:val="none"/>
                      <w:u w:val="none"/>
                      <w:lang w:val="en-US" w:eastAsia="zh-CN" w:bidi="ar"/>
                    </w:rPr>
                    <w:t>规划和规划环评及其审查意见相关要求</w:t>
                  </w: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377" w:type="pct"/>
                  <w:tcBorders>
                    <w:tl2br w:val="nil"/>
                    <w:tr2bl w:val="nil"/>
                  </w:tcBorders>
                  <w:noWrap w:val="0"/>
                  <w:vAlign w:val="center"/>
                </w:tcPr>
                <w:p w14:paraId="5A38397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i w:val="0"/>
                      <w:iCs w:val="0"/>
                      <w:color w:val="auto"/>
                      <w:sz w:val="21"/>
                      <w:szCs w:val="21"/>
                      <w:highlight w:val="none"/>
                      <w:u w:val="none"/>
                      <w:lang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相符</w:t>
                  </w:r>
                </w:p>
              </w:tc>
            </w:tr>
            <w:tr w14:paraId="6BDBA34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6D98150A">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10BB94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（2）优先引入：生物医药、新能源、节能环保、新材料、智能电网、绿色智能汽车、新一代信息技术、高端智能制造装备、轨道交通产业、航空制造及临空高科技产业。</w:t>
                  </w:r>
                </w:p>
              </w:tc>
              <w:tc>
                <w:tcPr>
                  <w:tcW w:w="1397" w:type="pct"/>
                  <w:vMerge w:val="restart"/>
                  <w:tcBorders>
                    <w:tl2br w:val="nil"/>
                    <w:tr2bl w:val="nil"/>
                  </w:tcBorders>
                  <w:noWrap w:val="0"/>
                  <w:vAlign w:val="center"/>
                </w:tcPr>
                <w:p w14:paraId="1891801A">
                  <w:pPr>
                    <w:pStyle w:val="41"/>
                    <w:bidi w:val="0"/>
                    <w:rPr>
                      <w:rFonts w:hint="default"/>
                      <w:color w:val="auto"/>
                      <w:highlight w:val="none"/>
                    </w:rPr>
                  </w:pPr>
                  <w:r>
                    <w:rPr>
                      <w:rFonts w:hint="eastAsia"/>
                      <w:color w:val="auto"/>
                      <w:highlight w:val="none"/>
                      <w:lang w:val="en-US" w:eastAsia="zh-CN"/>
                    </w:rPr>
                    <w:t>本项目主要进行中药研发。本项目不属于淳化-湖熟片区的禁止发展产业，功能定位符合规划要求。</w:t>
                  </w:r>
                </w:p>
              </w:tc>
              <w:tc>
                <w:tcPr>
                  <w:tcW w:w="377" w:type="pct"/>
                  <w:vMerge w:val="restart"/>
                  <w:tcBorders>
                    <w:tl2br w:val="nil"/>
                    <w:tr2bl w:val="nil"/>
                  </w:tcBorders>
                  <w:noWrap w:val="0"/>
                  <w:vAlign w:val="center"/>
                </w:tcPr>
                <w:p w14:paraId="09572B5A">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相符</w:t>
                  </w:r>
                </w:p>
              </w:tc>
            </w:tr>
            <w:tr w14:paraId="62691B5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10A44B3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446996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（3）禁止引入：</w:t>
                  </w:r>
                </w:p>
              </w:tc>
              <w:tc>
                <w:tcPr>
                  <w:tcW w:w="1397" w:type="pct"/>
                  <w:vMerge w:val="continue"/>
                  <w:tcBorders>
                    <w:tl2br w:val="nil"/>
                    <w:tr2bl w:val="nil"/>
                  </w:tcBorders>
                  <w:noWrap w:val="0"/>
                  <w:vAlign w:val="center"/>
                </w:tcPr>
                <w:p w14:paraId="7AC9B6CB">
                  <w:pPr>
                    <w:pStyle w:val="41"/>
                    <w:bidi w:val="0"/>
                    <w:rPr>
                      <w:rFonts w:hint="default"/>
                      <w:color w:val="auto"/>
                      <w:highlight w:val="none"/>
                    </w:rPr>
                  </w:pPr>
                </w:p>
              </w:tc>
              <w:tc>
                <w:tcPr>
                  <w:tcW w:w="377" w:type="pct"/>
                  <w:vMerge w:val="continue"/>
                  <w:tcBorders>
                    <w:tl2br w:val="nil"/>
                    <w:tr2bl w:val="nil"/>
                  </w:tcBorders>
                  <w:noWrap w:val="0"/>
                  <w:vAlign w:val="center"/>
                </w:tcPr>
                <w:p w14:paraId="5E9EFD8B">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r>
            <w:tr w14:paraId="467BD66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148CEBD6">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14369F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总体：新（扩）建酿造、制革等水污染重的项目，新（扩）建工业生产废水排水量大于1000吨／日的项目；新（扩）建排放含汞、砷、镉、铬、铅等重金属以及持久性有机污染物的工业项目。</w:t>
                  </w:r>
                </w:p>
              </w:tc>
              <w:tc>
                <w:tcPr>
                  <w:tcW w:w="1397" w:type="pct"/>
                  <w:vMerge w:val="continue"/>
                  <w:tcBorders>
                    <w:tl2br w:val="nil"/>
                    <w:tr2bl w:val="nil"/>
                  </w:tcBorders>
                  <w:noWrap w:val="0"/>
                  <w:vAlign w:val="center"/>
                </w:tcPr>
                <w:p w14:paraId="6574EBDF">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c>
                <w:tcPr>
                  <w:tcW w:w="377" w:type="pct"/>
                  <w:vMerge w:val="continue"/>
                  <w:tcBorders>
                    <w:tl2br w:val="nil"/>
                    <w:tr2bl w:val="nil"/>
                  </w:tcBorders>
                  <w:noWrap w:val="0"/>
                  <w:vAlign w:val="center"/>
                </w:tcPr>
                <w:p w14:paraId="579DD6A8">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r>
            <w:tr w14:paraId="6511157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2B72734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7EC94F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生物医药产业：化学原药合成生产等重污染及风险较大的项目；采用珍稀动植物生产中成药项目；建设使用P3、P4实验室（除符合国家生物安全实验室体系规划的项目）。</w:t>
                  </w:r>
                </w:p>
              </w:tc>
              <w:tc>
                <w:tcPr>
                  <w:tcW w:w="1397" w:type="pct"/>
                  <w:vMerge w:val="continue"/>
                  <w:tcBorders>
                    <w:tl2br w:val="nil"/>
                    <w:tr2bl w:val="nil"/>
                  </w:tcBorders>
                  <w:noWrap w:val="0"/>
                  <w:vAlign w:val="center"/>
                </w:tcPr>
                <w:p w14:paraId="195005F2">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c>
                <w:tcPr>
                  <w:tcW w:w="377" w:type="pct"/>
                  <w:vMerge w:val="continue"/>
                  <w:tcBorders>
                    <w:tl2br w:val="nil"/>
                    <w:tr2bl w:val="nil"/>
                  </w:tcBorders>
                  <w:noWrap w:val="0"/>
                  <w:vAlign w:val="center"/>
                </w:tcPr>
                <w:p w14:paraId="06581B4E">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r>
            <w:tr w14:paraId="2EAE76C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2506D78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7DCE8F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新材料产业：新增化工新材料项目。</w:t>
                  </w:r>
                </w:p>
              </w:tc>
              <w:tc>
                <w:tcPr>
                  <w:tcW w:w="1397" w:type="pct"/>
                  <w:vMerge w:val="continue"/>
                  <w:tcBorders>
                    <w:tl2br w:val="nil"/>
                    <w:tr2bl w:val="nil"/>
                  </w:tcBorders>
                  <w:noWrap w:val="0"/>
                  <w:vAlign w:val="center"/>
                </w:tcPr>
                <w:p w14:paraId="5011C975">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c>
                <w:tcPr>
                  <w:tcW w:w="377" w:type="pct"/>
                  <w:vMerge w:val="continue"/>
                  <w:tcBorders>
                    <w:tl2br w:val="nil"/>
                    <w:tr2bl w:val="nil"/>
                  </w:tcBorders>
                  <w:noWrap w:val="0"/>
                  <w:vAlign w:val="center"/>
                </w:tcPr>
                <w:p w14:paraId="17A51BAF">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r>
            <w:tr w14:paraId="1077CC6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30C574E7">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584EFC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新能源产业：污染严重的太阳能光伏产业上游企业（单晶、多晶硅棒生产）。</w:t>
                  </w:r>
                </w:p>
              </w:tc>
              <w:tc>
                <w:tcPr>
                  <w:tcW w:w="1397" w:type="pct"/>
                  <w:vMerge w:val="continue"/>
                  <w:tcBorders>
                    <w:tl2br w:val="nil"/>
                    <w:tr2bl w:val="nil"/>
                  </w:tcBorders>
                  <w:noWrap w:val="0"/>
                  <w:vAlign w:val="center"/>
                </w:tcPr>
                <w:p w14:paraId="2666C02E">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c>
                <w:tcPr>
                  <w:tcW w:w="377" w:type="pct"/>
                  <w:vMerge w:val="continue"/>
                  <w:tcBorders>
                    <w:tl2br w:val="nil"/>
                    <w:tr2bl w:val="nil"/>
                  </w:tcBorders>
                  <w:noWrap w:val="0"/>
                  <w:vAlign w:val="center"/>
                </w:tcPr>
                <w:p w14:paraId="7E2AE041">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r>
            <w:tr w14:paraId="3AD55A8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48610D04">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3F1915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智能电网产业：含铅焊接工艺项目。</w:t>
                  </w:r>
                </w:p>
              </w:tc>
              <w:tc>
                <w:tcPr>
                  <w:tcW w:w="1397" w:type="pct"/>
                  <w:vMerge w:val="continue"/>
                  <w:tcBorders>
                    <w:tl2br w:val="nil"/>
                    <w:tr2bl w:val="nil"/>
                  </w:tcBorders>
                  <w:noWrap w:val="0"/>
                  <w:vAlign w:val="center"/>
                </w:tcPr>
                <w:p w14:paraId="22394320">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c>
                <w:tcPr>
                  <w:tcW w:w="377" w:type="pct"/>
                  <w:vMerge w:val="continue"/>
                  <w:tcBorders>
                    <w:tl2br w:val="nil"/>
                    <w:tr2bl w:val="nil"/>
                  </w:tcBorders>
                  <w:noWrap w:val="0"/>
                  <w:vAlign w:val="center"/>
                </w:tcPr>
                <w:p w14:paraId="56B68A84">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r>
            <w:tr w14:paraId="78F8212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0C2A26E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3DAEC4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绿色智能汽车：4档以下机械式车用自动变速箱。</w:t>
                  </w:r>
                </w:p>
              </w:tc>
              <w:tc>
                <w:tcPr>
                  <w:tcW w:w="1397" w:type="pct"/>
                  <w:vMerge w:val="continue"/>
                  <w:tcBorders>
                    <w:tl2br w:val="nil"/>
                    <w:tr2bl w:val="nil"/>
                  </w:tcBorders>
                  <w:noWrap w:val="0"/>
                  <w:vAlign w:val="center"/>
                </w:tcPr>
                <w:p w14:paraId="550BE246">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c>
                <w:tcPr>
                  <w:tcW w:w="377" w:type="pct"/>
                  <w:vMerge w:val="continue"/>
                  <w:tcBorders>
                    <w:tl2br w:val="nil"/>
                    <w:tr2bl w:val="nil"/>
                  </w:tcBorders>
                  <w:noWrap w:val="0"/>
                  <w:vAlign w:val="center"/>
                </w:tcPr>
                <w:p w14:paraId="2B9EBC59">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r>
            <w:tr w14:paraId="00A9239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60A969B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53D27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（4）邻近生活区的工业用地，禁止引进废气污染物排放量大、无组织污染严重的项目，距离居住用地100m范围内不布置含喷涂、酸洗等排放异味气体的生产工序和危化品仓库。</w:t>
                  </w:r>
                </w:p>
              </w:tc>
              <w:tc>
                <w:tcPr>
                  <w:tcW w:w="1397" w:type="pct"/>
                  <w:tcBorders>
                    <w:tl2br w:val="nil"/>
                    <w:tr2bl w:val="nil"/>
                  </w:tcBorders>
                  <w:noWrap w:val="0"/>
                  <w:vAlign w:val="center"/>
                </w:tcPr>
                <w:p w14:paraId="15AC5C86">
                  <w:pPr>
                    <w:pStyle w:val="41"/>
                    <w:bidi w:val="0"/>
                    <w:rPr>
                      <w:rFonts w:hint="eastAsia"/>
                      <w:color w:val="auto"/>
                      <w:highlight w:val="none"/>
                      <w:lang w:eastAsia="zh-CN"/>
                    </w:rPr>
                  </w:pPr>
                  <w:r>
                    <w:rPr>
                      <w:rFonts w:hint="eastAsia"/>
                      <w:color w:val="auto"/>
                      <w:highlight w:val="none"/>
                      <w:lang w:val="en-US" w:eastAsia="zh-CN"/>
                    </w:rPr>
                    <w:t>本项目不属于</w:t>
                  </w:r>
                  <w:r>
                    <w:rPr>
                      <w:rFonts w:hint="default"/>
                      <w:color w:val="auto"/>
                      <w:highlight w:val="none"/>
                      <w:lang w:val="en-US" w:eastAsia="zh-CN"/>
                    </w:rPr>
                    <w:t>污染物排放量大、无组织污染严重的项目，</w:t>
                  </w:r>
                  <w:r>
                    <w:rPr>
                      <w:rFonts w:hint="eastAsia"/>
                      <w:color w:val="auto"/>
                      <w:highlight w:val="none"/>
                      <w:lang w:val="en-US" w:eastAsia="zh-CN"/>
                    </w:rPr>
                    <w:t>不涉及</w:t>
                  </w:r>
                  <w:r>
                    <w:rPr>
                      <w:rFonts w:hint="default" w:ascii="Times New Roman" w:hAnsi="Times New Roman" w:eastAsia="宋体" w:cs="Times New Roman"/>
                      <w:i w:val="0"/>
                      <w:iCs w:val="0"/>
                      <w:color w:val="auto"/>
                      <w:kern w:val="0"/>
                      <w:sz w:val="21"/>
                      <w:szCs w:val="21"/>
                      <w:highlight w:val="none"/>
                      <w:u w:val="none"/>
                      <w:lang w:val="en-US" w:eastAsia="zh-CN" w:bidi="ar"/>
                    </w:rPr>
                    <w:t>喷涂、酸洗等排放异味气体的生产工序和危化品仓库</w:t>
                  </w:r>
                  <w:r>
                    <w:rPr>
                      <w:rFonts w:hint="default"/>
                      <w:color w:val="auto"/>
                      <w:highlight w:val="none"/>
                      <w:lang w:val="en-US" w:eastAsia="zh-CN"/>
                    </w:rPr>
                    <w:t>。</w:t>
                  </w:r>
                </w:p>
              </w:tc>
              <w:tc>
                <w:tcPr>
                  <w:tcW w:w="377" w:type="pct"/>
                  <w:tcBorders>
                    <w:tl2br w:val="nil"/>
                    <w:tr2bl w:val="nil"/>
                  </w:tcBorders>
                  <w:noWrap w:val="0"/>
                  <w:vAlign w:val="center"/>
                </w:tcPr>
                <w:p w14:paraId="0D5062D7">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相符</w:t>
                  </w:r>
                </w:p>
              </w:tc>
            </w:tr>
            <w:tr w14:paraId="432A70E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restart"/>
                  <w:tcBorders>
                    <w:tl2br w:val="nil"/>
                    <w:tr2bl w:val="nil"/>
                  </w:tcBorders>
                  <w:noWrap w:val="0"/>
                  <w:vAlign w:val="center"/>
                </w:tcPr>
                <w:p w14:paraId="0067FC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污染物排放管控</w:t>
                  </w:r>
                </w:p>
              </w:tc>
              <w:tc>
                <w:tcPr>
                  <w:tcW w:w="2920" w:type="pct"/>
                  <w:tcBorders>
                    <w:tl2br w:val="nil"/>
                    <w:tr2bl w:val="nil"/>
                  </w:tcBorders>
                  <w:noWrap w:val="0"/>
                  <w:vAlign w:val="center"/>
                </w:tcPr>
                <w:p w14:paraId="011991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（1）严格实施主要污染物总量控制，采取有效措施，持续减少主要污染物排放总量，确保区域环境质量持续改善。</w:t>
                  </w:r>
                </w:p>
              </w:tc>
              <w:tc>
                <w:tcPr>
                  <w:tcW w:w="1397" w:type="pct"/>
                  <w:vMerge w:val="restart"/>
                  <w:tcBorders>
                    <w:tl2br w:val="nil"/>
                    <w:tr2bl w:val="nil"/>
                  </w:tcBorders>
                  <w:noWrap w:val="0"/>
                  <w:vAlign w:val="center"/>
                </w:tcPr>
                <w:p w14:paraId="19CE7A18">
                  <w:pPr>
                    <w:pStyle w:val="41"/>
                    <w:bidi w:val="0"/>
                    <w:rPr>
                      <w:rFonts w:hint="default"/>
                      <w:color w:val="auto"/>
                      <w:highlight w:val="none"/>
                    </w:rPr>
                  </w:pPr>
                  <w:r>
                    <w:rPr>
                      <w:rFonts w:hint="default"/>
                      <w:color w:val="auto"/>
                      <w:highlight w:val="none"/>
                      <w:lang w:val="zh-CN"/>
                    </w:rPr>
                    <w:t>本项目已向南京市江宁生态环境局申请总量，废水污染物由江宁区水减排项目平衡，废气污染物由江宁区大气减排项目平衡。项目实施后将严格落实污染物总量控制制度。</w:t>
                  </w:r>
                </w:p>
              </w:tc>
              <w:tc>
                <w:tcPr>
                  <w:tcW w:w="377" w:type="pct"/>
                  <w:vMerge w:val="restart"/>
                  <w:tcBorders>
                    <w:tl2br w:val="nil"/>
                    <w:tr2bl w:val="nil"/>
                  </w:tcBorders>
                  <w:noWrap w:val="0"/>
                  <w:vAlign w:val="center"/>
                </w:tcPr>
                <w:p w14:paraId="06554D05">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相符</w:t>
                  </w:r>
                </w:p>
              </w:tc>
            </w:tr>
            <w:tr w14:paraId="33A6A75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368EC72F">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195534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（2）有序推进工业园区开展限值限量管理，实现污染物排放浓度和总量</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双控</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97" w:type="pct"/>
                  <w:vMerge w:val="continue"/>
                  <w:tcBorders>
                    <w:tl2br w:val="nil"/>
                    <w:tr2bl w:val="nil"/>
                  </w:tcBorders>
                  <w:noWrap w:val="0"/>
                  <w:vAlign w:val="center"/>
                </w:tcPr>
                <w:p w14:paraId="715E41CE">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c>
                <w:tcPr>
                  <w:tcW w:w="377" w:type="pct"/>
                  <w:vMerge w:val="continue"/>
                  <w:tcBorders>
                    <w:tl2br w:val="nil"/>
                    <w:tr2bl w:val="nil"/>
                  </w:tcBorders>
                  <w:noWrap w:val="0"/>
                  <w:vAlign w:val="center"/>
                </w:tcPr>
                <w:p w14:paraId="2950A4C6">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r>
            <w:tr w14:paraId="29A71AA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5FEFDF44">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5285DE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（3）加强绿色智能汽车产业、电子信息产业、橡胶和塑料制品业以及装备制造业（含高端装备制造）的非甲烷总烃排放控制。</w:t>
                  </w:r>
                </w:p>
              </w:tc>
              <w:tc>
                <w:tcPr>
                  <w:tcW w:w="1397" w:type="pct"/>
                  <w:vMerge w:val="continue"/>
                  <w:tcBorders>
                    <w:tl2br w:val="nil"/>
                    <w:tr2bl w:val="nil"/>
                  </w:tcBorders>
                  <w:noWrap w:val="0"/>
                  <w:vAlign w:val="center"/>
                </w:tcPr>
                <w:p w14:paraId="2D8BE37A">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c>
                <w:tcPr>
                  <w:tcW w:w="377" w:type="pct"/>
                  <w:vMerge w:val="continue"/>
                  <w:tcBorders>
                    <w:tl2br w:val="nil"/>
                    <w:tr2bl w:val="nil"/>
                  </w:tcBorders>
                  <w:noWrap w:val="0"/>
                  <w:vAlign w:val="center"/>
                </w:tcPr>
                <w:p w14:paraId="46DF312E">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r>
            <w:tr w14:paraId="6D75B31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47246EE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1B8072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（4）严格执行重金属污染物排放管控要求。</w:t>
                  </w:r>
                </w:p>
              </w:tc>
              <w:tc>
                <w:tcPr>
                  <w:tcW w:w="1397" w:type="pct"/>
                  <w:vMerge w:val="continue"/>
                  <w:tcBorders>
                    <w:tl2br w:val="nil"/>
                    <w:tr2bl w:val="nil"/>
                  </w:tcBorders>
                  <w:noWrap w:val="0"/>
                  <w:vAlign w:val="center"/>
                </w:tcPr>
                <w:p w14:paraId="0CE14113">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c>
                <w:tcPr>
                  <w:tcW w:w="377" w:type="pct"/>
                  <w:vMerge w:val="continue"/>
                  <w:tcBorders>
                    <w:tl2br w:val="nil"/>
                    <w:tr2bl w:val="nil"/>
                  </w:tcBorders>
                  <w:noWrap w:val="0"/>
                  <w:vAlign w:val="center"/>
                </w:tcPr>
                <w:p w14:paraId="3A8F4377">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r>
            <w:tr w14:paraId="12A133D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restart"/>
                  <w:tcBorders>
                    <w:tl2br w:val="nil"/>
                    <w:tr2bl w:val="nil"/>
                  </w:tcBorders>
                  <w:noWrap w:val="0"/>
                  <w:vAlign w:val="center"/>
                </w:tcPr>
                <w:p w14:paraId="47A598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bookmarkStart w:id="29" w:name="OLE_LINK43" w:colFirst="2" w:colLast="2"/>
                  <w:r>
                    <w:rPr>
                      <w:rFonts w:hint="default" w:ascii="Times New Roman" w:hAnsi="Times New Roman" w:eastAsia="宋体" w:cs="Times New Roman"/>
                      <w:i w:val="0"/>
                      <w:iCs w:val="0"/>
                      <w:color w:val="auto"/>
                      <w:kern w:val="0"/>
                      <w:sz w:val="21"/>
                      <w:szCs w:val="21"/>
                      <w:highlight w:val="none"/>
                      <w:u w:val="none"/>
                      <w:lang w:val="en-US" w:eastAsia="zh-CN" w:bidi="ar"/>
                    </w:rPr>
                    <w:t>环境风险防控</w:t>
                  </w:r>
                </w:p>
              </w:tc>
              <w:tc>
                <w:tcPr>
                  <w:tcW w:w="2920" w:type="pct"/>
                  <w:tcBorders>
                    <w:tl2br w:val="nil"/>
                    <w:tr2bl w:val="nil"/>
                  </w:tcBorders>
                  <w:noWrap w:val="0"/>
                  <w:vAlign w:val="center"/>
                </w:tcPr>
                <w:p w14:paraId="01DB93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（1）建设突发水污染事件应急防控体系，完善</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企业</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公共管网</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区内水体</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水污染三级防控基础设施建设。</w:t>
                  </w:r>
                </w:p>
              </w:tc>
              <w:tc>
                <w:tcPr>
                  <w:tcW w:w="1397" w:type="pct"/>
                  <w:tcBorders>
                    <w:tl2br w:val="nil"/>
                    <w:tr2bl w:val="nil"/>
                  </w:tcBorders>
                  <w:noWrap w:val="0"/>
                  <w:vAlign w:val="center"/>
                </w:tcPr>
                <w:p w14:paraId="6AC1EC6C">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bookmarkStart w:id="30" w:name="OLE_LINK44"/>
                  <w:r>
                    <w:rPr>
                      <w:rFonts w:hint="eastAsia" w:ascii="Times New Roman" w:hAnsi="Times New Roman" w:eastAsia="宋体" w:cs="Times New Roman"/>
                      <w:color w:val="auto"/>
                      <w:sz w:val="21"/>
                      <w:szCs w:val="21"/>
                      <w:highlight w:val="none"/>
                      <w:lang w:val="zh-CN"/>
                    </w:rPr>
                    <w:t>本项目</w:t>
                  </w:r>
                  <w:r>
                    <w:rPr>
                      <w:rFonts w:hint="eastAsia" w:cs="Times New Roman"/>
                      <w:color w:val="auto"/>
                      <w:sz w:val="21"/>
                      <w:szCs w:val="21"/>
                      <w:highlight w:val="none"/>
                      <w:lang w:val="en-US" w:eastAsia="zh-CN"/>
                    </w:rPr>
                    <w:t>建成后配合园区</w:t>
                  </w:r>
                  <w:r>
                    <w:rPr>
                      <w:rFonts w:hint="eastAsia" w:ascii="Times New Roman" w:hAnsi="Times New Roman" w:eastAsia="宋体" w:cs="Times New Roman"/>
                      <w:color w:val="auto"/>
                      <w:sz w:val="21"/>
                      <w:szCs w:val="21"/>
                      <w:highlight w:val="none"/>
                      <w:lang w:val="zh-CN"/>
                    </w:rPr>
                    <w:t>建立</w:t>
                  </w:r>
                  <w:r>
                    <w:rPr>
                      <w:rFonts w:hint="default" w:ascii="Times New Roman" w:hAnsi="Times New Roman" w:eastAsia="宋体" w:cs="Times New Roman"/>
                      <w:i w:val="0"/>
                      <w:iCs w:val="0"/>
                      <w:color w:val="auto"/>
                      <w:kern w:val="0"/>
                      <w:sz w:val="21"/>
                      <w:szCs w:val="21"/>
                      <w:highlight w:val="none"/>
                      <w:u w:val="none"/>
                      <w:lang w:val="en-US" w:eastAsia="zh-CN" w:bidi="ar"/>
                    </w:rPr>
                    <w:t>突发水污染事件三级防控体系</w:t>
                  </w:r>
                  <w:r>
                    <w:rPr>
                      <w:rFonts w:hint="eastAsia" w:ascii="Times New Roman" w:hAnsi="Times New Roman" w:eastAsia="宋体" w:cs="Times New Roman"/>
                      <w:i w:val="0"/>
                      <w:iCs w:val="0"/>
                      <w:color w:val="auto"/>
                      <w:kern w:val="0"/>
                      <w:sz w:val="21"/>
                      <w:szCs w:val="21"/>
                      <w:highlight w:val="none"/>
                      <w:u w:val="none"/>
                      <w:lang w:val="en-US" w:eastAsia="zh-CN" w:bidi="ar"/>
                    </w:rPr>
                    <w:t>。</w:t>
                  </w:r>
                  <w:bookmarkEnd w:id="30"/>
                </w:p>
              </w:tc>
              <w:tc>
                <w:tcPr>
                  <w:tcW w:w="377" w:type="pct"/>
                  <w:tcBorders>
                    <w:tl2br w:val="nil"/>
                    <w:tr2bl w:val="nil"/>
                  </w:tcBorders>
                  <w:noWrap w:val="0"/>
                  <w:vAlign w:val="center"/>
                </w:tcPr>
                <w:p w14:paraId="2D89520B">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相符</w:t>
                  </w:r>
                </w:p>
              </w:tc>
            </w:tr>
            <w:bookmarkEnd w:id="29"/>
            <w:tr w14:paraId="35B4EF8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0CA58C69">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557D7C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（2）建立监测应急体系，建设</w:t>
                  </w:r>
                  <w:r>
                    <w:rPr>
                      <w:rFonts w:hint="eastAsia" w:ascii="Times New Roman" w:hAnsi="Times New Roman" w:eastAsia="宋体" w:cs="Times New Roman"/>
                      <w:i w:val="0"/>
                      <w:iCs w:val="0"/>
                      <w:color w:val="auto"/>
                      <w:kern w:val="0"/>
                      <w:sz w:val="21"/>
                      <w:szCs w:val="21"/>
                      <w:highlight w:val="none"/>
                      <w:u w:val="none"/>
                      <w:lang w:val="en-US" w:eastAsia="zh-CN" w:bidi="ar"/>
                    </w:rPr>
                    <w:t>省区市</w:t>
                  </w:r>
                  <w:r>
                    <w:rPr>
                      <w:rFonts w:hint="default" w:ascii="Times New Roman" w:hAnsi="Times New Roman" w:eastAsia="宋体" w:cs="Times New Roman"/>
                      <w:i w:val="0"/>
                      <w:iCs w:val="0"/>
                      <w:color w:val="auto"/>
                      <w:kern w:val="0"/>
                      <w:sz w:val="21"/>
                      <w:szCs w:val="21"/>
                      <w:highlight w:val="none"/>
                      <w:u w:val="none"/>
                      <w:lang w:val="en-US" w:eastAsia="zh-CN" w:bidi="ar"/>
                    </w:rPr>
                    <w:t>上下联动、区域之间左右联动等联动应急响应体系，实行联动防控。</w:t>
                  </w:r>
                </w:p>
              </w:tc>
              <w:tc>
                <w:tcPr>
                  <w:tcW w:w="1397" w:type="pct"/>
                  <w:vMerge w:val="restart"/>
                  <w:tcBorders>
                    <w:tl2br w:val="nil"/>
                    <w:tr2bl w:val="nil"/>
                  </w:tcBorders>
                  <w:noWrap w:val="0"/>
                  <w:vAlign w:val="center"/>
                </w:tcPr>
                <w:p w14:paraId="39ABD198">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r>
                    <w:rPr>
                      <w:rFonts w:hint="default" w:ascii="Times New Roman" w:hAnsi="Times New Roman" w:eastAsia="宋体" w:cs="Times New Roman"/>
                      <w:color w:val="auto"/>
                      <w:sz w:val="21"/>
                      <w:szCs w:val="21"/>
                      <w:highlight w:val="none"/>
                      <w:lang w:val="zh-CN"/>
                    </w:rPr>
                    <w:t>项目建成后企业应编制突发环境事件应急预案，并定期开展演练。</w:t>
                  </w:r>
                </w:p>
              </w:tc>
              <w:tc>
                <w:tcPr>
                  <w:tcW w:w="377" w:type="pct"/>
                  <w:vMerge w:val="restart"/>
                  <w:tcBorders>
                    <w:tl2br w:val="nil"/>
                    <w:tr2bl w:val="nil"/>
                  </w:tcBorders>
                  <w:noWrap w:val="0"/>
                  <w:vAlign w:val="center"/>
                </w:tcPr>
                <w:p w14:paraId="738BE684">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相符</w:t>
                  </w:r>
                </w:p>
              </w:tc>
            </w:tr>
            <w:tr w14:paraId="0E1AF5D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77210BE4">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594916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（3）生产、使用、储存危险化学品或其他存在环境风险的企事业单位，制定风险防范措施，编制完善突发环境事件应急预案。</w:t>
                  </w:r>
                </w:p>
              </w:tc>
              <w:tc>
                <w:tcPr>
                  <w:tcW w:w="1397" w:type="pct"/>
                  <w:vMerge w:val="continue"/>
                  <w:tcBorders>
                    <w:tl2br w:val="nil"/>
                    <w:tr2bl w:val="nil"/>
                  </w:tcBorders>
                  <w:noWrap w:val="0"/>
                  <w:vAlign w:val="center"/>
                </w:tcPr>
                <w:p w14:paraId="4B3BC91C">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c>
                <w:tcPr>
                  <w:tcW w:w="377" w:type="pct"/>
                  <w:vMerge w:val="continue"/>
                  <w:tcBorders>
                    <w:tl2br w:val="nil"/>
                    <w:tr2bl w:val="nil"/>
                  </w:tcBorders>
                  <w:noWrap w:val="0"/>
                  <w:vAlign w:val="center"/>
                </w:tcPr>
                <w:p w14:paraId="47FC8B95">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p>
              </w:tc>
            </w:tr>
            <w:tr w14:paraId="52F866F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4CC047E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711A33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（4）加强环境影响跟踪监测，建立健全各环境要素监控体系，完善并落实园区日常环境监测与污染源监控计划。</w:t>
                  </w:r>
                </w:p>
              </w:tc>
              <w:tc>
                <w:tcPr>
                  <w:tcW w:w="1397" w:type="pct"/>
                  <w:tcBorders>
                    <w:tl2br w:val="nil"/>
                    <w:tr2bl w:val="nil"/>
                  </w:tcBorders>
                  <w:noWrap w:val="0"/>
                  <w:vAlign w:val="center"/>
                </w:tcPr>
                <w:p w14:paraId="4CE42668">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r>
                    <w:rPr>
                      <w:rFonts w:hint="default" w:ascii="Times New Roman" w:hAnsi="Times New Roman" w:eastAsia="宋体" w:cs="Times New Roman"/>
                      <w:color w:val="auto"/>
                      <w:sz w:val="21"/>
                      <w:szCs w:val="21"/>
                      <w:highlight w:val="none"/>
                      <w:lang w:val="zh-CN"/>
                    </w:rPr>
                    <w:t>本项目建成后</w:t>
                  </w:r>
                  <w:r>
                    <w:rPr>
                      <w:rFonts w:hint="eastAsia" w:ascii="Times New Roman" w:hAnsi="Times New Roman" w:eastAsia="宋体" w:cs="Times New Roman"/>
                      <w:color w:val="auto"/>
                      <w:sz w:val="21"/>
                      <w:szCs w:val="21"/>
                      <w:highlight w:val="none"/>
                      <w:lang w:val="en-US" w:eastAsia="zh-CN"/>
                    </w:rPr>
                    <w:t>按照要求定期进行例行监测</w:t>
                  </w:r>
                  <w:r>
                    <w:rPr>
                      <w:rFonts w:hint="default" w:ascii="Times New Roman" w:hAnsi="Times New Roman" w:eastAsia="宋体" w:cs="Times New Roman"/>
                      <w:color w:val="auto"/>
                      <w:sz w:val="21"/>
                      <w:szCs w:val="21"/>
                      <w:highlight w:val="none"/>
                      <w:lang w:val="zh-CN"/>
                    </w:rPr>
                    <w:t>。</w:t>
                  </w:r>
                </w:p>
              </w:tc>
              <w:tc>
                <w:tcPr>
                  <w:tcW w:w="377" w:type="pct"/>
                  <w:tcBorders>
                    <w:tl2br w:val="nil"/>
                    <w:tr2bl w:val="nil"/>
                  </w:tcBorders>
                  <w:noWrap w:val="0"/>
                  <w:vAlign w:val="center"/>
                </w:tcPr>
                <w:p w14:paraId="0B99551D">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相符</w:t>
                  </w:r>
                </w:p>
              </w:tc>
            </w:tr>
            <w:tr w14:paraId="4BE476C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6FF8419F">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1E48A2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（5）邻近重要湿地等生态红线区域的工业用地，加强入区企业跑冒滴漏管理，设置符合规范的事故应急池，确保企业废水不排入上述敏感区域。</w:t>
                  </w:r>
                </w:p>
              </w:tc>
              <w:tc>
                <w:tcPr>
                  <w:tcW w:w="1397" w:type="pct"/>
                  <w:tcBorders>
                    <w:tl2br w:val="nil"/>
                    <w:tr2bl w:val="nil"/>
                  </w:tcBorders>
                  <w:noWrap w:val="0"/>
                  <w:vAlign w:val="center"/>
                </w:tcPr>
                <w:p w14:paraId="6980FE0E">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eastAsia" w:ascii="方正仿宋_GBK" w:hAnsi="方正仿宋_GBK" w:eastAsia="方正仿宋_GBK" w:cs="方正仿宋_GBK"/>
                      <w:i w:val="0"/>
                      <w:iCs w:val="0"/>
                      <w:color w:val="auto"/>
                      <w:sz w:val="21"/>
                      <w:szCs w:val="21"/>
                      <w:highlight w:val="none"/>
                      <w:u w:val="none"/>
                      <w:lang w:eastAsia="zh-CN"/>
                    </w:rPr>
                  </w:pPr>
                  <w:r>
                    <w:rPr>
                      <w:rFonts w:hint="eastAsia" w:ascii="Times New Roman" w:hAnsi="Times New Roman" w:eastAsia="宋体" w:cs="Times New Roman"/>
                      <w:color w:val="auto"/>
                      <w:kern w:val="2"/>
                      <w:sz w:val="21"/>
                      <w:szCs w:val="21"/>
                      <w:highlight w:val="none"/>
                      <w:lang w:val="zh-CN" w:eastAsia="zh-CN" w:bidi="ar-SA"/>
                    </w:rPr>
                    <w:t>本项目不</w:t>
                  </w:r>
                  <w:r>
                    <w:rPr>
                      <w:rFonts w:hint="default" w:ascii="Times New Roman" w:hAnsi="Times New Roman" w:eastAsia="宋体" w:cs="Times New Roman"/>
                      <w:color w:val="auto"/>
                      <w:kern w:val="2"/>
                      <w:sz w:val="21"/>
                      <w:szCs w:val="21"/>
                      <w:highlight w:val="none"/>
                      <w:lang w:val="en-US" w:eastAsia="zh-CN" w:bidi="ar-SA"/>
                    </w:rPr>
                    <w:t>邻近重要湿地等生态红线区域</w:t>
                  </w:r>
                  <w:r>
                    <w:rPr>
                      <w:rFonts w:hint="eastAsia" w:ascii="Times New Roman" w:hAnsi="Times New Roman" w:eastAsia="宋体" w:cs="Times New Roman"/>
                      <w:color w:val="auto"/>
                      <w:kern w:val="2"/>
                      <w:sz w:val="21"/>
                      <w:szCs w:val="21"/>
                      <w:highlight w:val="none"/>
                      <w:lang w:val="en-US" w:eastAsia="zh-CN" w:bidi="ar-SA"/>
                    </w:rPr>
                    <w:t>，</w:t>
                  </w:r>
                  <w:r>
                    <w:rPr>
                      <w:rFonts w:hint="eastAsia" w:eastAsia="宋体" w:cs="Times New Roman"/>
                      <w:color w:val="auto"/>
                      <w:kern w:val="2"/>
                      <w:sz w:val="21"/>
                      <w:szCs w:val="21"/>
                      <w:highlight w:val="none"/>
                      <w:lang w:val="en-US" w:eastAsia="zh-CN" w:bidi="ar-SA"/>
                    </w:rPr>
                    <w:t>企业应设置符合规范的应急事故池</w:t>
                  </w: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377" w:type="pct"/>
                  <w:tcBorders>
                    <w:tl2br w:val="nil"/>
                    <w:tr2bl w:val="nil"/>
                  </w:tcBorders>
                  <w:noWrap w:val="0"/>
                  <w:vAlign w:val="center"/>
                </w:tcPr>
                <w:p w14:paraId="36922BAB">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方正仿宋_GBK" w:hAnsi="方正仿宋_GBK" w:eastAsia="方正仿宋_GBK" w:cs="方正仿宋_GBK"/>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相符</w:t>
                  </w:r>
                </w:p>
              </w:tc>
            </w:tr>
            <w:tr w14:paraId="0D7FAC1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restart"/>
                  <w:tcBorders>
                    <w:tl2br w:val="nil"/>
                    <w:tr2bl w:val="nil"/>
                  </w:tcBorders>
                  <w:noWrap w:val="0"/>
                  <w:vAlign w:val="center"/>
                </w:tcPr>
                <w:p w14:paraId="3A9A02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资源利用效率要求</w:t>
                  </w:r>
                </w:p>
              </w:tc>
              <w:tc>
                <w:tcPr>
                  <w:tcW w:w="2920" w:type="pct"/>
                  <w:tcBorders>
                    <w:tl2br w:val="nil"/>
                    <w:tr2bl w:val="nil"/>
                  </w:tcBorders>
                  <w:noWrap w:val="0"/>
                  <w:vAlign w:val="center"/>
                </w:tcPr>
                <w:p w14:paraId="1723C7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（1）引进项目的生产工艺、设备、能耗、污染物排放、资源利用等达到同行业先进水平。</w:t>
                  </w:r>
                </w:p>
              </w:tc>
              <w:tc>
                <w:tcPr>
                  <w:tcW w:w="1397" w:type="pct"/>
                  <w:vMerge w:val="restart"/>
                  <w:tcBorders>
                    <w:tl2br w:val="nil"/>
                    <w:tr2bl w:val="nil"/>
                  </w:tcBorders>
                  <w:noWrap w:val="0"/>
                  <w:vAlign w:val="center"/>
                </w:tcPr>
                <w:p w14:paraId="16945DEB">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w:t>
                  </w:r>
                  <w:r>
                    <w:rPr>
                      <w:rFonts w:hint="default" w:ascii="Times New Roman" w:hAnsi="Times New Roman" w:eastAsia="宋体" w:cs="Times New Roman"/>
                      <w:color w:val="auto"/>
                      <w:kern w:val="2"/>
                      <w:sz w:val="21"/>
                      <w:szCs w:val="21"/>
                      <w:highlight w:val="none"/>
                      <w:lang w:val="en-US" w:eastAsia="zh-CN" w:bidi="ar-SA"/>
                    </w:rPr>
                    <w:t>项目的生产工艺、设备、能耗、污染物排放、资源利用等达到同行业先进水平</w:t>
                  </w:r>
                  <w:r>
                    <w:rPr>
                      <w:rFonts w:hint="eastAsia" w:ascii="Times New Roman" w:hAnsi="Times New Roman" w:eastAsia="宋体" w:cs="Times New Roman"/>
                      <w:color w:val="auto"/>
                      <w:kern w:val="2"/>
                      <w:sz w:val="21"/>
                      <w:szCs w:val="21"/>
                      <w:highlight w:val="none"/>
                      <w:lang w:val="en-US" w:eastAsia="zh-CN" w:bidi="ar-SA"/>
                    </w:rPr>
                    <w:t>；满足</w:t>
                  </w:r>
                  <w:r>
                    <w:rPr>
                      <w:rFonts w:hint="default" w:ascii="Times New Roman" w:hAnsi="Times New Roman" w:eastAsia="宋体" w:cs="Times New Roman"/>
                      <w:color w:val="auto"/>
                      <w:kern w:val="2"/>
                      <w:sz w:val="21"/>
                      <w:szCs w:val="21"/>
                      <w:highlight w:val="none"/>
                      <w:lang w:val="en-US" w:eastAsia="zh-CN" w:bidi="ar-SA"/>
                    </w:rPr>
                    <w:t>国家和省能耗及水耗限额标准。</w:t>
                  </w:r>
                </w:p>
              </w:tc>
              <w:tc>
                <w:tcPr>
                  <w:tcW w:w="377" w:type="pct"/>
                  <w:vMerge w:val="restart"/>
                  <w:tcBorders>
                    <w:tl2br w:val="nil"/>
                    <w:tr2bl w:val="nil"/>
                  </w:tcBorders>
                  <w:noWrap/>
                  <w:vAlign w:val="center"/>
                </w:tcPr>
                <w:p w14:paraId="6EC0ABEA">
                  <w:pPr>
                    <w:keepNext w:val="0"/>
                    <w:keepLines w:val="0"/>
                    <w:pageBreakBefore w:val="0"/>
                    <w:widowControl/>
                    <w:kinsoku/>
                    <w:wordWrap/>
                    <w:overflowPunct/>
                    <w:topLinePunct w:val="0"/>
                    <w:autoSpaceDE/>
                    <w:autoSpaceDN/>
                    <w:bidi w:val="0"/>
                    <w:adjustRightInd/>
                    <w:snapToGrid/>
                    <w:spacing w:after="0" w:line="240" w:lineRule="auto"/>
                    <w:ind w:firstLine="0" w:firstLineChars="0"/>
                    <w:rPr>
                      <w:rFonts w:hint="eastAsia" w:ascii="宋体" w:hAnsi="宋体" w:eastAsia="宋体" w:cs="宋体"/>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相符</w:t>
                  </w:r>
                </w:p>
              </w:tc>
            </w:tr>
            <w:tr w14:paraId="30D8ACC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64AE24BF">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0D2F56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（2）执行国家和省能耗及水耗限额标准。</w:t>
                  </w:r>
                </w:p>
              </w:tc>
              <w:tc>
                <w:tcPr>
                  <w:tcW w:w="1397" w:type="pct"/>
                  <w:vMerge w:val="continue"/>
                  <w:tcBorders>
                    <w:tl2br w:val="nil"/>
                    <w:tr2bl w:val="nil"/>
                  </w:tcBorders>
                  <w:noWrap w:val="0"/>
                  <w:vAlign w:val="center"/>
                </w:tcPr>
                <w:p w14:paraId="0B659071">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p>
              </w:tc>
              <w:tc>
                <w:tcPr>
                  <w:tcW w:w="377" w:type="pct"/>
                  <w:vMerge w:val="continue"/>
                  <w:tcBorders>
                    <w:tl2br w:val="nil"/>
                    <w:tr2bl w:val="nil"/>
                  </w:tcBorders>
                  <w:noWrap/>
                  <w:vAlign w:val="center"/>
                </w:tcPr>
                <w:p w14:paraId="643D475E">
                  <w:pPr>
                    <w:keepNext w:val="0"/>
                    <w:keepLines w:val="0"/>
                    <w:pageBreakBefore w:val="0"/>
                    <w:widowControl/>
                    <w:kinsoku/>
                    <w:wordWrap/>
                    <w:overflowPunct/>
                    <w:topLinePunct w:val="0"/>
                    <w:autoSpaceDE/>
                    <w:autoSpaceDN/>
                    <w:bidi w:val="0"/>
                    <w:adjustRightInd/>
                    <w:snapToGrid/>
                    <w:spacing w:after="0" w:line="240" w:lineRule="auto"/>
                    <w:ind w:firstLine="0" w:firstLineChars="0"/>
                    <w:rPr>
                      <w:rFonts w:hint="eastAsia" w:ascii="宋体" w:hAnsi="宋体" w:eastAsia="宋体" w:cs="宋体"/>
                      <w:i w:val="0"/>
                      <w:iCs w:val="0"/>
                      <w:color w:val="auto"/>
                      <w:sz w:val="21"/>
                      <w:szCs w:val="21"/>
                      <w:highlight w:val="none"/>
                      <w:u w:val="none"/>
                    </w:rPr>
                  </w:pPr>
                </w:p>
              </w:tc>
            </w:tr>
            <w:tr w14:paraId="0542155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2A25FEB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179AE2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（3）强化企业清洁生产改造，推进节水型企业、节水型园区建设，提高资源能源利用效率。</w:t>
                  </w:r>
                </w:p>
              </w:tc>
              <w:tc>
                <w:tcPr>
                  <w:tcW w:w="1397" w:type="pct"/>
                  <w:vMerge w:val="continue"/>
                  <w:tcBorders>
                    <w:tl2br w:val="nil"/>
                    <w:tr2bl w:val="nil"/>
                  </w:tcBorders>
                  <w:noWrap w:val="0"/>
                  <w:vAlign w:val="center"/>
                </w:tcPr>
                <w:p w14:paraId="2A61D932">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p>
              </w:tc>
              <w:tc>
                <w:tcPr>
                  <w:tcW w:w="377" w:type="pct"/>
                  <w:vMerge w:val="continue"/>
                  <w:tcBorders>
                    <w:tl2br w:val="nil"/>
                    <w:tr2bl w:val="nil"/>
                  </w:tcBorders>
                  <w:noWrap/>
                  <w:vAlign w:val="center"/>
                </w:tcPr>
                <w:p w14:paraId="69461445">
                  <w:pPr>
                    <w:keepNext w:val="0"/>
                    <w:keepLines w:val="0"/>
                    <w:pageBreakBefore w:val="0"/>
                    <w:widowControl/>
                    <w:kinsoku/>
                    <w:wordWrap/>
                    <w:overflowPunct/>
                    <w:topLinePunct w:val="0"/>
                    <w:autoSpaceDE/>
                    <w:autoSpaceDN/>
                    <w:bidi w:val="0"/>
                    <w:adjustRightInd/>
                    <w:snapToGrid/>
                    <w:spacing w:after="0" w:line="240" w:lineRule="auto"/>
                    <w:ind w:firstLine="0" w:firstLineChars="0"/>
                    <w:rPr>
                      <w:rFonts w:hint="eastAsia" w:ascii="宋体" w:hAnsi="宋体" w:eastAsia="宋体" w:cs="宋体"/>
                      <w:i w:val="0"/>
                      <w:iCs w:val="0"/>
                      <w:color w:val="auto"/>
                      <w:sz w:val="21"/>
                      <w:szCs w:val="21"/>
                      <w:highlight w:val="none"/>
                      <w:u w:val="none"/>
                    </w:rPr>
                  </w:pPr>
                </w:p>
              </w:tc>
            </w:tr>
            <w:tr w14:paraId="6BEB2CA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05" w:type="pct"/>
                  <w:vMerge w:val="continue"/>
                  <w:tcBorders>
                    <w:tl2br w:val="nil"/>
                    <w:tr2bl w:val="nil"/>
                  </w:tcBorders>
                  <w:noWrap w:val="0"/>
                  <w:vAlign w:val="center"/>
                </w:tcPr>
                <w:p w14:paraId="0C9151AA">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920" w:type="pct"/>
                  <w:tcBorders>
                    <w:tl2br w:val="nil"/>
                    <w:tr2bl w:val="nil"/>
                  </w:tcBorders>
                  <w:noWrap w:val="0"/>
                  <w:vAlign w:val="center"/>
                </w:tcPr>
                <w:p w14:paraId="201FF1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（4）禁燃区禁止新建、扩建燃用高污染燃料的项目和设施，已建成的应逐步或依法限期改用天然气、</w:t>
                  </w:r>
                  <w:r>
                    <w:rPr>
                      <w:rFonts w:hint="eastAsia" w:ascii="Times New Roman" w:hAnsi="Times New Roman" w:eastAsia="宋体" w:cs="Times New Roman"/>
                      <w:i w:val="0"/>
                      <w:iCs w:val="0"/>
                      <w:color w:val="auto"/>
                      <w:kern w:val="0"/>
                      <w:sz w:val="21"/>
                      <w:szCs w:val="21"/>
                      <w:highlight w:val="none"/>
                      <w:u w:val="none"/>
                      <w:lang w:val="en-US" w:eastAsia="zh-CN" w:bidi="ar"/>
                    </w:rPr>
                    <w:t>电力</w:t>
                  </w:r>
                  <w:r>
                    <w:rPr>
                      <w:rFonts w:hint="default" w:ascii="Times New Roman" w:hAnsi="Times New Roman" w:eastAsia="宋体" w:cs="Times New Roman"/>
                      <w:i w:val="0"/>
                      <w:iCs w:val="0"/>
                      <w:color w:val="auto"/>
                      <w:kern w:val="0"/>
                      <w:sz w:val="21"/>
                      <w:szCs w:val="21"/>
                      <w:highlight w:val="none"/>
                      <w:u w:val="none"/>
                      <w:lang w:val="en-US" w:eastAsia="zh-CN" w:bidi="ar"/>
                    </w:rPr>
                    <w:t>或者其他清洁能源。</w:t>
                  </w:r>
                </w:p>
              </w:tc>
              <w:tc>
                <w:tcPr>
                  <w:tcW w:w="1397" w:type="pct"/>
                  <w:tcBorders>
                    <w:tl2br w:val="nil"/>
                    <w:tr2bl w:val="nil"/>
                  </w:tcBorders>
                  <w:noWrap w:val="0"/>
                  <w:vAlign w:val="center"/>
                </w:tcPr>
                <w:p w14:paraId="2DAD43DC">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本项目不涉及</w:t>
                  </w:r>
                  <w:r>
                    <w:rPr>
                      <w:rFonts w:hint="default" w:ascii="Times New Roman" w:hAnsi="Times New Roman" w:eastAsia="宋体" w:cs="Times New Roman"/>
                      <w:color w:val="auto"/>
                      <w:kern w:val="2"/>
                      <w:sz w:val="21"/>
                      <w:szCs w:val="21"/>
                      <w:highlight w:val="none"/>
                      <w:lang w:val="en-US" w:eastAsia="zh-CN" w:bidi="ar-SA"/>
                    </w:rPr>
                    <w:t>高污染燃料</w:t>
                  </w:r>
                  <w:r>
                    <w:rPr>
                      <w:rFonts w:hint="eastAsia" w:ascii="Times New Roman" w:hAnsi="Times New Roman" w:eastAsia="宋体" w:cs="Times New Roman"/>
                      <w:color w:val="auto"/>
                      <w:kern w:val="2"/>
                      <w:sz w:val="21"/>
                      <w:szCs w:val="21"/>
                      <w:highlight w:val="none"/>
                      <w:lang w:val="en-US" w:eastAsia="zh-CN" w:bidi="ar-SA"/>
                    </w:rPr>
                    <w:t>。</w:t>
                  </w:r>
                </w:p>
              </w:tc>
              <w:tc>
                <w:tcPr>
                  <w:tcW w:w="377" w:type="pct"/>
                  <w:tcBorders>
                    <w:tl2br w:val="nil"/>
                    <w:tr2bl w:val="nil"/>
                  </w:tcBorders>
                  <w:noWrap/>
                  <w:vAlign w:val="center"/>
                </w:tcPr>
                <w:p w14:paraId="79244BD7">
                  <w:pPr>
                    <w:keepNext w:val="0"/>
                    <w:keepLines w:val="0"/>
                    <w:pageBreakBefore w:val="0"/>
                    <w:widowControl/>
                    <w:kinsoku/>
                    <w:wordWrap/>
                    <w:overflowPunct/>
                    <w:topLinePunct w:val="0"/>
                    <w:autoSpaceDE/>
                    <w:autoSpaceDN/>
                    <w:bidi w:val="0"/>
                    <w:adjustRightInd/>
                    <w:snapToGrid/>
                    <w:spacing w:after="0" w:line="240" w:lineRule="auto"/>
                    <w:ind w:firstLine="0" w:firstLineChars="0"/>
                    <w:rPr>
                      <w:rFonts w:hint="eastAsia" w:ascii="宋体" w:hAnsi="宋体" w:eastAsia="宋体" w:cs="宋体"/>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相符</w:t>
                  </w:r>
                </w:p>
              </w:tc>
            </w:tr>
          </w:tbl>
          <w:p w14:paraId="712797C9">
            <w:pPr>
              <w:pStyle w:val="41"/>
              <w:bidi w:val="0"/>
              <w:rPr>
                <w:color w:val="auto"/>
                <w:highlight w:val="none"/>
              </w:rPr>
            </w:pPr>
          </w:p>
          <w:p w14:paraId="0C47F899">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color w:val="auto"/>
                <w:sz w:val="24"/>
                <w:highlight w:val="none"/>
              </w:rPr>
            </w:pPr>
            <w:r>
              <w:rPr>
                <w:color w:val="auto"/>
                <w:sz w:val="24"/>
                <w:highlight w:val="none"/>
              </w:rPr>
              <w:t>综上分析，本项目符合</w:t>
            </w:r>
            <w:r>
              <w:rPr>
                <w:rFonts w:hint="eastAsia"/>
                <w:color w:val="auto"/>
                <w:sz w:val="24"/>
                <w:highlight w:val="none"/>
              </w:rPr>
              <w:t>“</w:t>
            </w:r>
            <w:r>
              <w:rPr>
                <w:color w:val="auto"/>
                <w:sz w:val="24"/>
                <w:highlight w:val="none"/>
              </w:rPr>
              <w:t>三线一单</w:t>
            </w:r>
            <w:r>
              <w:rPr>
                <w:rFonts w:hint="eastAsia"/>
                <w:color w:val="auto"/>
                <w:sz w:val="24"/>
                <w:highlight w:val="none"/>
              </w:rPr>
              <w:t>”</w:t>
            </w:r>
            <w:r>
              <w:rPr>
                <w:color w:val="auto"/>
                <w:sz w:val="24"/>
                <w:highlight w:val="none"/>
              </w:rPr>
              <w:t>管控要求。</w:t>
            </w:r>
          </w:p>
          <w:p w14:paraId="52BFAD70">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b/>
                <w:bCs/>
                <w:color w:val="auto"/>
                <w:sz w:val="24"/>
                <w:highlight w:val="none"/>
              </w:rPr>
            </w:pPr>
            <w:r>
              <w:rPr>
                <w:b/>
                <w:bCs/>
                <w:color w:val="auto"/>
                <w:sz w:val="24"/>
                <w:highlight w:val="none"/>
              </w:rPr>
              <w:t>4、相关环保政策相符性分析</w:t>
            </w:r>
          </w:p>
          <w:p w14:paraId="574CD84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sz w:val="24"/>
                <w:highlight w:val="none"/>
                <w:lang w:eastAsia="zh-CN"/>
              </w:rPr>
            </w:pPr>
            <w:r>
              <w:rPr>
                <w:color w:val="auto"/>
                <w:sz w:val="24"/>
                <w:highlight w:val="none"/>
              </w:rPr>
              <w:t>本项目与环保政策相符性，如下表</w:t>
            </w:r>
            <w:r>
              <w:rPr>
                <w:rFonts w:hint="eastAsia"/>
                <w:color w:val="auto"/>
                <w:sz w:val="24"/>
                <w:highlight w:val="none"/>
                <w:lang w:eastAsia="zh-CN"/>
              </w:rPr>
              <w:t>。</w:t>
            </w:r>
          </w:p>
          <w:p w14:paraId="7A43A536">
            <w:pPr>
              <w:pStyle w:val="43"/>
              <w:bidi w:val="0"/>
              <w:rPr>
                <w:color w:val="auto"/>
                <w:highlight w:val="none"/>
              </w:rPr>
            </w:pPr>
            <w:r>
              <w:rPr>
                <w:rFonts w:hint="eastAsia"/>
                <w:color w:val="auto"/>
                <w:highlight w:val="none"/>
                <w:lang w:val="en-US" w:eastAsia="zh-CN"/>
              </w:rPr>
              <w:t>本</w:t>
            </w:r>
            <w:r>
              <w:rPr>
                <w:color w:val="auto"/>
                <w:highlight w:val="none"/>
              </w:rPr>
              <w:t>项目与环保政策相符性一览表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2746"/>
              <w:gridCol w:w="2232"/>
              <w:gridCol w:w="807"/>
            </w:tblGrid>
            <w:tr w14:paraId="7273D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7" w:type="pct"/>
                  <w:vAlign w:val="center"/>
                </w:tcPr>
                <w:p w14:paraId="247BACBB">
                  <w:pPr>
                    <w:pStyle w:val="41"/>
                    <w:bidi w:val="0"/>
                    <w:rPr>
                      <w:b/>
                      <w:bCs/>
                      <w:color w:val="auto"/>
                      <w:highlight w:val="none"/>
                    </w:rPr>
                  </w:pPr>
                  <w:r>
                    <w:rPr>
                      <w:rFonts w:hint="eastAsia"/>
                      <w:b/>
                      <w:bCs/>
                      <w:color w:val="auto"/>
                      <w:highlight w:val="none"/>
                      <w:lang w:val="en-US" w:eastAsia="zh-CN"/>
                    </w:rPr>
                    <w:t>文件</w:t>
                  </w:r>
                  <w:r>
                    <w:rPr>
                      <w:b/>
                      <w:bCs/>
                      <w:color w:val="auto"/>
                      <w:highlight w:val="none"/>
                    </w:rPr>
                    <w:t>名称</w:t>
                  </w:r>
                </w:p>
              </w:tc>
              <w:tc>
                <w:tcPr>
                  <w:tcW w:w="1776" w:type="pct"/>
                  <w:vAlign w:val="center"/>
                </w:tcPr>
                <w:p w14:paraId="58A27B78">
                  <w:pPr>
                    <w:pStyle w:val="41"/>
                    <w:bidi w:val="0"/>
                    <w:rPr>
                      <w:b/>
                      <w:bCs/>
                      <w:color w:val="auto"/>
                      <w:highlight w:val="none"/>
                    </w:rPr>
                  </w:pPr>
                  <w:r>
                    <w:rPr>
                      <w:b/>
                      <w:bCs/>
                      <w:color w:val="auto"/>
                      <w:highlight w:val="none"/>
                    </w:rPr>
                    <w:t>文件内容</w:t>
                  </w:r>
                </w:p>
              </w:tc>
              <w:tc>
                <w:tcPr>
                  <w:tcW w:w="1444" w:type="pct"/>
                  <w:vAlign w:val="center"/>
                </w:tcPr>
                <w:p w14:paraId="2649C5E1">
                  <w:pPr>
                    <w:pStyle w:val="41"/>
                    <w:bidi w:val="0"/>
                    <w:rPr>
                      <w:b/>
                      <w:bCs/>
                      <w:color w:val="auto"/>
                      <w:highlight w:val="none"/>
                    </w:rPr>
                  </w:pPr>
                  <w:r>
                    <w:rPr>
                      <w:b/>
                      <w:bCs/>
                      <w:color w:val="auto"/>
                      <w:highlight w:val="none"/>
                    </w:rPr>
                    <w:t>本项目情况</w:t>
                  </w:r>
                </w:p>
              </w:tc>
              <w:tc>
                <w:tcPr>
                  <w:tcW w:w="522" w:type="pct"/>
                  <w:vAlign w:val="center"/>
                </w:tcPr>
                <w:p w14:paraId="3515BA0B">
                  <w:pPr>
                    <w:pStyle w:val="41"/>
                    <w:bidi w:val="0"/>
                    <w:rPr>
                      <w:b/>
                      <w:bCs/>
                      <w:color w:val="auto"/>
                      <w:highlight w:val="none"/>
                    </w:rPr>
                  </w:pPr>
                  <w:r>
                    <w:rPr>
                      <w:b/>
                      <w:bCs/>
                      <w:color w:val="auto"/>
                      <w:highlight w:val="none"/>
                    </w:rPr>
                    <w:t>相符性</w:t>
                  </w:r>
                </w:p>
              </w:tc>
            </w:tr>
            <w:tr w14:paraId="13F33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7" w:type="pct"/>
                  <w:vAlign w:val="center"/>
                </w:tcPr>
                <w:p w14:paraId="34DB6A72">
                  <w:pPr>
                    <w:pStyle w:val="41"/>
                    <w:bidi w:val="0"/>
                    <w:rPr>
                      <w:color w:val="auto"/>
                      <w:highlight w:val="none"/>
                    </w:rPr>
                  </w:pPr>
                  <w:r>
                    <w:rPr>
                      <w:color w:val="auto"/>
                      <w:highlight w:val="none"/>
                    </w:rPr>
                    <w:t>关于《江宁区重点管控区域要求》</w:t>
                  </w:r>
                </w:p>
              </w:tc>
              <w:tc>
                <w:tcPr>
                  <w:tcW w:w="1776" w:type="pct"/>
                  <w:vAlign w:val="center"/>
                </w:tcPr>
                <w:p w14:paraId="4B117D7C">
                  <w:pPr>
                    <w:pStyle w:val="41"/>
                    <w:bidi w:val="0"/>
                    <w:rPr>
                      <w:color w:val="auto"/>
                      <w:highlight w:val="none"/>
                    </w:rPr>
                  </w:pPr>
                  <w:r>
                    <w:rPr>
                      <w:color w:val="auto"/>
                      <w:highlight w:val="none"/>
                    </w:rPr>
                    <w:t>九龙湖片区、百家湖片区、杨家圩片区为江宁区重点管控区域，该区域的控制重点为扬尘、工业废气、机动车、非道路移动机械、餐饮、生活源等。</w:t>
                  </w:r>
                </w:p>
              </w:tc>
              <w:tc>
                <w:tcPr>
                  <w:tcW w:w="1444" w:type="pct"/>
                  <w:vAlign w:val="center"/>
                </w:tcPr>
                <w:p w14:paraId="4A345EC0">
                  <w:pPr>
                    <w:pStyle w:val="41"/>
                    <w:bidi w:val="0"/>
                    <w:rPr>
                      <w:color w:val="auto"/>
                      <w:highlight w:val="none"/>
                    </w:rPr>
                  </w:pPr>
                  <w:r>
                    <w:rPr>
                      <w:color w:val="auto"/>
                      <w:highlight w:val="none"/>
                    </w:rPr>
                    <w:t>本项目位于</w:t>
                  </w:r>
                  <w:r>
                    <w:rPr>
                      <w:rFonts w:hint="eastAsia"/>
                      <w:color w:val="auto"/>
                      <w:highlight w:val="none"/>
                    </w:rPr>
                    <w:t>南京市江宁区</w:t>
                  </w:r>
                  <w:r>
                    <w:rPr>
                      <w:rFonts w:hint="eastAsia"/>
                      <w:color w:val="auto"/>
                      <w:highlight w:val="none"/>
                      <w:lang w:eastAsia="zh-CN"/>
                    </w:rPr>
                    <w:t>高新园龙眠大道578号</w:t>
                  </w:r>
                  <w:r>
                    <w:rPr>
                      <w:color w:val="auto"/>
                      <w:highlight w:val="none"/>
                    </w:rPr>
                    <w:t>，不属于九龙湖片区、百家湖片区、杨家圩片区，不属于重点管控区域。</w:t>
                  </w:r>
                </w:p>
              </w:tc>
              <w:tc>
                <w:tcPr>
                  <w:tcW w:w="522" w:type="pct"/>
                  <w:vAlign w:val="center"/>
                </w:tcPr>
                <w:p w14:paraId="28E6BF2E">
                  <w:pPr>
                    <w:pStyle w:val="41"/>
                    <w:bidi w:val="0"/>
                    <w:rPr>
                      <w:color w:val="auto"/>
                      <w:highlight w:val="none"/>
                    </w:rPr>
                  </w:pPr>
                  <w:r>
                    <w:rPr>
                      <w:color w:val="auto"/>
                      <w:highlight w:val="none"/>
                    </w:rPr>
                    <w:t>相符</w:t>
                  </w:r>
                </w:p>
              </w:tc>
            </w:tr>
            <w:tr w14:paraId="7B405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7" w:type="pct"/>
                  <w:vMerge w:val="restart"/>
                  <w:vAlign w:val="center"/>
                </w:tcPr>
                <w:p w14:paraId="4AE6760C">
                  <w:pPr>
                    <w:pStyle w:val="41"/>
                    <w:bidi w:val="0"/>
                    <w:rPr>
                      <w:color w:val="auto"/>
                      <w:highlight w:val="none"/>
                    </w:rPr>
                  </w:pPr>
                  <w:r>
                    <w:rPr>
                      <w:rFonts w:hint="eastAsia"/>
                      <w:color w:val="auto"/>
                      <w:highlight w:val="none"/>
                    </w:rPr>
                    <w:t>《挥发性有机物无组织排放控制标准》（GB37822-2019）</w:t>
                  </w:r>
                </w:p>
              </w:tc>
              <w:tc>
                <w:tcPr>
                  <w:tcW w:w="1776" w:type="pct"/>
                  <w:vAlign w:val="center"/>
                </w:tcPr>
                <w:p w14:paraId="637AFA51">
                  <w:pPr>
                    <w:pStyle w:val="41"/>
                    <w:bidi w:val="0"/>
                    <w:rPr>
                      <w:rFonts w:hint="default"/>
                      <w:color w:val="auto"/>
                      <w:highlight w:val="none"/>
                      <w:lang w:val="en-US" w:eastAsia="zh-CN"/>
                    </w:rPr>
                  </w:pPr>
                  <w:r>
                    <w:rPr>
                      <w:rFonts w:hint="eastAsia"/>
                      <w:color w:val="auto"/>
                      <w:highlight w:val="none"/>
                      <w:lang w:val="en-US" w:eastAsia="zh-CN"/>
                    </w:rPr>
                    <w:t>工艺过程VOCs无组织排放控制要求：VOCs质量占比大于等于10%的含VOCs产品，其使用过程应采用密闭设备或在密闭空间内操作，废气应排至VOCs废气收集处理系统；无法密闭的，应采取局部气体收集措施，废气应排至VOCs废气收集处理系统。</w:t>
                  </w:r>
                </w:p>
              </w:tc>
              <w:tc>
                <w:tcPr>
                  <w:tcW w:w="1444" w:type="pct"/>
                  <w:vAlign w:val="center"/>
                </w:tcPr>
                <w:p w14:paraId="411109D0">
                  <w:pPr>
                    <w:pStyle w:val="41"/>
                    <w:bidi w:val="0"/>
                    <w:rPr>
                      <w:rFonts w:hint="default"/>
                      <w:color w:val="auto"/>
                      <w:highlight w:val="none"/>
                      <w:lang w:val="en-US" w:eastAsia="zh-CN"/>
                    </w:rPr>
                  </w:pPr>
                  <w:r>
                    <w:rPr>
                      <w:rFonts w:hint="eastAsia"/>
                      <w:color w:val="auto"/>
                      <w:highlight w:val="none"/>
                      <w:lang w:val="en-US" w:eastAsia="zh-CN"/>
                    </w:rPr>
                    <w:t>本项目研发过程均在密闭厂房中进行，无组织排放满足文件要求。</w:t>
                  </w:r>
                </w:p>
              </w:tc>
              <w:tc>
                <w:tcPr>
                  <w:tcW w:w="522" w:type="pct"/>
                  <w:vAlign w:val="center"/>
                </w:tcPr>
                <w:p w14:paraId="3AA406CD">
                  <w:pPr>
                    <w:pStyle w:val="41"/>
                    <w:bidi w:val="0"/>
                    <w:rPr>
                      <w:rFonts w:hint="eastAsia"/>
                      <w:color w:val="auto"/>
                      <w:highlight w:val="none"/>
                      <w:lang w:val="en-US" w:eastAsia="zh-CN"/>
                    </w:rPr>
                  </w:pPr>
                  <w:r>
                    <w:rPr>
                      <w:rFonts w:hint="eastAsia"/>
                      <w:color w:val="auto"/>
                      <w:highlight w:val="none"/>
                      <w:lang w:val="en-US" w:eastAsia="zh-CN"/>
                    </w:rPr>
                    <w:t>相符</w:t>
                  </w:r>
                </w:p>
              </w:tc>
            </w:tr>
            <w:tr w14:paraId="34532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7" w:type="pct"/>
                  <w:vMerge w:val="continue"/>
                  <w:vAlign w:val="center"/>
                </w:tcPr>
                <w:p w14:paraId="2E8C7C0D">
                  <w:pPr>
                    <w:pStyle w:val="41"/>
                    <w:bidi w:val="0"/>
                    <w:rPr>
                      <w:color w:val="auto"/>
                      <w:highlight w:val="none"/>
                    </w:rPr>
                  </w:pPr>
                </w:p>
              </w:tc>
              <w:tc>
                <w:tcPr>
                  <w:tcW w:w="1776" w:type="pct"/>
                  <w:vAlign w:val="center"/>
                </w:tcPr>
                <w:p w14:paraId="4ED9FA72">
                  <w:pPr>
                    <w:pStyle w:val="41"/>
                    <w:bidi w:val="0"/>
                    <w:rPr>
                      <w:color w:val="auto"/>
                      <w:highlight w:val="none"/>
                    </w:rPr>
                  </w:pPr>
                  <w:r>
                    <w:rPr>
                      <w:rFonts w:hint="eastAsia"/>
                      <w:color w:val="auto"/>
                      <w:highlight w:val="none"/>
                      <w:lang w:val="en-US" w:eastAsia="zh-CN"/>
                    </w:rPr>
                    <w:t>VOCs无组织排放废气收集处理系统要求：</w:t>
                  </w:r>
                  <w:r>
                    <w:rPr>
                      <w:rFonts w:hint="eastAsia"/>
                      <w:color w:val="auto"/>
                      <w:highlight w:val="none"/>
                    </w:rPr>
                    <w:t>收集的废气中NMHC初始排放速率≥3kg/h时，应配置VOCs处理设施，处理效率不应低于80%；对于重点地区，收集的废气中NMHC初始排放速率≥2kg/h时，应配置VOCs处理设施，处理效率不应低于80%；采用的原辅料符合国家有关低VOCs含量产品规定的除外。</w:t>
                  </w:r>
                </w:p>
              </w:tc>
              <w:tc>
                <w:tcPr>
                  <w:tcW w:w="1444" w:type="pct"/>
                  <w:vAlign w:val="center"/>
                </w:tcPr>
                <w:p w14:paraId="76DE450A">
                  <w:pPr>
                    <w:pStyle w:val="41"/>
                    <w:bidi w:val="0"/>
                    <w:rPr>
                      <w:rFonts w:hint="default"/>
                      <w:color w:val="auto"/>
                      <w:highlight w:val="none"/>
                      <w:lang w:val="en-US" w:eastAsia="zh-CN"/>
                    </w:rPr>
                  </w:pPr>
                  <w:r>
                    <w:rPr>
                      <w:rFonts w:hint="eastAsia"/>
                      <w:color w:val="auto"/>
                      <w:highlight w:val="none"/>
                      <w:lang w:val="zh-CN"/>
                    </w:rPr>
                    <w:t>本项目</w:t>
                  </w:r>
                  <w:r>
                    <w:rPr>
                      <w:rFonts w:hint="eastAsia"/>
                      <w:color w:val="auto"/>
                      <w:highlight w:val="none"/>
                      <w:lang w:val="en-US" w:eastAsia="zh-CN"/>
                    </w:rPr>
                    <w:t>研发过程</w:t>
                  </w:r>
                  <w:r>
                    <w:rPr>
                      <w:rFonts w:hint="eastAsia"/>
                      <w:color w:val="auto"/>
                      <w:highlight w:val="none"/>
                      <w:lang w:val="zh-CN"/>
                    </w:rPr>
                    <w:t>中</w:t>
                  </w:r>
                  <w:r>
                    <w:rPr>
                      <w:rFonts w:hint="eastAsia"/>
                      <w:color w:val="auto"/>
                      <w:highlight w:val="none"/>
                      <w:lang w:val="en-US" w:eastAsia="zh-CN"/>
                    </w:rPr>
                    <w:t>收集</w:t>
                  </w:r>
                  <w:r>
                    <w:rPr>
                      <w:rFonts w:hint="eastAsia"/>
                      <w:color w:val="auto"/>
                      <w:highlight w:val="none"/>
                      <w:lang w:val="zh-CN"/>
                    </w:rPr>
                    <w:t>的</w:t>
                  </w:r>
                  <w:r>
                    <w:rPr>
                      <w:rFonts w:hint="eastAsia"/>
                      <w:color w:val="auto"/>
                      <w:highlight w:val="none"/>
                      <w:lang w:val="en-US" w:eastAsia="zh-CN"/>
                    </w:rPr>
                    <w:t>有机废气</w:t>
                  </w:r>
                  <w:r>
                    <w:rPr>
                      <w:rFonts w:hint="eastAsia"/>
                      <w:color w:val="auto"/>
                      <w:highlight w:val="none"/>
                      <w:lang w:val="zh-CN"/>
                    </w:rPr>
                    <w:t>初始排放速率</w:t>
                  </w:r>
                  <w:r>
                    <w:rPr>
                      <w:rFonts w:hint="eastAsia"/>
                      <w:color w:val="auto"/>
                      <w:highlight w:val="none"/>
                      <w:lang w:val="en-US" w:eastAsia="zh-CN"/>
                    </w:rPr>
                    <w:t>＜2kg/h</w:t>
                  </w:r>
                  <w:r>
                    <w:rPr>
                      <w:rFonts w:hint="eastAsia"/>
                      <w:color w:val="auto"/>
                      <w:highlight w:val="none"/>
                    </w:rPr>
                    <w:t>，</w:t>
                  </w:r>
                  <w:r>
                    <w:rPr>
                      <w:rFonts w:hint="eastAsia"/>
                      <w:color w:val="auto"/>
                      <w:highlight w:val="none"/>
                      <w:lang w:val="en-US" w:eastAsia="zh-CN"/>
                    </w:rPr>
                    <w:t>收集的有机废气由2套二级活性炭吸附装置处理，活性炭吸附装置对于非甲烷总烃处理效率为80%，满足文件要求。</w:t>
                  </w:r>
                </w:p>
              </w:tc>
              <w:tc>
                <w:tcPr>
                  <w:tcW w:w="522" w:type="pct"/>
                  <w:vAlign w:val="center"/>
                </w:tcPr>
                <w:p w14:paraId="5BE2996E">
                  <w:pPr>
                    <w:pStyle w:val="41"/>
                    <w:bidi w:val="0"/>
                    <w:rPr>
                      <w:color w:val="auto"/>
                      <w:highlight w:val="none"/>
                    </w:rPr>
                  </w:pPr>
                  <w:r>
                    <w:rPr>
                      <w:rFonts w:hint="eastAsia"/>
                      <w:color w:val="auto"/>
                      <w:highlight w:val="none"/>
                    </w:rPr>
                    <w:t>相符</w:t>
                  </w:r>
                </w:p>
              </w:tc>
            </w:tr>
            <w:tr w14:paraId="624D3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7" w:type="pct"/>
                  <w:vMerge w:val="restart"/>
                  <w:shd w:val="clear" w:color="auto" w:fill="auto"/>
                  <w:vAlign w:val="center"/>
                </w:tcPr>
                <w:p w14:paraId="2ECBFF92">
                  <w:pPr>
                    <w:pStyle w:val="41"/>
                    <w:bidi w:val="0"/>
                    <w:rPr>
                      <w:rFonts w:ascii="Times New Roman" w:hAnsi="Times New Roman" w:eastAsia="宋体" w:cs="Times New Roman"/>
                      <w:color w:val="auto"/>
                      <w:kern w:val="0"/>
                      <w:sz w:val="21"/>
                      <w:szCs w:val="24"/>
                      <w:highlight w:val="none"/>
                      <w:lang w:val="zh-CN" w:eastAsia="zh-CN" w:bidi="ar-SA"/>
                    </w:rPr>
                  </w:pPr>
                  <w:r>
                    <w:rPr>
                      <w:color w:val="auto"/>
                      <w:highlight w:val="none"/>
                      <w:lang w:val="zh-CN"/>
                    </w:rPr>
                    <w:t>关于印发《重点行业挥发性有机物污染综合治理方案》的通知（环大气</w:t>
                  </w:r>
                  <w:r>
                    <w:rPr>
                      <w:rFonts w:hint="eastAsia"/>
                      <w:color w:val="auto"/>
                      <w:highlight w:val="none"/>
                      <w:lang w:val="zh-CN"/>
                    </w:rPr>
                    <w:t>〔2019〕53号</w:t>
                  </w:r>
                  <w:r>
                    <w:rPr>
                      <w:color w:val="auto"/>
                      <w:highlight w:val="none"/>
                      <w:lang w:val="zh-CN"/>
                    </w:rPr>
                    <w:t>）</w:t>
                  </w:r>
                </w:p>
              </w:tc>
              <w:tc>
                <w:tcPr>
                  <w:tcW w:w="1776" w:type="pct"/>
                  <w:shd w:val="clear" w:color="auto" w:fill="auto"/>
                  <w:vAlign w:val="center"/>
                </w:tcPr>
                <w:p w14:paraId="33A7BD82">
                  <w:pPr>
                    <w:pStyle w:val="41"/>
                    <w:bidi w:val="0"/>
                    <w:rPr>
                      <w:rFonts w:hint="eastAsia" w:ascii="Times New Roman" w:hAnsi="Times New Roman" w:eastAsia="宋体" w:cs="Times New Roman"/>
                      <w:color w:val="auto"/>
                      <w:kern w:val="0"/>
                      <w:sz w:val="21"/>
                      <w:szCs w:val="24"/>
                      <w:highlight w:val="none"/>
                      <w:lang w:val="en-US" w:eastAsia="zh-CN" w:bidi="ar-SA"/>
                    </w:rPr>
                  </w:pPr>
                  <w:r>
                    <w:rPr>
                      <w:color w:val="auto"/>
                      <w:highlight w:val="none"/>
                    </w:rPr>
                    <w:t>（一）全面加强无组织排放控制</w:t>
                  </w:r>
                  <w:r>
                    <w:rPr>
                      <w:rFonts w:hint="eastAsia"/>
                      <w:color w:val="auto"/>
                      <w:highlight w:val="none"/>
                    </w:rPr>
                    <w:t>，</w:t>
                  </w:r>
                  <w:r>
                    <w:rPr>
                      <w:color w:val="auto"/>
                      <w:highlight w:val="none"/>
                    </w:rPr>
                    <w:t>通过采取设备与场所密闭、工艺改进、废气有效收集等措施，削减VOCs无组织排放。</w:t>
                  </w:r>
                </w:p>
              </w:tc>
              <w:tc>
                <w:tcPr>
                  <w:tcW w:w="1444" w:type="pct"/>
                  <w:shd w:val="clear" w:color="auto" w:fill="auto"/>
                  <w:vAlign w:val="center"/>
                </w:tcPr>
                <w:p w14:paraId="3E8AB4BD">
                  <w:pPr>
                    <w:pStyle w:val="41"/>
                    <w:bidi w:val="0"/>
                    <w:rPr>
                      <w:rFonts w:hint="eastAsia" w:ascii="Times New Roman" w:hAnsi="Times New Roman" w:eastAsia="宋体" w:cs="Times New Roman"/>
                      <w:color w:val="auto"/>
                      <w:kern w:val="0"/>
                      <w:sz w:val="21"/>
                      <w:szCs w:val="24"/>
                      <w:highlight w:val="none"/>
                      <w:lang w:val="zh-CN" w:eastAsia="zh-CN" w:bidi="ar-SA"/>
                    </w:rPr>
                  </w:pPr>
                  <w:r>
                    <w:rPr>
                      <w:rFonts w:hint="eastAsia"/>
                      <w:color w:val="auto"/>
                      <w:highlight w:val="none"/>
                      <w:lang w:val="en-US" w:eastAsia="zh-CN"/>
                    </w:rPr>
                    <w:t>本项目研发过程在密闭厂房中进行，研发过程中试剂挥发废气收集后由2套二级活性炭吸附装置处理。</w:t>
                  </w:r>
                </w:p>
              </w:tc>
              <w:tc>
                <w:tcPr>
                  <w:tcW w:w="522" w:type="pct"/>
                  <w:shd w:val="clear" w:color="auto" w:fill="auto"/>
                  <w:vAlign w:val="center"/>
                </w:tcPr>
                <w:p w14:paraId="565C782C">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相符</w:t>
                  </w:r>
                </w:p>
              </w:tc>
            </w:tr>
            <w:tr w14:paraId="0D5F2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7" w:type="pct"/>
                  <w:vMerge w:val="continue"/>
                  <w:shd w:val="clear" w:color="auto" w:fill="auto"/>
                  <w:vAlign w:val="center"/>
                </w:tcPr>
                <w:p w14:paraId="21FF8B7B">
                  <w:pPr>
                    <w:pStyle w:val="41"/>
                    <w:bidi w:val="0"/>
                    <w:rPr>
                      <w:color w:val="auto"/>
                      <w:highlight w:val="none"/>
                      <w:lang w:val="zh-CN"/>
                    </w:rPr>
                  </w:pPr>
                </w:p>
              </w:tc>
              <w:tc>
                <w:tcPr>
                  <w:tcW w:w="1776" w:type="pct"/>
                  <w:shd w:val="clear" w:color="auto" w:fill="auto"/>
                  <w:vAlign w:val="center"/>
                </w:tcPr>
                <w:p w14:paraId="40D8EEDF">
                  <w:pPr>
                    <w:pStyle w:val="41"/>
                    <w:bidi w:val="0"/>
                    <w:rPr>
                      <w:color w:val="auto"/>
                      <w:highlight w:val="none"/>
                    </w:rPr>
                  </w:pPr>
                  <w:r>
                    <w:rPr>
                      <w:color w:val="auto"/>
                      <w:highlight w:val="none"/>
                    </w:rPr>
                    <w:t>（二）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w:t>
                  </w:r>
                </w:p>
              </w:tc>
              <w:tc>
                <w:tcPr>
                  <w:tcW w:w="1444" w:type="pct"/>
                  <w:shd w:val="clear" w:color="auto" w:fill="auto"/>
                  <w:vAlign w:val="center"/>
                </w:tcPr>
                <w:p w14:paraId="4BA7C604">
                  <w:pPr>
                    <w:pStyle w:val="41"/>
                    <w:bidi w:val="0"/>
                    <w:rPr>
                      <w:rFonts w:hint="eastAsia"/>
                      <w:color w:val="auto"/>
                      <w:highlight w:val="none"/>
                      <w:lang w:val="en-US" w:eastAsia="zh-CN"/>
                    </w:rPr>
                  </w:pPr>
                  <w:r>
                    <w:rPr>
                      <w:rFonts w:hint="eastAsia"/>
                      <w:color w:val="auto"/>
                      <w:highlight w:val="none"/>
                      <w:lang w:val="en-US" w:eastAsia="zh-CN"/>
                    </w:rPr>
                    <w:t>本项目研发过程在密闭厂房中进行，研发过程中试剂挥发废气收集后由2套二级活性炭吸附装置处理，活性炭吸附装置对于非甲烷总烃处理效率为80%，满足文件要求。</w:t>
                  </w:r>
                </w:p>
              </w:tc>
              <w:tc>
                <w:tcPr>
                  <w:tcW w:w="522" w:type="pct"/>
                  <w:shd w:val="clear" w:color="auto" w:fill="auto"/>
                  <w:vAlign w:val="center"/>
                </w:tcPr>
                <w:p w14:paraId="19A172E0">
                  <w:pPr>
                    <w:pStyle w:val="41"/>
                    <w:bidi w:val="0"/>
                    <w:rPr>
                      <w:rFonts w:hint="eastAsia"/>
                      <w:color w:val="auto"/>
                      <w:highlight w:val="none"/>
                    </w:rPr>
                  </w:pPr>
                  <w:r>
                    <w:rPr>
                      <w:rFonts w:hint="eastAsia"/>
                      <w:color w:val="auto"/>
                      <w:highlight w:val="none"/>
                    </w:rPr>
                    <w:t>相符</w:t>
                  </w:r>
                </w:p>
              </w:tc>
            </w:tr>
            <w:tr w14:paraId="6EDC1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7" w:type="pct"/>
                  <w:shd w:val="clear" w:color="auto" w:fill="auto"/>
                  <w:vAlign w:val="center"/>
                </w:tcPr>
                <w:p w14:paraId="49124EF4">
                  <w:pPr>
                    <w:pStyle w:val="41"/>
                    <w:bidi w:val="0"/>
                    <w:rPr>
                      <w:rFonts w:hint="eastAsia" w:ascii="Times New Roman" w:hAnsi="Times New Roman" w:eastAsia="宋体" w:cs="Times New Roman"/>
                      <w:color w:val="auto"/>
                      <w:kern w:val="0"/>
                      <w:sz w:val="21"/>
                      <w:szCs w:val="24"/>
                      <w:highlight w:val="none"/>
                      <w:lang w:val="zh-CN" w:eastAsia="zh-CN" w:bidi="ar-SA"/>
                    </w:rPr>
                  </w:pPr>
                  <w:r>
                    <w:rPr>
                      <w:color w:val="auto"/>
                      <w:highlight w:val="none"/>
                    </w:rPr>
                    <w:t>《江苏省挥发性有机物污染防治管理办法》</w:t>
                  </w:r>
                </w:p>
              </w:tc>
              <w:tc>
                <w:tcPr>
                  <w:tcW w:w="1776" w:type="pct"/>
                  <w:shd w:val="clear" w:color="auto" w:fill="auto"/>
                  <w:vAlign w:val="center"/>
                </w:tcPr>
                <w:p w14:paraId="6088247E">
                  <w:pPr>
                    <w:pStyle w:val="41"/>
                    <w:bidi w:val="0"/>
                    <w:rPr>
                      <w:rFonts w:hint="eastAsia" w:ascii="Times New Roman" w:hAnsi="Times New Roman" w:eastAsia="宋体" w:cs="Times New Roman"/>
                      <w:color w:val="auto"/>
                      <w:kern w:val="0"/>
                      <w:sz w:val="21"/>
                      <w:szCs w:val="24"/>
                      <w:highlight w:val="none"/>
                      <w:lang w:val="zh-CN" w:eastAsia="zh-CN" w:bidi="ar-SA"/>
                    </w:rPr>
                  </w:pPr>
                  <w:r>
                    <w:rPr>
                      <w:color w:val="auto"/>
                      <w:highlight w:val="none"/>
                    </w:rPr>
                    <w:t>管理办法第二十一条，产生挥发性有机物废气的生产经营活动应当在密闭空间或者密闭设备中进行。无法在密闭空间进行的生产经营活动应当采取有效措施，减少挥发性有机物排放。</w:t>
                  </w:r>
                </w:p>
              </w:tc>
              <w:tc>
                <w:tcPr>
                  <w:tcW w:w="1444" w:type="pct"/>
                  <w:shd w:val="clear" w:color="auto" w:fill="auto"/>
                  <w:vAlign w:val="center"/>
                </w:tcPr>
                <w:p w14:paraId="342F80A8">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本项目研发过程在密闭实验室中进行。研发过程中试剂挥发废气收集后由2套二级活性炭吸附装置处理，活性炭吸附装置对于非甲烷总烃处理效率为80%，满足文件要求。</w:t>
                  </w:r>
                </w:p>
              </w:tc>
              <w:tc>
                <w:tcPr>
                  <w:tcW w:w="522" w:type="pct"/>
                  <w:shd w:val="clear" w:color="auto" w:fill="auto"/>
                  <w:vAlign w:val="center"/>
                </w:tcPr>
                <w:p w14:paraId="11335D81">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相符</w:t>
                  </w:r>
                </w:p>
              </w:tc>
            </w:tr>
            <w:tr w14:paraId="0785F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7" w:type="pct"/>
                  <w:vMerge w:val="restart"/>
                  <w:shd w:val="clear" w:color="auto" w:fill="auto"/>
                  <w:vAlign w:val="center"/>
                </w:tcPr>
                <w:p w14:paraId="50069636">
                  <w:pPr>
                    <w:pStyle w:val="41"/>
                    <w:bidi w:val="0"/>
                    <w:rPr>
                      <w:rFonts w:ascii="Times New Roman" w:hAnsi="Times New Roman" w:eastAsia="宋体" w:cs="Times New Roman"/>
                      <w:color w:val="auto"/>
                      <w:kern w:val="0"/>
                      <w:sz w:val="21"/>
                      <w:szCs w:val="24"/>
                      <w:highlight w:val="none"/>
                      <w:lang w:val="zh-CN" w:eastAsia="zh-CN" w:bidi="ar-SA"/>
                    </w:rPr>
                  </w:pPr>
                  <w:r>
                    <w:rPr>
                      <w:color w:val="auto"/>
                      <w:highlight w:val="none"/>
                      <w:lang w:val="zh-CN"/>
                    </w:rPr>
                    <w:t>关于印发《江苏省重点行业挥发性有机物污染控制指南》的通知（苏环办</w:t>
                  </w:r>
                  <w:r>
                    <w:rPr>
                      <w:rFonts w:hint="eastAsia"/>
                      <w:color w:val="auto"/>
                      <w:highlight w:val="none"/>
                      <w:lang w:val="zh-CN"/>
                    </w:rPr>
                    <w:t>〔</w:t>
                  </w:r>
                  <w:sdt>
                    <w:sdtPr>
                      <w:rPr>
                        <w:color w:val="auto"/>
                        <w:highlight w:val="none"/>
                      </w:rPr>
                      <w:alias w:val="易错词检查"/>
                      <w:tag w:val="auto"/>
                      <w:id w:val="147482100"/>
                    </w:sdtPr>
                    <w:sdtEndPr>
                      <w:rPr>
                        <w:color w:val="auto"/>
                        <w:highlight w:val="none"/>
                      </w:rPr>
                    </w:sdtEndPr>
                    <w:sdtContent>
                      <w:r>
                        <w:rPr>
                          <w:color w:val="auto"/>
                          <w:highlight w:val="none"/>
                          <w:lang w:val="zh-CN"/>
                        </w:rPr>
                        <w:t>20</w:t>
                      </w:r>
                      <w:r>
                        <w:rPr>
                          <w:color w:val="auto"/>
                          <w:highlight w:val="none"/>
                        </w:rPr>
                        <w:t>14</w:t>
                      </w:r>
                      <w:r>
                        <w:rPr>
                          <w:rFonts w:hint="eastAsia"/>
                          <w:color w:val="auto"/>
                          <w:highlight w:val="none"/>
                          <w:lang w:eastAsia="zh-CN"/>
                        </w:rPr>
                        <w:t>〕</w:t>
                      </w:r>
                      <w:r>
                        <w:rPr>
                          <w:color w:val="auto"/>
                          <w:highlight w:val="none"/>
                        </w:rPr>
                        <w:t>128</w:t>
                      </w:r>
                      <w:r>
                        <w:rPr>
                          <w:color w:val="auto"/>
                          <w:highlight w:val="none"/>
                          <w:lang w:val="zh-CN"/>
                        </w:rPr>
                        <w:t>号</w:t>
                      </w:r>
                    </w:sdtContent>
                  </w:sdt>
                  <w:r>
                    <w:rPr>
                      <w:color w:val="auto"/>
                      <w:highlight w:val="none"/>
                      <w:lang w:val="zh-CN"/>
                    </w:rPr>
                    <w:t>）</w:t>
                  </w:r>
                </w:p>
              </w:tc>
              <w:tc>
                <w:tcPr>
                  <w:tcW w:w="0" w:type="auto"/>
                  <w:shd w:val="clear" w:color="auto" w:fill="auto"/>
                  <w:vAlign w:val="center"/>
                </w:tcPr>
                <w:p w14:paraId="4D2D9769">
                  <w:pPr>
                    <w:pStyle w:val="41"/>
                    <w:bidi w:val="0"/>
                    <w:rPr>
                      <w:rFonts w:ascii="Times New Roman" w:hAnsi="Times New Roman" w:eastAsia="宋体" w:cs="Times New Roman"/>
                      <w:color w:val="auto"/>
                      <w:kern w:val="0"/>
                      <w:sz w:val="21"/>
                      <w:szCs w:val="24"/>
                      <w:highlight w:val="none"/>
                      <w:lang w:val="en-US" w:eastAsia="zh-CN" w:bidi="ar-SA"/>
                    </w:rPr>
                  </w:pPr>
                  <w:r>
                    <w:rPr>
                      <w:color w:val="auto"/>
                      <w:highlight w:val="none"/>
                      <w:lang w:val="zh-CN"/>
                    </w:rPr>
                    <w:t>（一）所有产生有机废气污染的企业，应优先采用环保型原辅料、生产工艺和装备，对相应生产单元或设施进行密闭，从源头控制VOCs的产生，减少废气污染物排放。</w:t>
                  </w:r>
                </w:p>
              </w:tc>
              <w:tc>
                <w:tcPr>
                  <w:tcW w:w="1444" w:type="pct"/>
                  <w:shd w:val="clear" w:color="auto" w:fill="auto"/>
                  <w:vAlign w:val="center"/>
                </w:tcPr>
                <w:p w14:paraId="4761C598">
                  <w:pPr>
                    <w:pStyle w:val="41"/>
                    <w:bidi w:val="0"/>
                    <w:rPr>
                      <w:rFonts w:hint="eastAsia" w:ascii="Times New Roman" w:hAnsi="Times New Roman" w:eastAsia="宋体" w:cs="Times New Roman"/>
                      <w:color w:val="auto"/>
                      <w:kern w:val="0"/>
                      <w:szCs w:val="24"/>
                      <w:highlight w:val="none"/>
                      <w:lang w:val="en-US" w:eastAsia="zh-CN" w:bidi="ar-SA"/>
                    </w:rPr>
                  </w:pPr>
                  <w:r>
                    <w:rPr>
                      <w:rFonts w:hint="eastAsia"/>
                      <w:color w:val="auto"/>
                      <w:highlight w:val="none"/>
                      <w:lang w:val="en-US" w:eastAsia="zh-CN"/>
                    </w:rPr>
                    <w:t>本项目主要进行中药研发，研发过程中试剂挥发废气收集后由2套二级活性炭吸附装置处理，活性炭吸附装置对于非甲烷总烃处理效率为80%。</w:t>
                  </w:r>
                </w:p>
              </w:tc>
              <w:tc>
                <w:tcPr>
                  <w:tcW w:w="522" w:type="pct"/>
                  <w:shd w:val="clear" w:color="auto" w:fill="auto"/>
                  <w:vAlign w:val="center"/>
                </w:tcPr>
                <w:p w14:paraId="70F1DAE2">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相符</w:t>
                  </w:r>
                </w:p>
              </w:tc>
            </w:tr>
            <w:tr w14:paraId="516A9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7" w:type="pct"/>
                  <w:vMerge w:val="continue"/>
                  <w:shd w:val="clear" w:color="auto" w:fill="auto"/>
                  <w:vAlign w:val="center"/>
                </w:tcPr>
                <w:p w14:paraId="41627741">
                  <w:pPr>
                    <w:pStyle w:val="41"/>
                    <w:bidi w:val="0"/>
                    <w:rPr>
                      <w:color w:val="auto"/>
                      <w:highlight w:val="none"/>
                      <w:lang w:val="zh-CN"/>
                    </w:rPr>
                  </w:pPr>
                </w:p>
              </w:tc>
              <w:tc>
                <w:tcPr>
                  <w:tcW w:w="0" w:type="auto"/>
                  <w:shd w:val="clear" w:color="auto" w:fill="auto"/>
                  <w:vAlign w:val="center"/>
                </w:tcPr>
                <w:p w14:paraId="00F48281">
                  <w:pPr>
                    <w:pStyle w:val="41"/>
                    <w:bidi w:val="0"/>
                    <w:rPr>
                      <w:color w:val="auto"/>
                      <w:highlight w:val="none"/>
                      <w:lang w:val="zh-CN"/>
                    </w:rPr>
                  </w:pPr>
                  <w:r>
                    <w:rPr>
                      <w:color w:val="auto"/>
                      <w:highlight w:val="none"/>
                      <w:lang w:val="zh-CN"/>
                    </w:rPr>
                    <w:t>（二）对浓度、性状差异较大的废气应分类收集，并采用适宜的方式进行有效处理，确保VOCs总去除率满足管理要求</w:t>
                  </w:r>
                  <w:r>
                    <w:rPr>
                      <w:rFonts w:hint="eastAsia"/>
                      <w:color w:val="auto"/>
                      <w:highlight w:val="none"/>
                      <w:lang w:val="zh-CN"/>
                    </w:rPr>
                    <w:t>；其中有机化工、医药化工、橡胶和塑料制品（有溶剂浸胶工艺）、溶剂型涂料表面涂装、包装印刷业的VOCs总收集、净化处理率均不低于90%，</w:t>
                  </w:r>
                  <w:r>
                    <w:rPr>
                      <w:rFonts w:hint="eastAsia"/>
                      <w:color w:val="auto"/>
                      <w:highlight w:val="none"/>
                    </w:rPr>
                    <w:t>其他行业原则上不低于75%</w:t>
                  </w:r>
                  <w:r>
                    <w:rPr>
                      <w:rFonts w:hint="eastAsia"/>
                      <w:color w:val="auto"/>
                      <w:highlight w:val="none"/>
                      <w:lang w:eastAsia="zh-CN"/>
                    </w:rPr>
                    <w:t>。</w:t>
                  </w:r>
                </w:p>
              </w:tc>
              <w:tc>
                <w:tcPr>
                  <w:tcW w:w="1444" w:type="pct"/>
                  <w:shd w:val="clear" w:color="auto" w:fill="auto"/>
                  <w:vAlign w:val="center"/>
                </w:tcPr>
                <w:p w14:paraId="302BD773">
                  <w:pPr>
                    <w:pStyle w:val="41"/>
                    <w:bidi w:val="0"/>
                    <w:rPr>
                      <w:rFonts w:hint="eastAsia"/>
                      <w:color w:val="auto"/>
                      <w:highlight w:val="none"/>
                      <w:lang w:val="en-US" w:eastAsia="zh-CN"/>
                    </w:rPr>
                  </w:pPr>
                  <w:r>
                    <w:rPr>
                      <w:rFonts w:hint="eastAsia"/>
                      <w:color w:val="auto"/>
                      <w:highlight w:val="none"/>
                      <w:lang w:val="en-US" w:eastAsia="zh-CN"/>
                    </w:rPr>
                    <w:t>本项目不属于</w:t>
                  </w:r>
                  <w:r>
                    <w:rPr>
                      <w:rFonts w:hint="eastAsia"/>
                      <w:color w:val="auto"/>
                      <w:highlight w:val="none"/>
                      <w:lang w:val="zh-CN"/>
                    </w:rPr>
                    <w:t>有机化工、医药化工、橡胶和塑料制品（有溶剂浸胶工艺）、溶剂型涂料表面涂装、包装印刷业。</w:t>
                  </w:r>
                  <w:r>
                    <w:rPr>
                      <w:rFonts w:hint="eastAsia"/>
                      <w:color w:val="auto"/>
                      <w:highlight w:val="none"/>
                      <w:lang w:val="en-US" w:eastAsia="zh-CN"/>
                    </w:rPr>
                    <w:t>研发过程中试剂挥发废气收集后由2套二级活性炭吸附装置处理，活性炭吸附装置对于非甲烷总烃处理效率为80%，满足文件要求。</w:t>
                  </w:r>
                </w:p>
              </w:tc>
              <w:tc>
                <w:tcPr>
                  <w:tcW w:w="522" w:type="pct"/>
                  <w:shd w:val="clear" w:color="auto" w:fill="auto"/>
                  <w:vAlign w:val="center"/>
                </w:tcPr>
                <w:p w14:paraId="57A88BF5">
                  <w:pPr>
                    <w:pStyle w:val="41"/>
                    <w:bidi w:val="0"/>
                    <w:rPr>
                      <w:rFonts w:hint="eastAsia" w:eastAsia="宋体"/>
                      <w:color w:val="auto"/>
                      <w:highlight w:val="none"/>
                      <w:lang w:val="en-US" w:eastAsia="zh-CN"/>
                    </w:rPr>
                  </w:pPr>
                  <w:r>
                    <w:rPr>
                      <w:rFonts w:hint="eastAsia"/>
                      <w:color w:val="auto"/>
                      <w:highlight w:val="none"/>
                      <w:lang w:val="en-US" w:eastAsia="zh-CN"/>
                    </w:rPr>
                    <w:t>相符</w:t>
                  </w:r>
                </w:p>
              </w:tc>
            </w:tr>
            <w:tr w14:paraId="3071F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shd w:val="clear" w:color="auto" w:fill="auto"/>
                  <w:vAlign w:val="center"/>
                </w:tcPr>
                <w:p w14:paraId="41A805B8">
                  <w:pPr>
                    <w:pStyle w:val="41"/>
                    <w:bidi w:val="0"/>
                    <w:rPr>
                      <w:color w:val="auto"/>
                      <w:highlight w:val="none"/>
                      <w:lang w:val="zh-CN"/>
                    </w:rPr>
                  </w:pPr>
                  <w:r>
                    <w:rPr>
                      <w:rFonts w:hint="eastAsia"/>
                      <w:color w:val="auto"/>
                      <w:highlight w:val="none"/>
                      <w:lang w:val="zh-CN"/>
                    </w:rPr>
                    <w:t>《实验室废气污染控制技术规范》（DB32/T 4455-2023）</w:t>
                  </w:r>
                </w:p>
              </w:tc>
              <w:tc>
                <w:tcPr>
                  <w:tcW w:w="0" w:type="auto"/>
                  <w:shd w:val="clear" w:color="auto" w:fill="auto"/>
                  <w:vAlign w:val="center"/>
                </w:tcPr>
                <w:p w14:paraId="78B55051">
                  <w:pPr>
                    <w:pStyle w:val="41"/>
                    <w:bidi w:val="0"/>
                    <w:rPr>
                      <w:color w:val="auto"/>
                      <w:highlight w:val="none"/>
                      <w:lang w:val="zh-CN"/>
                    </w:rPr>
                  </w:pPr>
                  <w:r>
                    <w:rPr>
                      <w:rFonts w:hint="eastAsia"/>
                      <w:color w:val="auto"/>
                      <w:highlight w:val="none"/>
                      <w:lang w:val="zh-CN"/>
                    </w:rPr>
                    <w:t>收集废气中NMHC初始排放速率大于或等于2kg/h的实验室单元，废气净化效率不低于80%；收集废气中NMHC初始排放速率在0.2kg/h~2kg/h（含0.2kg/h）范围内的实验室单元，废气净化效率不低于60%；收集废气中NMHC初始排放速率在0.02kg/h~0.2kg/h（含0.02kg/h）范围内的实验室单元，废气净化效率不低于50%。</w:t>
                  </w:r>
                </w:p>
              </w:tc>
              <w:tc>
                <w:tcPr>
                  <w:tcW w:w="1444" w:type="pct"/>
                  <w:shd w:val="clear" w:color="auto" w:fill="auto"/>
                  <w:vAlign w:val="center"/>
                </w:tcPr>
                <w:p w14:paraId="23F4795D">
                  <w:pPr>
                    <w:pStyle w:val="41"/>
                    <w:bidi w:val="0"/>
                    <w:rPr>
                      <w:rFonts w:hint="eastAsia"/>
                      <w:color w:val="auto"/>
                      <w:highlight w:val="none"/>
                      <w:lang w:val="en-US" w:eastAsia="zh-CN"/>
                    </w:rPr>
                  </w:pPr>
                  <w:r>
                    <w:rPr>
                      <w:rFonts w:hint="eastAsia"/>
                      <w:color w:val="auto"/>
                      <w:highlight w:val="none"/>
                    </w:rPr>
                    <w:t>本项目</w:t>
                  </w:r>
                  <w:r>
                    <w:rPr>
                      <w:rFonts w:hint="eastAsia"/>
                      <w:color w:val="auto"/>
                      <w:highlight w:val="none"/>
                      <w:lang w:val="en-US" w:eastAsia="zh-CN"/>
                    </w:rPr>
                    <w:t>研发过程中试剂挥发废气收集后由2套二级活性炭吸附装置处理，活性炭吸附装置对于非甲烷总烃处理效率为80%，满足文件要求。</w:t>
                  </w:r>
                </w:p>
              </w:tc>
              <w:tc>
                <w:tcPr>
                  <w:tcW w:w="522" w:type="pct"/>
                  <w:shd w:val="clear" w:color="auto" w:fill="auto"/>
                  <w:vAlign w:val="center"/>
                </w:tcPr>
                <w:p w14:paraId="54D0E58A">
                  <w:pPr>
                    <w:pStyle w:val="41"/>
                    <w:bidi w:val="0"/>
                    <w:rPr>
                      <w:rFonts w:hint="eastAsia" w:eastAsia="宋体"/>
                      <w:color w:val="auto"/>
                      <w:highlight w:val="none"/>
                      <w:lang w:val="en-US" w:eastAsia="zh-CN"/>
                    </w:rPr>
                  </w:pPr>
                  <w:r>
                    <w:rPr>
                      <w:rFonts w:hint="eastAsia"/>
                      <w:color w:val="auto"/>
                      <w:highlight w:val="none"/>
                      <w:lang w:val="en-US" w:eastAsia="zh-CN"/>
                    </w:rPr>
                    <w:t>相符</w:t>
                  </w:r>
                </w:p>
              </w:tc>
            </w:tr>
            <w:tr w14:paraId="7CBA7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shd w:val="clear" w:color="auto" w:fill="auto"/>
                  <w:vAlign w:val="center"/>
                </w:tcPr>
                <w:p w14:paraId="4852BB97">
                  <w:pPr>
                    <w:pStyle w:val="41"/>
                    <w:bidi w:val="0"/>
                    <w:rPr>
                      <w:rFonts w:hint="eastAsia"/>
                      <w:color w:val="auto"/>
                      <w:highlight w:val="none"/>
                      <w:lang w:val="zh-CN"/>
                    </w:rPr>
                  </w:pPr>
                  <w:r>
                    <w:rPr>
                      <w:rFonts w:hint="eastAsia"/>
                      <w:color w:val="auto"/>
                      <w:highlight w:val="none"/>
                      <w:lang w:val="zh-CN"/>
                    </w:rPr>
                    <w:t>《南京市实验室危险废物污染防治工作指导手册（试行）》</w:t>
                  </w:r>
                </w:p>
              </w:tc>
              <w:tc>
                <w:tcPr>
                  <w:tcW w:w="0" w:type="auto"/>
                  <w:shd w:val="clear" w:color="auto" w:fill="auto"/>
                  <w:vAlign w:val="center"/>
                </w:tcPr>
                <w:p w14:paraId="4F17D42C">
                  <w:pPr>
                    <w:pStyle w:val="41"/>
                    <w:bidi w:val="0"/>
                    <w:rPr>
                      <w:color w:val="auto"/>
                      <w:highlight w:val="none"/>
                      <w:lang w:val="zh-CN"/>
                    </w:rPr>
                  </w:pPr>
                  <w:r>
                    <w:rPr>
                      <w:rFonts w:hint="eastAsia"/>
                      <w:color w:val="auto"/>
                      <w:highlight w:val="none"/>
                      <w:lang w:val="en-US" w:eastAsia="zh-CN"/>
                    </w:rPr>
                    <w:t>实验室</w:t>
                  </w:r>
                  <w:r>
                    <w:rPr>
                      <w:rFonts w:hint="default"/>
                      <w:color w:val="auto"/>
                      <w:highlight w:val="none"/>
                      <w:lang w:val="en-US" w:eastAsia="zh-CN"/>
                    </w:rPr>
                    <w:t>应建立、健全实验室污染环境防治管理制度，完善危险废物环境管理责任体系，并严格按照相关法律法规及</w:t>
                  </w:r>
                  <w:r>
                    <w:rPr>
                      <w:rFonts w:hint="eastAsia"/>
                      <w:color w:val="auto"/>
                      <w:highlight w:val="none"/>
                      <w:lang w:val="en-US" w:eastAsia="zh-CN"/>
                    </w:rPr>
                    <w:t>（</w:t>
                  </w:r>
                  <w:r>
                    <w:rPr>
                      <w:rFonts w:hint="default"/>
                      <w:color w:val="auto"/>
                      <w:highlight w:val="none"/>
                      <w:lang w:val="en-US" w:eastAsia="zh-CN"/>
                    </w:rPr>
                    <w:t>苏环办﹝2019﹞327号）等文件规定要求，做好危险废物分类收集、安全贮存、转移管理和定期委托有资质单位处置利用等工作，建立并执行危险废物申报登记及管理计划备案、管理台账、转移联单、应急预案、信息公开、事故报告</w:t>
                  </w:r>
                  <w:r>
                    <w:rPr>
                      <w:rFonts w:hint="eastAsia"/>
                      <w:color w:val="auto"/>
                      <w:highlight w:val="none"/>
                      <w:lang w:val="en-US" w:eastAsia="zh-CN"/>
                    </w:rPr>
                    <w:t>、环保培训</w:t>
                  </w:r>
                  <w:r>
                    <w:rPr>
                      <w:rFonts w:hint="default"/>
                      <w:color w:val="auto"/>
                      <w:highlight w:val="none"/>
                      <w:lang w:val="en-US" w:eastAsia="zh-CN"/>
                    </w:rPr>
                    <w:t>等相关管理制度。实验室单位应至少配备1名相应管理人员，负责组织、协调、监督、检查实验室危险废物管理工作的落实情况。</w:t>
                  </w:r>
                </w:p>
              </w:tc>
              <w:tc>
                <w:tcPr>
                  <w:tcW w:w="1444" w:type="pct"/>
                  <w:shd w:val="clear" w:color="auto" w:fill="auto"/>
                  <w:vAlign w:val="center"/>
                </w:tcPr>
                <w:p w14:paraId="43318422">
                  <w:pPr>
                    <w:pStyle w:val="41"/>
                    <w:bidi w:val="0"/>
                    <w:rPr>
                      <w:rFonts w:hint="default"/>
                      <w:color w:val="auto"/>
                      <w:highlight w:val="none"/>
                      <w:lang w:val="en-US" w:eastAsia="zh-CN"/>
                    </w:rPr>
                  </w:pPr>
                  <w:r>
                    <w:rPr>
                      <w:rFonts w:hint="eastAsia"/>
                      <w:color w:val="auto"/>
                      <w:highlight w:val="none"/>
                      <w:lang w:val="en-US" w:eastAsia="zh-CN"/>
                    </w:rPr>
                    <w:t>项目建成后企业应完善危险废物环境管理责任体系，做好</w:t>
                  </w:r>
                  <w:r>
                    <w:rPr>
                      <w:rFonts w:hint="default"/>
                      <w:color w:val="auto"/>
                      <w:highlight w:val="none"/>
                      <w:lang w:val="en-US" w:eastAsia="zh-CN"/>
                    </w:rPr>
                    <w:t>危险废物分类收集、安全贮存、转移管理和定期委托有资质单位处置利用等工作</w:t>
                  </w:r>
                  <w:r>
                    <w:rPr>
                      <w:rFonts w:hint="eastAsia"/>
                      <w:color w:val="auto"/>
                      <w:highlight w:val="none"/>
                      <w:lang w:val="en-US" w:eastAsia="zh-CN"/>
                    </w:rPr>
                    <w:t>，建立相关台账。配备1名管理人员负责检查实验室危险废物管理工作。</w:t>
                  </w:r>
                </w:p>
              </w:tc>
              <w:tc>
                <w:tcPr>
                  <w:tcW w:w="522" w:type="pct"/>
                  <w:shd w:val="clear" w:color="auto" w:fill="auto"/>
                  <w:vAlign w:val="center"/>
                </w:tcPr>
                <w:p w14:paraId="1A6BC5B6">
                  <w:pPr>
                    <w:pStyle w:val="41"/>
                    <w:bidi w:val="0"/>
                    <w:rPr>
                      <w:rFonts w:hint="eastAsia" w:eastAsia="宋体"/>
                      <w:color w:val="auto"/>
                      <w:highlight w:val="none"/>
                      <w:lang w:val="en-US" w:eastAsia="zh-CN"/>
                    </w:rPr>
                  </w:pPr>
                  <w:r>
                    <w:rPr>
                      <w:rFonts w:hint="eastAsia"/>
                      <w:color w:val="auto"/>
                      <w:highlight w:val="none"/>
                      <w:lang w:val="en-US" w:eastAsia="zh-CN"/>
                    </w:rPr>
                    <w:t>相符</w:t>
                  </w:r>
                </w:p>
              </w:tc>
            </w:tr>
            <w:tr w14:paraId="3B25F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7" w:type="pct"/>
                  <w:vMerge w:val="restart"/>
                  <w:shd w:val="clear" w:color="auto" w:fill="auto"/>
                  <w:vAlign w:val="center"/>
                </w:tcPr>
                <w:p w14:paraId="09789620">
                  <w:pPr>
                    <w:pStyle w:val="41"/>
                    <w:bidi w:val="0"/>
                    <w:rPr>
                      <w:rFonts w:hint="eastAsia"/>
                      <w:color w:val="auto"/>
                      <w:highlight w:val="none"/>
                      <w:lang w:val="zh-CN"/>
                    </w:rPr>
                  </w:pPr>
                  <w:r>
                    <w:rPr>
                      <w:rFonts w:hint="eastAsia"/>
                      <w:color w:val="auto"/>
                      <w:highlight w:val="none"/>
                      <w:lang w:val="zh-CN"/>
                    </w:rPr>
                    <w:t>《实验室危险废物污染防治技术规范》（</w:t>
                  </w:r>
                  <w:r>
                    <w:rPr>
                      <w:rFonts w:hint="eastAsia"/>
                      <w:color w:val="auto"/>
                      <w:highlight w:val="none"/>
                      <w:lang w:val="en-US" w:eastAsia="zh-CN"/>
                    </w:rPr>
                    <w:t>DB 3201/T1168-2023</w:t>
                  </w:r>
                  <w:r>
                    <w:rPr>
                      <w:rFonts w:hint="eastAsia"/>
                      <w:color w:val="auto"/>
                      <w:highlight w:val="none"/>
                      <w:lang w:val="zh-CN"/>
                    </w:rPr>
                    <w:t>）</w:t>
                  </w:r>
                </w:p>
              </w:tc>
              <w:tc>
                <w:tcPr>
                  <w:tcW w:w="0" w:type="auto"/>
                  <w:shd w:val="clear" w:color="auto" w:fill="auto"/>
                  <w:vAlign w:val="center"/>
                </w:tcPr>
                <w:p w14:paraId="2F06D689">
                  <w:pPr>
                    <w:pStyle w:val="41"/>
                    <w:bidi w:val="0"/>
                    <w:jc w:val="left"/>
                    <w:rPr>
                      <w:rFonts w:hint="eastAsia"/>
                      <w:color w:val="auto"/>
                      <w:highlight w:val="none"/>
                      <w:lang w:val="zh-CN"/>
                    </w:rPr>
                  </w:pPr>
                  <w:r>
                    <w:rPr>
                      <w:rFonts w:hint="eastAsia"/>
                      <w:color w:val="auto"/>
                      <w:highlight w:val="none"/>
                      <w:lang w:val="zh-CN"/>
                    </w:rPr>
                    <w:t>6.1.1 产生实验室危险废物的单位应根据需要建设危险废物贮存库或设置贮存点，贮存库和贮存点应满足GB 18597要求。</w:t>
                  </w:r>
                </w:p>
                <w:p w14:paraId="2361D6A2">
                  <w:pPr>
                    <w:pStyle w:val="41"/>
                    <w:bidi w:val="0"/>
                    <w:jc w:val="left"/>
                    <w:rPr>
                      <w:rFonts w:hint="eastAsia"/>
                      <w:color w:val="auto"/>
                      <w:highlight w:val="none"/>
                      <w:lang w:val="zh-CN"/>
                    </w:rPr>
                  </w:pPr>
                  <w:r>
                    <w:rPr>
                      <w:rFonts w:hint="eastAsia"/>
                      <w:color w:val="auto"/>
                      <w:highlight w:val="none"/>
                      <w:lang w:val="zh-CN"/>
                    </w:rPr>
                    <w:t>6.1.2 贮存实验室危险废物应根据实验室危险废物分类和污染防治要求进行分类贮存，且应避免危险废物与不相容的物质、材料接触。</w:t>
                  </w:r>
                </w:p>
                <w:p w14:paraId="3662A9F5">
                  <w:pPr>
                    <w:pStyle w:val="41"/>
                    <w:bidi w:val="0"/>
                    <w:jc w:val="left"/>
                    <w:rPr>
                      <w:rFonts w:hint="eastAsia"/>
                      <w:color w:val="auto"/>
                      <w:highlight w:val="none"/>
                      <w:lang w:val="zh-CN"/>
                    </w:rPr>
                  </w:pPr>
                  <w:r>
                    <w:rPr>
                      <w:rFonts w:hint="eastAsia"/>
                      <w:color w:val="auto"/>
                      <w:highlight w:val="none"/>
                      <w:lang w:val="zh-CN"/>
                    </w:rPr>
                    <w:t>6.1.3 用于存放实验室危险废物的装置应符合GB/T 41962要求。</w:t>
                  </w:r>
                </w:p>
                <w:p w14:paraId="1D5CC21B">
                  <w:pPr>
                    <w:pStyle w:val="41"/>
                    <w:bidi w:val="0"/>
                    <w:jc w:val="left"/>
                    <w:rPr>
                      <w:color w:val="auto"/>
                      <w:highlight w:val="none"/>
                      <w:lang w:val="zh-CN"/>
                    </w:rPr>
                  </w:pPr>
                  <w:r>
                    <w:rPr>
                      <w:rFonts w:hint="eastAsia"/>
                      <w:color w:val="auto"/>
                      <w:highlight w:val="none"/>
                      <w:lang w:val="zh-CN"/>
                    </w:rPr>
                    <w:t>6.1.4 贮存库或贮存点、容器和包装物应按HJ 1276要求设置危险废物贮存库或贮存点标志、危险废物贮存分区标志和危险废物标签等危险废物识别标志。</w:t>
                  </w:r>
                </w:p>
              </w:tc>
              <w:tc>
                <w:tcPr>
                  <w:tcW w:w="1444" w:type="pct"/>
                  <w:shd w:val="clear" w:color="auto" w:fill="auto"/>
                  <w:vAlign w:val="center"/>
                </w:tcPr>
                <w:p w14:paraId="2B62BF3C">
                  <w:pPr>
                    <w:pStyle w:val="41"/>
                    <w:bidi w:val="0"/>
                    <w:jc w:val="left"/>
                    <w:rPr>
                      <w:rFonts w:hint="eastAsia"/>
                      <w:color w:val="auto"/>
                      <w:highlight w:val="none"/>
                      <w:lang w:val="en-US" w:eastAsia="zh-CN"/>
                    </w:rPr>
                  </w:pPr>
                  <w:r>
                    <w:rPr>
                      <w:rFonts w:hint="eastAsia"/>
                      <w:color w:val="auto"/>
                      <w:highlight w:val="none"/>
                      <w:lang w:val="en-US" w:eastAsia="zh-CN"/>
                    </w:rPr>
                    <w:t>项目建成后企业按照要求建立危废库。</w:t>
                  </w:r>
                </w:p>
                <w:p w14:paraId="53F4AEE9">
                  <w:pPr>
                    <w:pStyle w:val="41"/>
                    <w:bidi w:val="0"/>
                    <w:jc w:val="left"/>
                    <w:rPr>
                      <w:rFonts w:hint="eastAsia"/>
                      <w:color w:val="auto"/>
                      <w:highlight w:val="none"/>
                      <w:lang w:val="en-US" w:eastAsia="zh-CN"/>
                    </w:rPr>
                  </w:pPr>
                  <w:r>
                    <w:rPr>
                      <w:rFonts w:hint="eastAsia"/>
                      <w:color w:val="auto"/>
                      <w:highlight w:val="none"/>
                      <w:lang w:val="en-US" w:eastAsia="zh-CN"/>
                    </w:rPr>
                    <w:t>各类危险废物分类贮存，固体废物密封袋装，液体废物使用密封桶装。危废库应按照要求设立相关标志牌。</w:t>
                  </w:r>
                </w:p>
                <w:p w14:paraId="6BC17AE8">
                  <w:pPr>
                    <w:pStyle w:val="41"/>
                    <w:bidi w:val="0"/>
                    <w:jc w:val="center"/>
                    <w:rPr>
                      <w:rFonts w:hint="default"/>
                      <w:color w:val="auto"/>
                      <w:highlight w:val="none"/>
                      <w:lang w:val="en-US" w:eastAsia="zh-CN"/>
                    </w:rPr>
                  </w:pPr>
                  <w:r>
                    <w:rPr>
                      <w:rFonts w:hint="default"/>
                      <w:color w:val="auto"/>
                      <w:highlight w:val="none"/>
                    </w:rPr>
                    <w:t>贮存点、贮存库管理人员每周对包装容器、防渗漏措施、标签标识、存放期限及投放记录表进行检查，并做好记录。</w:t>
                  </w:r>
                </w:p>
              </w:tc>
              <w:tc>
                <w:tcPr>
                  <w:tcW w:w="522" w:type="pct"/>
                  <w:shd w:val="clear" w:color="auto" w:fill="auto"/>
                  <w:vAlign w:val="center"/>
                </w:tcPr>
                <w:p w14:paraId="6F967F87">
                  <w:pPr>
                    <w:pStyle w:val="41"/>
                    <w:bidi w:val="0"/>
                    <w:rPr>
                      <w:rFonts w:hint="default" w:eastAsia="宋体"/>
                      <w:color w:val="auto"/>
                      <w:highlight w:val="none"/>
                      <w:lang w:val="en-US" w:eastAsia="zh-CN"/>
                    </w:rPr>
                  </w:pPr>
                  <w:r>
                    <w:rPr>
                      <w:rFonts w:hint="eastAsia"/>
                      <w:color w:val="auto"/>
                      <w:highlight w:val="none"/>
                      <w:lang w:val="en-US" w:eastAsia="zh-CN"/>
                    </w:rPr>
                    <w:t xml:space="preserve">相符 </w:t>
                  </w:r>
                </w:p>
              </w:tc>
            </w:tr>
            <w:tr w14:paraId="68010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7" w:type="pct"/>
                  <w:vMerge w:val="continue"/>
                  <w:shd w:val="clear" w:color="auto" w:fill="auto"/>
                  <w:vAlign w:val="center"/>
                </w:tcPr>
                <w:p w14:paraId="37EFC6FF">
                  <w:pPr>
                    <w:pStyle w:val="41"/>
                    <w:bidi w:val="0"/>
                    <w:rPr>
                      <w:rFonts w:hint="eastAsia"/>
                      <w:color w:val="auto"/>
                      <w:highlight w:val="none"/>
                      <w:lang w:val="zh-CN"/>
                    </w:rPr>
                  </w:pPr>
                </w:p>
              </w:tc>
              <w:tc>
                <w:tcPr>
                  <w:tcW w:w="0" w:type="auto"/>
                  <w:shd w:val="clear" w:color="auto" w:fill="auto"/>
                  <w:vAlign w:val="center"/>
                </w:tcPr>
                <w:p w14:paraId="7CF3B84E">
                  <w:pPr>
                    <w:pStyle w:val="41"/>
                    <w:bidi w:val="0"/>
                    <w:jc w:val="left"/>
                    <w:rPr>
                      <w:rFonts w:hint="eastAsia"/>
                      <w:color w:val="auto"/>
                      <w:highlight w:val="none"/>
                      <w:lang w:val="zh-CN"/>
                    </w:rPr>
                  </w:pPr>
                  <w:r>
                    <w:rPr>
                      <w:rFonts w:hint="eastAsia"/>
                      <w:color w:val="auto"/>
                      <w:highlight w:val="none"/>
                      <w:lang w:val="zh-CN"/>
                    </w:rPr>
                    <w:t>8.1 实验室危险废物的产生单位应按附录C规定流程做好危险废物源头分类、投放、暂存、收运、贮存及委托处置等工作，建立并执行危险废物申报登记及管理计划备案、管理台账、转移联单、应急预案备案、信息公开、事故报告等制度。</w:t>
                  </w:r>
                </w:p>
                <w:p w14:paraId="31C1C64D">
                  <w:pPr>
                    <w:pStyle w:val="41"/>
                    <w:bidi w:val="0"/>
                    <w:jc w:val="left"/>
                    <w:rPr>
                      <w:rFonts w:hint="eastAsia"/>
                      <w:color w:val="auto"/>
                      <w:highlight w:val="none"/>
                      <w:lang w:val="zh-CN"/>
                    </w:rPr>
                  </w:pPr>
                  <w:r>
                    <w:rPr>
                      <w:rFonts w:hint="eastAsia"/>
                      <w:color w:val="auto"/>
                      <w:highlight w:val="none"/>
                      <w:lang w:val="zh-CN"/>
                    </w:rPr>
                    <w:t>8.2 实验室危险废物的产生单位应至少配备1名管理人员，负责组织、协调各实验室的危险废物管理工作，监督、检查各实验室危险废物管理工作落实情况。</w:t>
                  </w:r>
                </w:p>
                <w:p w14:paraId="5975818D">
                  <w:pPr>
                    <w:pStyle w:val="41"/>
                    <w:bidi w:val="0"/>
                    <w:jc w:val="left"/>
                    <w:rPr>
                      <w:rFonts w:hint="eastAsia"/>
                      <w:color w:val="auto"/>
                      <w:highlight w:val="none"/>
                      <w:lang w:val="zh-CN"/>
                    </w:rPr>
                  </w:pPr>
                  <w:r>
                    <w:rPr>
                      <w:rFonts w:hint="eastAsia"/>
                      <w:color w:val="auto"/>
                      <w:highlight w:val="none"/>
                      <w:lang w:val="zh-CN"/>
                    </w:rPr>
                    <w:t>8.3 实验室危险废物的产生单位应建立实验室危险废物管理台账，如实记录产生实验室危险废物的种类、数量、流向、贮存、处置等情况。宜采用信息化技术对实验室危险废物环境管理信息进行实时记录。</w:t>
                  </w:r>
                </w:p>
                <w:p w14:paraId="185E3804">
                  <w:pPr>
                    <w:pStyle w:val="41"/>
                    <w:bidi w:val="0"/>
                    <w:jc w:val="left"/>
                    <w:rPr>
                      <w:rFonts w:hint="eastAsia"/>
                      <w:color w:val="auto"/>
                      <w:highlight w:val="none"/>
                      <w:lang w:val="zh-CN"/>
                    </w:rPr>
                  </w:pPr>
                  <w:r>
                    <w:rPr>
                      <w:rFonts w:hint="eastAsia"/>
                      <w:color w:val="auto"/>
                      <w:highlight w:val="none"/>
                      <w:lang w:val="en-US" w:eastAsia="zh-CN"/>
                    </w:rPr>
                    <w:t xml:space="preserve">8.4 </w:t>
                  </w:r>
                  <w:r>
                    <w:rPr>
                      <w:rFonts w:hint="eastAsia"/>
                      <w:color w:val="auto"/>
                      <w:highlight w:val="none"/>
                      <w:lang w:val="zh-CN"/>
                    </w:rPr>
                    <w:t>实验室危险废物的产生单位应开展固体废物污染环境防治的宣传教育和培训，定期对实验室危险废物管理人员和参与实验活动的学员、研究技术人员、业务工作人员以及其他相关人员进行培训，并做好培训记录。</w:t>
                  </w:r>
                </w:p>
              </w:tc>
              <w:tc>
                <w:tcPr>
                  <w:tcW w:w="1444" w:type="pct"/>
                  <w:shd w:val="clear" w:color="auto" w:fill="auto"/>
                  <w:vAlign w:val="center"/>
                </w:tcPr>
                <w:p w14:paraId="2A8088A0">
                  <w:pPr>
                    <w:pStyle w:val="41"/>
                    <w:bidi w:val="0"/>
                    <w:rPr>
                      <w:rFonts w:hint="eastAsia"/>
                      <w:color w:val="auto"/>
                      <w:highlight w:val="none"/>
                      <w:lang w:val="en-US" w:eastAsia="zh-CN"/>
                    </w:rPr>
                  </w:pPr>
                  <w:r>
                    <w:rPr>
                      <w:rFonts w:hint="eastAsia"/>
                      <w:color w:val="auto"/>
                      <w:highlight w:val="none"/>
                      <w:lang w:val="en-US" w:eastAsia="zh-CN"/>
                    </w:rPr>
                    <w:t>实验室危险废物做好分类收集管理工作，建立危险废物管理台账。</w:t>
                  </w:r>
                </w:p>
                <w:p w14:paraId="5F79C2F9">
                  <w:pPr>
                    <w:pStyle w:val="41"/>
                    <w:bidi w:val="0"/>
                    <w:rPr>
                      <w:rFonts w:hint="default" w:eastAsia="宋体"/>
                      <w:color w:val="auto"/>
                      <w:highlight w:val="none"/>
                      <w:lang w:val="en-US" w:eastAsia="zh-CN"/>
                    </w:rPr>
                  </w:pPr>
                  <w:r>
                    <w:rPr>
                      <w:rFonts w:hint="eastAsia"/>
                      <w:color w:val="auto"/>
                      <w:highlight w:val="none"/>
                      <w:lang w:val="en-US" w:eastAsia="zh-CN"/>
                    </w:rPr>
                    <w:t>实验室配备1名管理人员负责危险废物管理工作。针对实验室危险废物，企业应定期</w:t>
                  </w:r>
                  <w:r>
                    <w:rPr>
                      <w:rFonts w:hint="eastAsia"/>
                      <w:color w:val="auto"/>
                      <w:highlight w:val="none"/>
                    </w:rPr>
                    <w:t>开展固体废物污染环境防治的宣传教育和培训</w:t>
                  </w:r>
                  <w:r>
                    <w:rPr>
                      <w:rFonts w:hint="eastAsia"/>
                      <w:color w:val="auto"/>
                      <w:highlight w:val="none"/>
                      <w:lang w:val="en-US" w:eastAsia="zh-CN"/>
                    </w:rPr>
                    <w:t>并做好培训记录。</w:t>
                  </w:r>
                </w:p>
              </w:tc>
              <w:tc>
                <w:tcPr>
                  <w:tcW w:w="522" w:type="pct"/>
                  <w:shd w:val="clear" w:color="auto" w:fill="auto"/>
                  <w:vAlign w:val="center"/>
                </w:tcPr>
                <w:p w14:paraId="6C27F688">
                  <w:pPr>
                    <w:pStyle w:val="41"/>
                    <w:bidi w:val="0"/>
                    <w:rPr>
                      <w:rFonts w:hint="eastAsia" w:eastAsia="宋体"/>
                      <w:color w:val="auto"/>
                      <w:highlight w:val="none"/>
                      <w:lang w:val="en-US" w:eastAsia="zh-CN"/>
                    </w:rPr>
                  </w:pPr>
                  <w:r>
                    <w:rPr>
                      <w:rFonts w:hint="eastAsia"/>
                      <w:color w:val="auto"/>
                      <w:highlight w:val="none"/>
                      <w:lang w:val="en-US" w:eastAsia="zh-CN"/>
                    </w:rPr>
                    <w:t>相符</w:t>
                  </w:r>
                </w:p>
              </w:tc>
            </w:tr>
          </w:tbl>
          <w:p w14:paraId="5CABBC86">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eastAsia"/>
                <w:color w:val="auto"/>
                <w:sz w:val="24"/>
                <w:highlight w:val="none"/>
                <w:lang w:eastAsia="zh-CN"/>
              </w:rPr>
            </w:pPr>
            <w:r>
              <w:rPr>
                <w:rFonts w:hint="eastAsia"/>
                <w:color w:val="auto"/>
                <w:sz w:val="24"/>
                <w:highlight w:val="none"/>
              </w:rPr>
              <w:t>对照《关于进一步加强涉VOC</w:t>
            </w:r>
            <w:r>
              <w:rPr>
                <w:rFonts w:hint="eastAsia"/>
                <w:color w:val="auto"/>
                <w:sz w:val="24"/>
                <w:highlight w:val="none"/>
                <w:vertAlign w:val="subscript"/>
              </w:rPr>
              <w:t>S</w:t>
            </w:r>
            <w:r>
              <w:rPr>
                <w:rFonts w:hint="eastAsia"/>
                <w:color w:val="auto"/>
                <w:sz w:val="24"/>
                <w:highlight w:val="none"/>
              </w:rPr>
              <w:t>建设项目环评文件审批有关要求的通知》（宁环办</w:t>
            </w:r>
            <w:r>
              <w:rPr>
                <w:rFonts w:hint="eastAsia"/>
                <w:color w:val="auto"/>
                <w:sz w:val="24"/>
                <w:highlight w:val="none"/>
                <w:lang w:eastAsia="zh-CN"/>
              </w:rPr>
              <w:t>〔</w:t>
            </w:r>
            <w:r>
              <w:rPr>
                <w:rFonts w:hint="eastAsia"/>
                <w:color w:val="auto"/>
                <w:sz w:val="24"/>
                <w:highlight w:val="none"/>
              </w:rPr>
              <w:t>2021</w:t>
            </w:r>
            <w:r>
              <w:rPr>
                <w:rFonts w:hint="eastAsia"/>
                <w:color w:val="auto"/>
                <w:sz w:val="24"/>
                <w:highlight w:val="none"/>
                <w:lang w:eastAsia="zh-CN"/>
              </w:rPr>
              <w:t>〕</w:t>
            </w:r>
            <w:r>
              <w:rPr>
                <w:rFonts w:hint="eastAsia"/>
                <w:color w:val="auto"/>
                <w:sz w:val="24"/>
                <w:highlight w:val="none"/>
              </w:rPr>
              <w:t>28号）的要求，本项目与其相符性分析如下表</w:t>
            </w:r>
            <w:r>
              <w:rPr>
                <w:rFonts w:hint="eastAsia"/>
                <w:color w:val="auto"/>
                <w:sz w:val="24"/>
                <w:highlight w:val="none"/>
                <w:lang w:eastAsia="zh-CN"/>
              </w:rPr>
              <w:t>。</w:t>
            </w:r>
          </w:p>
          <w:p w14:paraId="0617B388">
            <w:pPr>
              <w:pStyle w:val="43"/>
              <w:bidi w:val="0"/>
              <w:rPr>
                <w:color w:val="auto"/>
                <w:highlight w:val="none"/>
              </w:rPr>
            </w:pPr>
            <w:r>
              <w:rPr>
                <w:rFonts w:hint="eastAsia"/>
                <w:color w:val="auto"/>
                <w:highlight w:val="none"/>
              </w:rPr>
              <w:t>与宁环办</w:t>
            </w:r>
            <w:r>
              <w:rPr>
                <w:rFonts w:hint="eastAsia"/>
                <w:color w:val="auto"/>
                <w:highlight w:val="none"/>
                <w:lang w:eastAsia="zh-CN"/>
              </w:rPr>
              <w:t>〔</w:t>
            </w:r>
            <w:r>
              <w:rPr>
                <w:rFonts w:hint="eastAsia"/>
                <w:color w:val="auto"/>
                <w:highlight w:val="none"/>
              </w:rPr>
              <w:t>2021</w:t>
            </w:r>
            <w:r>
              <w:rPr>
                <w:rFonts w:hint="eastAsia"/>
                <w:color w:val="auto"/>
                <w:highlight w:val="none"/>
                <w:lang w:eastAsia="zh-CN"/>
              </w:rPr>
              <w:t>〕</w:t>
            </w:r>
            <w:r>
              <w:rPr>
                <w:rFonts w:hint="eastAsia"/>
                <w:color w:val="auto"/>
                <w:highlight w:val="none"/>
              </w:rPr>
              <w:t>28号文相符性分析</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3142"/>
              <w:gridCol w:w="2935"/>
              <w:gridCol w:w="872"/>
            </w:tblGrid>
            <w:tr w14:paraId="75BDD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2" w:type="pct"/>
                  <w:vAlign w:val="center"/>
                </w:tcPr>
                <w:p w14:paraId="3F76EF98">
                  <w:pPr>
                    <w:pStyle w:val="41"/>
                    <w:bidi w:val="0"/>
                    <w:rPr>
                      <w:b/>
                      <w:bCs/>
                      <w:color w:val="auto"/>
                      <w:highlight w:val="none"/>
                    </w:rPr>
                  </w:pPr>
                  <w:r>
                    <w:rPr>
                      <w:rFonts w:hint="eastAsia"/>
                      <w:b/>
                      <w:bCs/>
                      <w:color w:val="auto"/>
                      <w:highlight w:val="none"/>
                    </w:rPr>
                    <w:t>项目</w:t>
                  </w:r>
                </w:p>
              </w:tc>
              <w:tc>
                <w:tcPr>
                  <w:tcW w:w="2033" w:type="pct"/>
                  <w:vAlign w:val="center"/>
                </w:tcPr>
                <w:p w14:paraId="78550693">
                  <w:pPr>
                    <w:pStyle w:val="41"/>
                    <w:bidi w:val="0"/>
                    <w:rPr>
                      <w:b/>
                      <w:bCs/>
                      <w:color w:val="auto"/>
                      <w:highlight w:val="none"/>
                    </w:rPr>
                  </w:pPr>
                  <w:r>
                    <w:rPr>
                      <w:rFonts w:hint="eastAsia"/>
                      <w:b/>
                      <w:bCs/>
                      <w:color w:val="auto"/>
                      <w:highlight w:val="none"/>
                    </w:rPr>
                    <w:t>宁环办</w:t>
                  </w:r>
                  <w:r>
                    <w:rPr>
                      <w:rFonts w:hint="eastAsia"/>
                      <w:b/>
                      <w:bCs/>
                      <w:color w:val="auto"/>
                      <w:highlight w:val="none"/>
                      <w:lang w:eastAsia="zh-CN"/>
                    </w:rPr>
                    <w:t>〔</w:t>
                  </w:r>
                  <w:r>
                    <w:rPr>
                      <w:rFonts w:hint="eastAsia"/>
                      <w:b/>
                      <w:bCs/>
                      <w:color w:val="auto"/>
                      <w:highlight w:val="none"/>
                    </w:rPr>
                    <w:t>2021</w:t>
                  </w:r>
                  <w:r>
                    <w:rPr>
                      <w:rFonts w:hint="eastAsia"/>
                      <w:b/>
                      <w:bCs/>
                      <w:color w:val="auto"/>
                      <w:highlight w:val="none"/>
                      <w:lang w:eastAsia="zh-CN"/>
                    </w:rPr>
                    <w:t>〕</w:t>
                  </w:r>
                  <w:r>
                    <w:rPr>
                      <w:rFonts w:hint="eastAsia"/>
                      <w:b/>
                      <w:bCs/>
                      <w:color w:val="auto"/>
                      <w:highlight w:val="none"/>
                    </w:rPr>
                    <w:t>28号文要求</w:t>
                  </w:r>
                </w:p>
              </w:tc>
              <w:tc>
                <w:tcPr>
                  <w:tcW w:w="1899" w:type="pct"/>
                  <w:vAlign w:val="center"/>
                </w:tcPr>
                <w:p w14:paraId="1595D931">
                  <w:pPr>
                    <w:pStyle w:val="41"/>
                    <w:bidi w:val="0"/>
                    <w:rPr>
                      <w:rFonts w:hint="default"/>
                      <w:b/>
                      <w:bCs/>
                      <w:color w:val="auto"/>
                      <w:highlight w:val="none"/>
                      <w:lang w:val="en-US" w:eastAsia="zh-CN"/>
                    </w:rPr>
                  </w:pPr>
                  <w:r>
                    <w:rPr>
                      <w:rFonts w:hint="eastAsia"/>
                      <w:b/>
                      <w:bCs/>
                      <w:color w:val="auto"/>
                      <w:highlight w:val="none"/>
                      <w:lang w:val="en-US" w:eastAsia="zh-CN"/>
                    </w:rPr>
                    <w:t>本项目情况</w:t>
                  </w:r>
                </w:p>
              </w:tc>
              <w:tc>
                <w:tcPr>
                  <w:tcW w:w="564" w:type="pct"/>
                  <w:vAlign w:val="center"/>
                </w:tcPr>
                <w:p w14:paraId="0D222514">
                  <w:pPr>
                    <w:pStyle w:val="41"/>
                    <w:bidi w:val="0"/>
                    <w:rPr>
                      <w:rFonts w:hint="default"/>
                      <w:b/>
                      <w:bCs/>
                      <w:color w:val="auto"/>
                      <w:highlight w:val="none"/>
                      <w:lang w:val="en-US" w:eastAsia="zh-CN"/>
                    </w:rPr>
                  </w:pPr>
                  <w:r>
                    <w:rPr>
                      <w:rFonts w:hint="eastAsia"/>
                      <w:b/>
                      <w:bCs/>
                      <w:color w:val="auto"/>
                      <w:highlight w:val="none"/>
                      <w:lang w:val="en-US" w:eastAsia="zh-CN"/>
                    </w:rPr>
                    <w:t>相符性</w:t>
                  </w:r>
                </w:p>
              </w:tc>
            </w:tr>
            <w:tr w14:paraId="7F39C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2" w:type="pct"/>
                  <w:vMerge w:val="restart"/>
                  <w:vAlign w:val="center"/>
                </w:tcPr>
                <w:p w14:paraId="4AE68CCD">
                  <w:pPr>
                    <w:pStyle w:val="41"/>
                    <w:bidi w:val="0"/>
                    <w:rPr>
                      <w:color w:val="auto"/>
                      <w:highlight w:val="none"/>
                    </w:rPr>
                  </w:pPr>
                  <w:r>
                    <w:rPr>
                      <w:rFonts w:hint="eastAsia"/>
                      <w:color w:val="auto"/>
                      <w:highlight w:val="none"/>
                    </w:rPr>
                    <w:t>一、严格排放标准和排放总量审查</w:t>
                  </w:r>
                </w:p>
              </w:tc>
              <w:tc>
                <w:tcPr>
                  <w:tcW w:w="2033" w:type="pct"/>
                  <w:vAlign w:val="center"/>
                </w:tcPr>
                <w:p w14:paraId="3F86C9FA">
                  <w:pPr>
                    <w:pStyle w:val="41"/>
                    <w:bidi w:val="0"/>
                    <w:rPr>
                      <w:color w:val="auto"/>
                      <w:highlight w:val="none"/>
                    </w:rPr>
                  </w:pPr>
                  <w:r>
                    <w:rPr>
                      <w:rFonts w:hint="eastAsia"/>
                      <w:color w:val="auto"/>
                      <w:highlight w:val="none"/>
                    </w:rPr>
                    <w:t>（一）严格标准审查</w:t>
                  </w:r>
                </w:p>
                <w:p w14:paraId="571A1B15">
                  <w:pPr>
                    <w:pStyle w:val="41"/>
                    <w:bidi w:val="0"/>
                    <w:rPr>
                      <w:color w:val="auto"/>
                      <w:highlight w:val="none"/>
                    </w:rPr>
                  </w:pPr>
                  <w:r>
                    <w:rPr>
                      <w:rFonts w:hint="eastAsia"/>
                      <w:color w:val="auto"/>
                      <w:highlight w:val="none"/>
                    </w:rPr>
                    <w:t>环评审批部门按照审批权限，严格加强排放标准审查。</w:t>
                  </w:r>
                  <w:r>
                    <w:rPr>
                      <w:color w:val="auto"/>
                      <w:highlight w:val="none"/>
                    </w:rPr>
                    <w:t>有行业标准</w:t>
                  </w:r>
                  <w:r>
                    <w:rPr>
                      <w:rFonts w:hint="eastAsia"/>
                      <w:color w:val="auto"/>
                      <w:highlight w:val="none"/>
                    </w:rPr>
                    <w:t>的，严格</w:t>
                  </w:r>
                  <w:r>
                    <w:rPr>
                      <w:color w:val="auto"/>
                      <w:highlight w:val="none"/>
                    </w:rPr>
                    <w:t>执行行业标准</w:t>
                  </w:r>
                  <w:r>
                    <w:rPr>
                      <w:rFonts w:hint="eastAsia"/>
                      <w:color w:val="auto"/>
                      <w:highlight w:val="none"/>
                    </w:rPr>
                    <w:t>要求</w:t>
                  </w:r>
                  <w:r>
                    <w:rPr>
                      <w:color w:val="auto"/>
                      <w:highlight w:val="none"/>
                    </w:rPr>
                    <w:t>，无行业标准</w:t>
                  </w:r>
                  <w:r>
                    <w:rPr>
                      <w:rFonts w:hint="eastAsia"/>
                      <w:color w:val="auto"/>
                      <w:highlight w:val="none"/>
                    </w:rPr>
                    <w:t>的，应</w:t>
                  </w:r>
                  <w:r>
                    <w:rPr>
                      <w:color w:val="auto"/>
                      <w:highlight w:val="none"/>
                    </w:rPr>
                    <w:t>执行国家、江苏省相关排放标准</w:t>
                  </w:r>
                  <w:r>
                    <w:rPr>
                      <w:rFonts w:hint="eastAsia"/>
                      <w:color w:val="auto"/>
                      <w:highlight w:val="none"/>
                    </w:rPr>
                    <w:t>；VOCs无组织排放执行《挥发性有机物无组织排放控制标准》（GB37822-2019），并执行厂区内VOCs特别排放限值。</w:t>
                  </w:r>
                </w:p>
              </w:tc>
              <w:tc>
                <w:tcPr>
                  <w:tcW w:w="1899" w:type="pct"/>
                  <w:vAlign w:val="center"/>
                </w:tcPr>
                <w:p w14:paraId="5EF60E3B">
                  <w:pPr>
                    <w:pStyle w:val="41"/>
                    <w:bidi w:val="0"/>
                    <w:rPr>
                      <w:rFonts w:hint="default" w:eastAsia="宋体"/>
                      <w:color w:val="auto"/>
                      <w:highlight w:val="none"/>
                      <w:lang w:val="en-US" w:eastAsia="zh-CN"/>
                    </w:rPr>
                  </w:pPr>
                  <w:r>
                    <w:rPr>
                      <w:rFonts w:hint="eastAsia"/>
                      <w:color w:val="auto"/>
                      <w:highlight w:val="none"/>
                      <w:lang w:val="en-US" w:eastAsia="zh-CN"/>
                    </w:rPr>
                    <w:t>本项目废气均达标排放。</w:t>
                  </w:r>
                </w:p>
              </w:tc>
              <w:tc>
                <w:tcPr>
                  <w:tcW w:w="564" w:type="pct"/>
                  <w:vAlign w:val="center"/>
                </w:tcPr>
                <w:p w14:paraId="7C9AEAF0">
                  <w:pPr>
                    <w:pStyle w:val="41"/>
                    <w:bidi w:val="0"/>
                    <w:rPr>
                      <w:rFonts w:hint="eastAsia"/>
                      <w:color w:val="auto"/>
                      <w:highlight w:val="none"/>
                      <w:lang w:val="en-US" w:eastAsia="zh-CN"/>
                    </w:rPr>
                  </w:pPr>
                  <w:r>
                    <w:rPr>
                      <w:rFonts w:hint="eastAsia"/>
                      <w:color w:val="auto"/>
                      <w:highlight w:val="none"/>
                      <w:lang w:val="en-US" w:eastAsia="zh-CN"/>
                    </w:rPr>
                    <w:t>相符</w:t>
                  </w:r>
                </w:p>
              </w:tc>
            </w:tr>
            <w:tr w14:paraId="379EF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2" w:type="pct"/>
                  <w:vMerge w:val="continue"/>
                  <w:vAlign w:val="center"/>
                </w:tcPr>
                <w:p w14:paraId="439B6269">
                  <w:pPr>
                    <w:pStyle w:val="41"/>
                    <w:bidi w:val="0"/>
                    <w:rPr>
                      <w:color w:val="auto"/>
                      <w:highlight w:val="none"/>
                    </w:rPr>
                  </w:pPr>
                </w:p>
              </w:tc>
              <w:tc>
                <w:tcPr>
                  <w:tcW w:w="2033" w:type="pct"/>
                  <w:vAlign w:val="center"/>
                </w:tcPr>
                <w:p w14:paraId="0F1A6C18">
                  <w:pPr>
                    <w:pStyle w:val="41"/>
                    <w:bidi w:val="0"/>
                    <w:rPr>
                      <w:color w:val="auto"/>
                      <w:highlight w:val="none"/>
                    </w:rPr>
                  </w:pPr>
                  <w:r>
                    <w:rPr>
                      <w:rFonts w:hint="eastAsia"/>
                      <w:color w:val="auto"/>
                      <w:highlight w:val="none"/>
                    </w:rPr>
                    <w:t>严格总量审查</w:t>
                  </w:r>
                </w:p>
                <w:p w14:paraId="79A04AFF">
                  <w:pPr>
                    <w:pStyle w:val="41"/>
                    <w:bidi w:val="0"/>
                    <w:rPr>
                      <w:color w:val="auto"/>
                      <w:highlight w:val="none"/>
                    </w:rPr>
                  </w:pPr>
                  <w:r>
                    <w:rPr>
                      <w:rFonts w:hint="eastAsia"/>
                      <w:color w:val="auto"/>
                      <w:highlight w:val="none"/>
                    </w:rPr>
                    <w:t>涉新增VOCs排放（含有组织、无组织排放）的建设项目，在环评文件审批前应取得排放总量指标，并实施2倍削减替代。对未完成VOCs总量减排任务的区（园区），暂缓其涉新增VOCs排放的建设项目审批。</w:t>
                  </w:r>
                </w:p>
              </w:tc>
              <w:tc>
                <w:tcPr>
                  <w:tcW w:w="1899" w:type="pct"/>
                  <w:vAlign w:val="center"/>
                </w:tcPr>
                <w:p w14:paraId="16E9C77C">
                  <w:pPr>
                    <w:pStyle w:val="41"/>
                    <w:bidi w:val="0"/>
                    <w:rPr>
                      <w:color w:val="auto"/>
                      <w:highlight w:val="none"/>
                    </w:rPr>
                  </w:pPr>
                  <w:r>
                    <w:rPr>
                      <w:rFonts w:hint="eastAsia"/>
                      <w:color w:val="auto"/>
                      <w:highlight w:val="none"/>
                    </w:rPr>
                    <w:t>本项目已取得南京市江宁生态环境局批准的建设项目排放污染物总量指标（废水污染物由江宁区水减排项目平衡，废气排放总量由江宁区大气减排项目平衡）。</w:t>
                  </w:r>
                </w:p>
              </w:tc>
              <w:tc>
                <w:tcPr>
                  <w:tcW w:w="564" w:type="pct"/>
                  <w:vAlign w:val="center"/>
                </w:tcPr>
                <w:p w14:paraId="782237F2">
                  <w:pPr>
                    <w:pStyle w:val="41"/>
                    <w:bidi w:val="0"/>
                    <w:rPr>
                      <w:rFonts w:hint="eastAsia"/>
                      <w:color w:val="auto"/>
                      <w:highlight w:val="none"/>
                      <w:lang w:val="en-US" w:eastAsia="zh-CN"/>
                    </w:rPr>
                  </w:pPr>
                  <w:r>
                    <w:rPr>
                      <w:rFonts w:hint="eastAsia"/>
                      <w:color w:val="auto"/>
                      <w:highlight w:val="none"/>
                      <w:lang w:val="en-US" w:eastAsia="zh-CN"/>
                    </w:rPr>
                    <w:t>相符</w:t>
                  </w:r>
                </w:p>
              </w:tc>
            </w:tr>
            <w:tr w14:paraId="5918F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2" w:type="pct"/>
                  <w:vMerge w:val="restart"/>
                  <w:vAlign w:val="center"/>
                </w:tcPr>
                <w:p w14:paraId="3CC2EBAA">
                  <w:pPr>
                    <w:pStyle w:val="41"/>
                    <w:bidi w:val="0"/>
                    <w:rPr>
                      <w:color w:val="auto"/>
                      <w:highlight w:val="none"/>
                    </w:rPr>
                  </w:pPr>
                  <w:r>
                    <w:rPr>
                      <w:rFonts w:hint="eastAsia"/>
                      <w:color w:val="auto"/>
                      <w:highlight w:val="none"/>
                    </w:rPr>
                    <w:t>二、严格VOCs污染防治内容审查</w:t>
                  </w:r>
                </w:p>
              </w:tc>
              <w:tc>
                <w:tcPr>
                  <w:tcW w:w="2033" w:type="pct"/>
                  <w:vAlign w:val="center"/>
                </w:tcPr>
                <w:p w14:paraId="772ACD50">
                  <w:pPr>
                    <w:pStyle w:val="41"/>
                    <w:bidi w:val="0"/>
                    <w:rPr>
                      <w:color w:val="auto"/>
                      <w:highlight w:val="none"/>
                    </w:rPr>
                  </w:pPr>
                  <w:r>
                    <w:rPr>
                      <w:rFonts w:hint="eastAsia"/>
                      <w:color w:val="auto"/>
                      <w:highlight w:val="none"/>
                    </w:rPr>
                    <w:t>全面加强源头替代审查</w:t>
                  </w:r>
                </w:p>
                <w:p w14:paraId="03EC4B41">
                  <w:pPr>
                    <w:pStyle w:val="41"/>
                    <w:bidi w:val="0"/>
                    <w:rPr>
                      <w:color w:val="auto"/>
                      <w:highlight w:val="none"/>
                    </w:rPr>
                  </w:pPr>
                  <w:r>
                    <w:rPr>
                      <w:rFonts w:hint="eastAsia"/>
                      <w:color w:val="auto"/>
                      <w:highlight w:val="none"/>
                    </w:rPr>
                    <w:t>使用涂料、油墨、胶粘剂、清洗剂等材料的，VOCs含量应满足国家及省VOCs含量限值要求（附表），优先使用水性、粉末、高固体分、无溶剂、辐射固化等低VOCs含量、低反应活性材料，源头控制VOCs产生。</w:t>
                  </w:r>
                </w:p>
              </w:tc>
              <w:tc>
                <w:tcPr>
                  <w:tcW w:w="1899" w:type="pct"/>
                  <w:vAlign w:val="center"/>
                </w:tcPr>
                <w:p w14:paraId="2E64F3F0">
                  <w:pPr>
                    <w:pStyle w:val="41"/>
                    <w:bidi w:val="0"/>
                    <w:rPr>
                      <w:color w:val="auto"/>
                      <w:highlight w:val="none"/>
                    </w:rPr>
                  </w:pPr>
                  <w:r>
                    <w:rPr>
                      <w:rFonts w:hint="eastAsia"/>
                      <w:color w:val="auto"/>
                      <w:highlight w:val="none"/>
                      <w:lang w:val="zh-CN"/>
                    </w:rPr>
                    <w:t>本项目</w:t>
                  </w:r>
                  <w:r>
                    <w:rPr>
                      <w:rFonts w:hint="eastAsia"/>
                      <w:color w:val="auto"/>
                      <w:highlight w:val="none"/>
                      <w:lang w:val="en-US" w:eastAsia="zh-CN"/>
                    </w:rPr>
                    <w:t>不使用</w:t>
                  </w:r>
                  <w:r>
                    <w:rPr>
                      <w:rFonts w:hint="eastAsia"/>
                      <w:color w:val="auto"/>
                      <w:highlight w:val="none"/>
                    </w:rPr>
                    <w:t>涂料、油墨、胶粘剂、清洗剂等材料</w:t>
                  </w:r>
                  <w:r>
                    <w:rPr>
                      <w:rFonts w:hint="eastAsia"/>
                      <w:color w:val="auto"/>
                      <w:highlight w:val="none"/>
                      <w:lang w:val="zh-CN"/>
                    </w:rPr>
                    <w:t>。</w:t>
                  </w:r>
                </w:p>
              </w:tc>
              <w:tc>
                <w:tcPr>
                  <w:tcW w:w="564" w:type="pct"/>
                  <w:vAlign w:val="center"/>
                </w:tcPr>
                <w:p w14:paraId="700C893E">
                  <w:pPr>
                    <w:pStyle w:val="41"/>
                    <w:bidi w:val="0"/>
                    <w:rPr>
                      <w:rFonts w:hint="eastAsia"/>
                      <w:color w:val="auto"/>
                      <w:highlight w:val="none"/>
                      <w:lang w:val="en-US" w:eastAsia="zh-CN"/>
                    </w:rPr>
                  </w:pPr>
                  <w:r>
                    <w:rPr>
                      <w:rFonts w:hint="eastAsia"/>
                      <w:color w:val="auto"/>
                      <w:highlight w:val="none"/>
                      <w:lang w:val="en-US" w:eastAsia="zh-CN"/>
                    </w:rPr>
                    <w:t>相符</w:t>
                  </w:r>
                </w:p>
              </w:tc>
            </w:tr>
            <w:tr w14:paraId="7A43B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2" w:type="pct"/>
                  <w:vMerge w:val="continue"/>
                  <w:vAlign w:val="center"/>
                </w:tcPr>
                <w:p w14:paraId="67F27812">
                  <w:pPr>
                    <w:pStyle w:val="41"/>
                    <w:bidi w:val="0"/>
                    <w:rPr>
                      <w:color w:val="auto"/>
                      <w:highlight w:val="none"/>
                    </w:rPr>
                  </w:pPr>
                </w:p>
              </w:tc>
              <w:tc>
                <w:tcPr>
                  <w:tcW w:w="2033" w:type="pct"/>
                  <w:vAlign w:val="center"/>
                </w:tcPr>
                <w:p w14:paraId="6DBA86BD">
                  <w:pPr>
                    <w:pStyle w:val="41"/>
                    <w:bidi w:val="0"/>
                    <w:rPr>
                      <w:color w:val="auto"/>
                      <w:highlight w:val="none"/>
                    </w:rPr>
                  </w:pPr>
                  <w:r>
                    <w:rPr>
                      <w:rFonts w:hint="eastAsia"/>
                      <w:color w:val="auto"/>
                      <w:highlight w:val="none"/>
                    </w:rPr>
                    <w:t>全面加强无组织排放控制审查</w:t>
                  </w:r>
                </w:p>
                <w:p w14:paraId="50FAF18A">
                  <w:pPr>
                    <w:pStyle w:val="41"/>
                    <w:bidi w:val="0"/>
                    <w:rPr>
                      <w:color w:val="auto"/>
                      <w:highlight w:val="none"/>
                    </w:rPr>
                  </w:pPr>
                  <w:r>
                    <w:rPr>
                      <w:rFonts w:hint="eastAsia"/>
                      <w:color w:val="auto"/>
                      <w:highlight w:val="none"/>
                    </w:rPr>
                    <w:t>涉VOCs无组织排放的建设项目，环评文件应严格按照《挥发性有机物无组织排放标准》等有关要求，重点加强对含VOCs物料储存、转移和输送、设备与管线组件泄漏、敞开液面逸散以及工艺过程等5类排放源的VOCs管控评价。</w:t>
                  </w:r>
                </w:p>
              </w:tc>
              <w:tc>
                <w:tcPr>
                  <w:tcW w:w="1899" w:type="pct"/>
                  <w:vAlign w:val="center"/>
                </w:tcPr>
                <w:p w14:paraId="294EF928">
                  <w:pPr>
                    <w:pStyle w:val="41"/>
                    <w:bidi w:val="0"/>
                    <w:rPr>
                      <w:color w:val="auto"/>
                      <w:highlight w:val="none"/>
                    </w:rPr>
                  </w:pPr>
                  <w:r>
                    <w:rPr>
                      <w:rFonts w:hint="eastAsia"/>
                      <w:color w:val="auto"/>
                      <w:highlight w:val="none"/>
                      <w:lang w:val="zh-CN"/>
                    </w:rPr>
                    <w:t>本项目废气排放满足</w:t>
                  </w:r>
                  <w:r>
                    <w:rPr>
                      <w:color w:val="auto"/>
                      <w:highlight w:val="none"/>
                    </w:rPr>
                    <w:t>《挥发性有机物无组织排放控制标准》</w:t>
                  </w:r>
                  <w:r>
                    <w:rPr>
                      <w:rFonts w:hint="eastAsia"/>
                      <w:color w:val="auto"/>
                      <w:highlight w:val="none"/>
                    </w:rPr>
                    <w:t>要求，</w:t>
                  </w:r>
                  <w:r>
                    <w:rPr>
                      <w:rFonts w:hint="eastAsia"/>
                      <w:color w:val="auto"/>
                      <w:highlight w:val="none"/>
                      <w:lang w:val="zh-CN"/>
                    </w:rPr>
                    <w:t>生产过程在密闭厂房中进行，</w:t>
                  </w:r>
                  <w:r>
                    <w:rPr>
                      <w:rFonts w:hint="eastAsia"/>
                      <w:color w:val="auto"/>
                      <w:highlight w:val="none"/>
                    </w:rPr>
                    <w:t>含VOCs物料在储存、转移和输送过程中加盖密封</w:t>
                  </w:r>
                  <w:r>
                    <w:rPr>
                      <w:rFonts w:hint="eastAsia"/>
                      <w:color w:val="auto"/>
                      <w:highlight w:val="none"/>
                      <w:lang w:val="zh-CN"/>
                    </w:rPr>
                    <w:t>。</w:t>
                  </w:r>
                </w:p>
              </w:tc>
              <w:tc>
                <w:tcPr>
                  <w:tcW w:w="564" w:type="pct"/>
                  <w:vAlign w:val="center"/>
                </w:tcPr>
                <w:p w14:paraId="11912F52">
                  <w:pPr>
                    <w:pStyle w:val="41"/>
                    <w:bidi w:val="0"/>
                    <w:rPr>
                      <w:rFonts w:hint="eastAsia"/>
                      <w:color w:val="auto"/>
                      <w:highlight w:val="none"/>
                      <w:lang w:val="en-US" w:eastAsia="zh-CN"/>
                    </w:rPr>
                  </w:pPr>
                  <w:r>
                    <w:rPr>
                      <w:rFonts w:hint="eastAsia"/>
                      <w:color w:val="auto"/>
                      <w:highlight w:val="none"/>
                      <w:lang w:val="en-US" w:eastAsia="zh-CN"/>
                    </w:rPr>
                    <w:t>相符</w:t>
                  </w:r>
                </w:p>
              </w:tc>
            </w:tr>
            <w:tr w14:paraId="30818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2" w:type="pct"/>
                  <w:vMerge w:val="continue"/>
                  <w:vAlign w:val="center"/>
                </w:tcPr>
                <w:p w14:paraId="241290FB">
                  <w:pPr>
                    <w:pStyle w:val="41"/>
                    <w:bidi w:val="0"/>
                    <w:rPr>
                      <w:color w:val="auto"/>
                      <w:highlight w:val="none"/>
                    </w:rPr>
                  </w:pPr>
                </w:p>
              </w:tc>
              <w:tc>
                <w:tcPr>
                  <w:tcW w:w="2033" w:type="pct"/>
                  <w:vAlign w:val="center"/>
                </w:tcPr>
                <w:p w14:paraId="189BF37F">
                  <w:pPr>
                    <w:pStyle w:val="41"/>
                    <w:bidi w:val="0"/>
                    <w:rPr>
                      <w:color w:val="auto"/>
                      <w:highlight w:val="none"/>
                    </w:rPr>
                  </w:pPr>
                  <w:r>
                    <w:rPr>
                      <w:rFonts w:hint="eastAsia"/>
                      <w:color w:val="auto"/>
                      <w:highlight w:val="none"/>
                    </w:rPr>
                    <w:t>全面加强末端治理水平审查</w:t>
                  </w:r>
                </w:p>
                <w:p w14:paraId="21E735C2">
                  <w:pPr>
                    <w:pStyle w:val="41"/>
                    <w:bidi w:val="0"/>
                    <w:rPr>
                      <w:color w:val="auto"/>
                      <w:highlight w:val="none"/>
                    </w:rPr>
                  </w:pPr>
                  <w:r>
                    <w:rPr>
                      <w:rFonts w:hint="eastAsia"/>
                      <w:color w:val="auto"/>
                      <w:highlight w:val="none"/>
                    </w:rPr>
                    <w:t>涉VOCs有组织排放的建设项目，环评文件应强化含VOCs废气的处理效果评价，有行业要求的按相关规定执行。单个排口VOCs初始排放速率大于1kg/h的，VOCs废气处理效率原则上应不低于90%，由于技术可行性等因素确实达不到的，应在环评文件中充分论述并确定处理效率要求。</w:t>
                  </w:r>
                </w:p>
              </w:tc>
              <w:tc>
                <w:tcPr>
                  <w:tcW w:w="1899" w:type="pct"/>
                  <w:vAlign w:val="center"/>
                </w:tcPr>
                <w:p w14:paraId="0322A563">
                  <w:pPr>
                    <w:pStyle w:val="41"/>
                    <w:bidi w:val="0"/>
                    <w:rPr>
                      <w:color w:val="auto"/>
                      <w:highlight w:val="none"/>
                    </w:rPr>
                  </w:pPr>
                  <w:r>
                    <w:rPr>
                      <w:rFonts w:hint="eastAsia"/>
                      <w:color w:val="auto"/>
                      <w:highlight w:val="none"/>
                    </w:rPr>
                    <w:t>本项目</w:t>
                  </w:r>
                  <w:r>
                    <w:rPr>
                      <w:rFonts w:hint="eastAsia"/>
                      <w:color w:val="auto"/>
                      <w:highlight w:val="none"/>
                      <w:lang w:val="en-US" w:eastAsia="zh-CN"/>
                    </w:rPr>
                    <w:t>研发过程中试剂挥发废气收集后由2套二级活性炭吸附装置处理，活性炭吸附装置对于非甲烷总烃处理效率为80%，满足文件要求。</w:t>
                  </w:r>
                </w:p>
              </w:tc>
              <w:tc>
                <w:tcPr>
                  <w:tcW w:w="564" w:type="pct"/>
                  <w:vAlign w:val="center"/>
                </w:tcPr>
                <w:p w14:paraId="62D03981">
                  <w:pPr>
                    <w:pStyle w:val="41"/>
                    <w:bidi w:val="0"/>
                    <w:rPr>
                      <w:rFonts w:hint="eastAsia"/>
                      <w:color w:val="auto"/>
                      <w:highlight w:val="none"/>
                      <w:lang w:val="en-US" w:eastAsia="zh-CN"/>
                    </w:rPr>
                  </w:pPr>
                  <w:r>
                    <w:rPr>
                      <w:rFonts w:hint="eastAsia"/>
                      <w:color w:val="auto"/>
                      <w:highlight w:val="none"/>
                      <w:lang w:val="en-US" w:eastAsia="zh-CN"/>
                    </w:rPr>
                    <w:t>相符</w:t>
                  </w:r>
                </w:p>
              </w:tc>
            </w:tr>
            <w:tr w14:paraId="20BAE4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2" w:type="pct"/>
                  <w:vMerge w:val="continue"/>
                  <w:vAlign w:val="center"/>
                </w:tcPr>
                <w:p w14:paraId="3579B702">
                  <w:pPr>
                    <w:pStyle w:val="41"/>
                    <w:bidi w:val="0"/>
                    <w:rPr>
                      <w:color w:val="auto"/>
                      <w:highlight w:val="none"/>
                    </w:rPr>
                  </w:pPr>
                </w:p>
              </w:tc>
              <w:tc>
                <w:tcPr>
                  <w:tcW w:w="2033" w:type="pct"/>
                  <w:vAlign w:val="center"/>
                </w:tcPr>
                <w:p w14:paraId="7115ACB3">
                  <w:pPr>
                    <w:pStyle w:val="41"/>
                    <w:bidi w:val="0"/>
                    <w:rPr>
                      <w:color w:val="auto"/>
                      <w:highlight w:val="none"/>
                    </w:rPr>
                  </w:pPr>
                  <w:r>
                    <w:rPr>
                      <w:rFonts w:hint="eastAsia"/>
                      <w:color w:val="auto"/>
                      <w:highlight w:val="none"/>
                    </w:rPr>
                    <w:t>全面加强台账管理制度审查</w:t>
                  </w:r>
                </w:p>
                <w:p w14:paraId="23FE5C3E">
                  <w:pPr>
                    <w:pStyle w:val="41"/>
                    <w:bidi w:val="0"/>
                    <w:rPr>
                      <w:color w:val="auto"/>
                      <w:highlight w:val="none"/>
                    </w:rPr>
                  </w:pPr>
                  <w:r>
                    <w:rPr>
                      <w:rFonts w:hint="eastAsia"/>
                      <w:color w:val="auto"/>
                      <w:highlight w:val="none"/>
                    </w:rPr>
                    <w:t>涉VOCs排放的建设项目，环评文件中应明确要求规范建立管理台账，记录主要产品产量等基本生产信息。</w:t>
                  </w:r>
                </w:p>
              </w:tc>
              <w:tc>
                <w:tcPr>
                  <w:tcW w:w="1899" w:type="pct"/>
                  <w:vAlign w:val="center"/>
                </w:tcPr>
                <w:p w14:paraId="11CAAD89">
                  <w:pPr>
                    <w:pStyle w:val="41"/>
                    <w:bidi w:val="0"/>
                    <w:rPr>
                      <w:color w:val="auto"/>
                      <w:highlight w:val="none"/>
                    </w:rPr>
                  </w:pPr>
                  <w:r>
                    <w:rPr>
                      <w:color w:val="auto"/>
                      <w:highlight w:val="none"/>
                      <w:lang w:val="zh-CN"/>
                    </w:rPr>
                    <w:t>本报告要求建设单位后期应规范建立</w:t>
                  </w:r>
                  <w:r>
                    <w:rPr>
                      <w:rFonts w:hint="eastAsia"/>
                      <w:color w:val="auto"/>
                      <w:highlight w:val="none"/>
                    </w:rPr>
                    <w:t>管理台账，记录主要产品产量等基本生产信息</w:t>
                  </w:r>
                  <w:r>
                    <w:rPr>
                      <w:rFonts w:hint="eastAsia"/>
                      <w:color w:val="auto"/>
                      <w:highlight w:val="none"/>
                      <w:lang w:val="zh-CN"/>
                    </w:rPr>
                    <w:t>。</w:t>
                  </w:r>
                </w:p>
              </w:tc>
              <w:tc>
                <w:tcPr>
                  <w:tcW w:w="564" w:type="pct"/>
                  <w:vAlign w:val="center"/>
                </w:tcPr>
                <w:p w14:paraId="37E8FC8A">
                  <w:pPr>
                    <w:pStyle w:val="41"/>
                    <w:bidi w:val="0"/>
                    <w:rPr>
                      <w:rFonts w:hint="eastAsia"/>
                      <w:color w:val="auto"/>
                      <w:highlight w:val="none"/>
                      <w:lang w:val="en-US" w:eastAsia="zh-CN"/>
                    </w:rPr>
                  </w:pPr>
                  <w:r>
                    <w:rPr>
                      <w:rFonts w:hint="eastAsia"/>
                      <w:color w:val="auto"/>
                      <w:highlight w:val="none"/>
                      <w:lang w:val="en-US" w:eastAsia="zh-CN"/>
                    </w:rPr>
                    <w:t>相符</w:t>
                  </w:r>
                </w:p>
              </w:tc>
            </w:tr>
            <w:tr w14:paraId="234B0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2" w:type="pct"/>
                  <w:vAlign w:val="center"/>
                </w:tcPr>
                <w:p w14:paraId="73D1C496">
                  <w:pPr>
                    <w:pStyle w:val="41"/>
                    <w:bidi w:val="0"/>
                    <w:rPr>
                      <w:color w:val="auto"/>
                      <w:highlight w:val="none"/>
                    </w:rPr>
                  </w:pPr>
                  <w:r>
                    <w:rPr>
                      <w:rFonts w:hint="eastAsia"/>
                      <w:color w:val="auto"/>
                      <w:highlight w:val="none"/>
                    </w:rPr>
                    <w:t>三、严格建设期间污染防治措施审查</w:t>
                  </w:r>
                </w:p>
              </w:tc>
              <w:tc>
                <w:tcPr>
                  <w:tcW w:w="2033" w:type="pct"/>
                  <w:vAlign w:val="center"/>
                </w:tcPr>
                <w:p w14:paraId="1E0FDB33">
                  <w:pPr>
                    <w:pStyle w:val="41"/>
                    <w:bidi w:val="0"/>
                    <w:rPr>
                      <w:color w:val="auto"/>
                      <w:highlight w:val="none"/>
                    </w:rPr>
                  </w:pPr>
                  <w:r>
                    <w:rPr>
                      <w:rFonts w:hint="eastAsia"/>
                      <w:color w:val="auto"/>
                      <w:highlight w:val="none"/>
                    </w:rPr>
                    <w:t>在项目建设过程中涉及使用涂料、油漆、胶黏剂、油墨、清洗剂等含VOCs产品的，环评文件中应明确要求企业优先使用符合国家和本市要求的低（无）VOCs含量产品。</w:t>
                  </w:r>
                </w:p>
              </w:tc>
              <w:tc>
                <w:tcPr>
                  <w:tcW w:w="1899" w:type="pct"/>
                  <w:vAlign w:val="center"/>
                </w:tcPr>
                <w:p w14:paraId="786781D2">
                  <w:pPr>
                    <w:pStyle w:val="41"/>
                    <w:bidi w:val="0"/>
                    <w:rPr>
                      <w:color w:val="auto"/>
                      <w:highlight w:val="none"/>
                    </w:rPr>
                  </w:pPr>
                  <w:r>
                    <w:rPr>
                      <w:rFonts w:hint="eastAsia"/>
                      <w:color w:val="auto"/>
                      <w:highlight w:val="none"/>
                      <w:lang w:val="zh-CN"/>
                    </w:rPr>
                    <w:t>本项目</w:t>
                  </w:r>
                  <w:r>
                    <w:rPr>
                      <w:rFonts w:hint="eastAsia"/>
                      <w:color w:val="auto"/>
                      <w:highlight w:val="none"/>
                      <w:lang w:val="en-US" w:eastAsia="zh-CN"/>
                    </w:rPr>
                    <w:t>不使用</w:t>
                  </w:r>
                  <w:r>
                    <w:rPr>
                      <w:rFonts w:hint="eastAsia"/>
                      <w:color w:val="auto"/>
                      <w:highlight w:val="none"/>
                    </w:rPr>
                    <w:t>涂料、油漆、胶黏剂、油墨、清洗剂等含VOCs产品</w:t>
                  </w:r>
                  <w:r>
                    <w:rPr>
                      <w:rFonts w:hint="eastAsia"/>
                      <w:color w:val="auto"/>
                      <w:highlight w:val="none"/>
                      <w:lang w:val="zh-CN"/>
                    </w:rPr>
                    <w:t>。</w:t>
                  </w:r>
                </w:p>
              </w:tc>
              <w:tc>
                <w:tcPr>
                  <w:tcW w:w="564" w:type="pct"/>
                  <w:vAlign w:val="center"/>
                </w:tcPr>
                <w:p w14:paraId="6DB814F2">
                  <w:pPr>
                    <w:pStyle w:val="41"/>
                    <w:bidi w:val="0"/>
                    <w:rPr>
                      <w:rFonts w:hint="eastAsia"/>
                      <w:color w:val="auto"/>
                      <w:highlight w:val="none"/>
                      <w:lang w:val="en-US" w:eastAsia="zh-CN"/>
                    </w:rPr>
                  </w:pPr>
                  <w:r>
                    <w:rPr>
                      <w:rFonts w:hint="eastAsia"/>
                      <w:color w:val="auto"/>
                      <w:highlight w:val="none"/>
                      <w:lang w:val="en-US" w:eastAsia="zh-CN"/>
                    </w:rPr>
                    <w:t>相符</w:t>
                  </w:r>
                </w:p>
              </w:tc>
            </w:tr>
            <w:tr w14:paraId="3247E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2" w:type="pct"/>
                  <w:vAlign w:val="center"/>
                </w:tcPr>
                <w:p w14:paraId="177247F7">
                  <w:pPr>
                    <w:pStyle w:val="41"/>
                    <w:bidi w:val="0"/>
                    <w:rPr>
                      <w:color w:val="auto"/>
                      <w:highlight w:val="none"/>
                    </w:rPr>
                  </w:pPr>
                  <w:r>
                    <w:rPr>
                      <w:rFonts w:hint="eastAsia"/>
                      <w:color w:val="auto"/>
                      <w:highlight w:val="none"/>
                    </w:rPr>
                    <w:t>四、做好与相关制度衔接</w:t>
                  </w:r>
                </w:p>
              </w:tc>
              <w:tc>
                <w:tcPr>
                  <w:tcW w:w="2033" w:type="pct"/>
                  <w:vAlign w:val="center"/>
                </w:tcPr>
                <w:p w14:paraId="7C60886E">
                  <w:pPr>
                    <w:pStyle w:val="41"/>
                    <w:bidi w:val="0"/>
                    <w:rPr>
                      <w:color w:val="auto"/>
                      <w:highlight w:val="none"/>
                    </w:rPr>
                  </w:pPr>
                  <w:r>
                    <w:rPr>
                      <w:rFonts w:hint="eastAsia"/>
                      <w:color w:val="auto"/>
                      <w:highlight w:val="none"/>
                    </w:rPr>
                    <w:t>做好“以新带老”要求的落实。涉VOCs排放的新、改、扩建项目，要贯彻“以新带老”原则，鼓励现有项目的涉VOCs生产工艺、原辅材料使用、治理设施按照新要求，同步进行技术升级，逐步淘汰现有的低效处理技术。</w:t>
                  </w:r>
                </w:p>
              </w:tc>
              <w:tc>
                <w:tcPr>
                  <w:tcW w:w="1899" w:type="pct"/>
                  <w:vAlign w:val="center"/>
                </w:tcPr>
                <w:p w14:paraId="4CB85130">
                  <w:pPr>
                    <w:pStyle w:val="41"/>
                    <w:bidi w:val="0"/>
                    <w:rPr>
                      <w:color w:val="auto"/>
                      <w:highlight w:val="none"/>
                    </w:rPr>
                  </w:pPr>
                  <w:r>
                    <w:rPr>
                      <w:rFonts w:hint="eastAsia"/>
                      <w:color w:val="auto"/>
                      <w:highlight w:val="none"/>
                    </w:rPr>
                    <w:t>本项目为新建项目，不存在“以新带老”措施。</w:t>
                  </w:r>
                </w:p>
              </w:tc>
              <w:tc>
                <w:tcPr>
                  <w:tcW w:w="564" w:type="pct"/>
                  <w:vAlign w:val="center"/>
                </w:tcPr>
                <w:p w14:paraId="5BD0C292">
                  <w:pPr>
                    <w:pStyle w:val="41"/>
                    <w:bidi w:val="0"/>
                    <w:rPr>
                      <w:rFonts w:hint="eastAsia"/>
                      <w:color w:val="auto"/>
                      <w:highlight w:val="none"/>
                      <w:lang w:val="en-US" w:eastAsia="zh-CN"/>
                    </w:rPr>
                  </w:pPr>
                  <w:r>
                    <w:rPr>
                      <w:rFonts w:hint="eastAsia"/>
                      <w:color w:val="auto"/>
                      <w:highlight w:val="none"/>
                      <w:lang w:val="en-US" w:eastAsia="zh-CN"/>
                    </w:rPr>
                    <w:t>相符</w:t>
                  </w:r>
                </w:p>
              </w:tc>
            </w:tr>
          </w:tbl>
          <w:p w14:paraId="13A89BF7">
            <w:pPr>
              <w:pStyle w:val="41"/>
              <w:bidi w:val="0"/>
              <w:rPr>
                <w:rFonts w:hint="eastAsia"/>
                <w:color w:val="auto"/>
                <w:highlight w:val="none"/>
                <w:lang w:val="en-US" w:eastAsia="zh-CN"/>
              </w:rPr>
            </w:pPr>
          </w:p>
          <w:p w14:paraId="0A907B36">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lang w:val="zh-CN"/>
              </w:rPr>
            </w:pPr>
            <w:r>
              <w:rPr>
                <w:rFonts w:hint="eastAsia"/>
                <w:b/>
                <w:bCs/>
                <w:color w:val="auto"/>
                <w:highlight w:val="none"/>
                <w:lang w:val="en-US" w:eastAsia="zh-CN"/>
              </w:rPr>
              <w:t>5、安全联动相符性分析</w:t>
            </w:r>
          </w:p>
          <w:p w14:paraId="4CF968C6">
            <w:pPr>
              <w:bidi w:val="0"/>
              <w:ind w:firstLine="480" w:firstLineChars="200"/>
              <w:rPr>
                <w:rFonts w:hint="default"/>
                <w:color w:val="auto"/>
                <w:highlight w:val="none"/>
                <w:lang w:val="zh-CN"/>
              </w:rPr>
            </w:pPr>
            <w:r>
              <w:rPr>
                <w:rFonts w:hint="default"/>
                <w:color w:val="auto"/>
                <w:highlight w:val="none"/>
                <w:lang w:val="zh-CN"/>
              </w:rPr>
              <w:t>根据《关于做好生态环境和应急管理部门联动工作的意见》（苏环办</w:t>
            </w:r>
            <w:r>
              <w:rPr>
                <w:rFonts w:hint="eastAsia"/>
                <w:color w:val="auto"/>
                <w:highlight w:val="none"/>
                <w:lang w:val="zh-CN"/>
              </w:rPr>
              <w:t>〔</w:t>
            </w:r>
            <w:r>
              <w:rPr>
                <w:rFonts w:hint="default"/>
                <w:color w:val="auto"/>
                <w:highlight w:val="none"/>
                <w:lang w:val="zh-CN"/>
              </w:rPr>
              <w:t>2020</w:t>
            </w:r>
            <w:r>
              <w:rPr>
                <w:rFonts w:hint="eastAsia"/>
                <w:color w:val="auto"/>
                <w:highlight w:val="none"/>
                <w:lang w:val="zh-CN"/>
              </w:rPr>
              <w:t>〕</w:t>
            </w:r>
            <w:r>
              <w:rPr>
                <w:rFonts w:hint="default"/>
                <w:color w:val="auto"/>
                <w:highlight w:val="none"/>
                <w:lang w:val="zh-CN"/>
              </w:rPr>
              <w:t>101号）的要求：</w:t>
            </w:r>
          </w:p>
          <w:p w14:paraId="0D9400AF">
            <w:pPr>
              <w:bidi w:val="0"/>
              <w:ind w:firstLine="480" w:firstLineChars="200"/>
              <w:rPr>
                <w:rFonts w:hint="default"/>
                <w:color w:val="auto"/>
                <w:highlight w:val="none"/>
                <w:lang w:val="zh-CN"/>
              </w:rPr>
            </w:pPr>
            <w:r>
              <w:rPr>
                <w:rFonts w:hint="eastAsia"/>
                <w:color w:val="auto"/>
                <w:highlight w:val="none"/>
                <w:lang w:val="zh-CN"/>
              </w:rPr>
              <w:t>企业</w:t>
            </w:r>
            <w:r>
              <w:rPr>
                <w:rFonts w:hint="default"/>
                <w:color w:val="auto"/>
                <w:highlight w:val="none"/>
                <w:lang w:val="zh-CN"/>
              </w:rPr>
              <w:t>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p w14:paraId="1E4CD6EB">
            <w:pPr>
              <w:bidi w:val="0"/>
              <w:ind w:firstLine="480" w:firstLineChars="200"/>
              <w:rPr>
                <w:rFonts w:hint="default"/>
                <w:color w:val="auto"/>
                <w:highlight w:val="none"/>
                <w:lang w:val="zh-CN"/>
              </w:rPr>
            </w:pPr>
            <w:r>
              <w:rPr>
                <w:rFonts w:hint="eastAsia"/>
                <w:color w:val="auto"/>
                <w:highlight w:val="none"/>
                <w:lang w:val="zh-CN"/>
              </w:rPr>
              <w:t>企业</w:t>
            </w:r>
            <w:r>
              <w:rPr>
                <w:rFonts w:hint="default"/>
                <w:color w:val="auto"/>
                <w:highlight w:val="none"/>
                <w:lang w:val="zh-CN"/>
              </w:rPr>
              <w:t>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p w14:paraId="7C584B09">
            <w:pPr>
              <w:pStyle w:val="43"/>
              <w:bidi w:val="0"/>
              <w:rPr>
                <w:rFonts w:hint="default"/>
                <w:color w:val="auto"/>
                <w:highlight w:val="none"/>
                <w:lang w:val="zh-CN"/>
              </w:rPr>
            </w:pPr>
            <w:r>
              <w:rPr>
                <w:rFonts w:hint="default"/>
                <w:color w:val="auto"/>
                <w:highlight w:val="none"/>
                <w:lang w:val="zh-CN"/>
              </w:rPr>
              <w:t>安全风险辨识</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973"/>
              <w:gridCol w:w="3720"/>
              <w:gridCol w:w="1380"/>
            </w:tblGrid>
            <w:tr w14:paraId="77E43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2" w:type="pct"/>
                  <w:noWrap w:val="0"/>
                  <w:vAlign w:val="center"/>
                </w:tcPr>
                <w:p w14:paraId="44BA9ED9">
                  <w:pPr>
                    <w:pStyle w:val="41"/>
                    <w:bidi w:val="0"/>
                    <w:jc w:val="center"/>
                    <w:rPr>
                      <w:rFonts w:hint="default"/>
                      <w:b/>
                      <w:bCs/>
                      <w:color w:val="auto"/>
                      <w:highlight w:val="none"/>
                    </w:rPr>
                  </w:pPr>
                  <w:r>
                    <w:rPr>
                      <w:rFonts w:hint="default"/>
                      <w:b/>
                      <w:bCs/>
                      <w:color w:val="auto"/>
                      <w:highlight w:val="none"/>
                    </w:rPr>
                    <w:t>序号</w:t>
                  </w:r>
                </w:p>
              </w:tc>
              <w:tc>
                <w:tcPr>
                  <w:tcW w:w="1277" w:type="pct"/>
                  <w:noWrap w:val="0"/>
                  <w:vAlign w:val="center"/>
                </w:tcPr>
                <w:p w14:paraId="47F77FBE">
                  <w:pPr>
                    <w:pStyle w:val="41"/>
                    <w:bidi w:val="0"/>
                    <w:jc w:val="center"/>
                    <w:rPr>
                      <w:rFonts w:hint="eastAsia"/>
                      <w:b/>
                      <w:bCs/>
                      <w:color w:val="auto"/>
                      <w:highlight w:val="none"/>
                      <w:lang w:val="en-US" w:eastAsia="zh-CN"/>
                    </w:rPr>
                  </w:pPr>
                  <w:r>
                    <w:rPr>
                      <w:rFonts w:hint="default"/>
                      <w:b/>
                      <w:bCs/>
                      <w:color w:val="auto"/>
                      <w:highlight w:val="none"/>
                    </w:rPr>
                    <w:t>环境治理设施</w:t>
                  </w:r>
                  <w:r>
                    <w:rPr>
                      <w:rFonts w:hint="eastAsia"/>
                      <w:b/>
                      <w:bCs/>
                      <w:color w:val="auto"/>
                      <w:highlight w:val="none"/>
                      <w:lang w:val="en-US" w:eastAsia="zh-CN"/>
                    </w:rPr>
                    <w:t>类别</w:t>
                  </w:r>
                </w:p>
              </w:tc>
              <w:tc>
                <w:tcPr>
                  <w:tcW w:w="2407" w:type="pct"/>
                  <w:noWrap w:val="0"/>
                  <w:vAlign w:val="center"/>
                </w:tcPr>
                <w:p w14:paraId="148D3EEC">
                  <w:pPr>
                    <w:pStyle w:val="41"/>
                    <w:bidi w:val="0"/>
                    <w:jc w:val="center"/>
                    <w:rPr>
                      <w:rFonts w:hint="default"/>
                      <w:b/>
                      <w:bCs/>
                      <w:color w:val="auto"/>
                      <w:highlight w:val="none"/>
                    </w:rPr>
                  </w:pPr>
                  <w:r>
                    <w:rPr>
                      <w:rFonts w:hint="default"/>
                      <w:b/>
                      <w:bCs/>
                      <w:color w:val="auto"/>
                      <w:highlight w:val="none"/>
                    </w:rPr>
                    <w:t>项目涉及的</w:t>
                  </w:r>
                  <w:r>
                    <w:rPr>
                      <w:rFonts w:hint="eastAsia"/>
                      <w:b/>
                      <w:bCs/>
                      <w:color w:val="auto"/>
                      <w:highlight w:val="none"/>
                      <w:lang w:val="en-US" w:eastAsia="zh-CN"/>
                    </w:rPr>
                    <w:t>处理</w:t>
                  </w:r>
                  <w:r>
                    <w:rPr>
                      <w:rFonts w:hint="default"/>
                      <w:b/>
                      <w:bCs/>
                      <w:color w:val="auto"/>
                      <w:highlight w:val="none"/>
                    </w:rPr>
                    <w:t>设施</w:t>
                  </w:r>
                </w:p>
              </w:tc>
              <w:tc>
                <w:tcPr>
                  <w:tcW w:w="893" w:type="pct"/>
                  <w:noWrap w:val="0"/>
                  <w:vAlign w:val="center"/>
                </w:tcPr>
                <w:p w14:paraId="43E051D4">
                  <w:pPr>
                    <w:pStyle w:val="41"/>
                    <w:bidi w:val="0"/>
                    <w:jc w:val="center"/>
                    <w:rPr>
                      <w:rFonts w:hint="eastAsia"/>
                      <w:b/>
                      <w:bCs/>
                      <w:color w:val="auto"/>
                      <w:highlight w:val="none"/>
                      <w:lang w:val="en-US" w:eastAsia="zh-CN"/>
                    </w:rPr>
                  </w:pPr>
                  <w:r>
                    <w:rPr>
                      <w:rFonts w:hint="eastAsia"/>
                      <w:b/>
                      <w:bCs/>
                      <w:color w:val="auto"/>
                      <w:highlight w:val="none"/>
                      <w:lang w:val="en-US" w:eastAsia="zh-CN"/>
                    </w:rPr>
                    <w:t>去向</w:t>
                  </w:r>
                </w:p>
              </w:tc>
            </w:tr>
            <w:tr w14:paraId="6BB07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2" w:type="pct"/>
                  <w:noWrap w:val="0"/>
                  <w:vAlign w:val="center"/>
                </w:tcPr>
                <w:p w14:paraId="67F0B435">
                  <w:pPr>
                    <w:pStyle w:val="41"/>
                    <w:rPr>
                      <w:rFonts w:hint="default"/>
                      <w:color w:val="auto"/>
                      <w:highlight w:val="none"/>
                      <w:lang w:val="en-US" w:eastAsia="zh-CN"/>
                    </w:rPr>
                  </w:pPr>
                  <w:r>
                    <w:rPr>
                      <w:rFonts w:hint="eastAsia"/>
                      <w:color w:val="auto"/>
                      <w:highlight w:val="none"/>
                      <w:lang w:val="en-US" w:eastAsia="zh-CN"/>
                    </w:rPr>
                    <w:t>1</w:t>
                  </w:r>
                </w:p>
              </w:tc>
              <w:tc>
                <w:tcPr>
                  <w:tcW w:w="1277" w:type="pct"/>
                  <w:vMerge w:val="restart"/>
                  <w:noWrap w:val="0"/>
                  <w:vAlign w:val="center"/>
                </w:tcPr>
                <w:p w14:paraId="5D3CC2AF">
                  <w:pPr>
                    <w:pStyle w:val="41"/>
                    <w:rPr>
                      <w:rFonts w:hint="default" w:eastAsia="宋体"/>
                      <w:color w:val="auto"/>
                      <w:highlight w:val="none"/>
                      <w:lang w:val="en-US" w:eastAsia="zh-CN"/>
                    </w:rPr>
                  </w:pPr>
                  <w:r>
                    <w:rPr>
                      <w:rFonts w:hint="eastAsia"/>
                      <w:color w:val="auto"/>
                      <w:highlight w:val="none"/>
                      <w:lang w:val="en-US" w:eastAsia="zh-CN"/>
                    </w:rPr>
                    <w:t>污水处理</w:t>
                  </w:r>
                </w:p>
              </w:tc>
              <w:tc>
                <w:tcPr>
                  <w:tcW w:w="2407" w:type="pct"/>
                  <w:noWrap w:val="0"/>
                  <w:vAlign w:val="center"/>
                </w:tcPr>
                <w:p w14:paraId="46304623">
                  <w:pPr>
                    <w:pStyle w:val="41"/>
                    <w:rPr>
                      <w:rFonts w:hint="default"/>
                      <w:color w:val="auto"/>
                      <w:highlight w:val="none"/>
                      <w:lang w:val="en-US" w:eastAsia="zh-CN"/>
                    </w:rPr>
                  </w:pPr>
                  <w:r>
                    <w:rPr>
                      <w:rFonts w:hint="eastAsia"/>
                      <w:color w:val="auto"/>
                      <w:highlight w:val="none"/>
                      <w:lang w:val="en-US" w:eastAsia="zh-CN"/>
                    </w:rPr>
                    <w:t>25t/d污水处理站（1号楼）TW003，处理工艺：中和+混凝沉淀+水解酸化+AO</w:t>
                  </w:r>
                </w:p>
              </w:tc>
              <w:tc>
                <w:tcPr>
                  <w:tcW w:w="893" w:type="pct"/>
                  <w:vMerge w:val="restart"/>
                  <w:noWrap w:val="0"/>
                  <w:vAlign w:val="center"/>
                </w:tcPr>
                <w:p w14:paraId="7A295540">
                  <w:pPr>
                    <w:pStyle w:val="41"/>
                    <w:rPr>
                      <w:rFonts w:hint="default" w:eastAsia="宋体"/>
                      <w:color w:val="auto"/>
                      <w:highlight w:val="none"/>
                      <w:lang w:val="en-US" w:eastAsia="zh-CN"/>
                    </w:rPr>
                  </w:pPr>
                  <w:r>
                    <w:rPr>
                      <w:rFonts w:hint="eastAsia"/>
                      <w:color w:val="auto"/>
                      <w:highlight w:val="none"/>
                      <w:lang w:val="en-US" w:eastAsia="zh-CN"/>
                    </w:rPr>
                    <w:t>接管至高新区污水处理厂</w:t>
                  </w:r>
                </w:p>
              </w:tc>
            </w:tr>
            <w:tr w14:paraId="11330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2" w:type="pct"/>
                  <w:noWrap w:val="0"/>
                  <w:vAlign w:val="center"/>
                </w:tcPr>
                <w:p w14:paraId="03601ED8">
                  <w:pPr>
                    <w:pStyle w:val="41"/>
                    <w:rPr>
                      <w:rFonts w:hint="default"/>
                      <w:color w:val="auto"/>
                      <w:highlight w:val="none"/>
                      <w:lang w:val="en-US" w:eastAsia="zh-CN"/>
                    </w:rPr>
                  </w:pPr>
                  <w:r>
                    <w:rPr>
                      <w:rFonts w:hint="eastAsia"/>
                      <w:color w:val="auto"/>
                      <w:highlight w:val="none"/>
                      <w:lang w:val="en-US" w:eastAsia="zh-CN"/>
                    </w:rPr>
                    <w:t>2</w:t>
                  </w:r>
                </w:p>
              </w:tc>
              <w:tc>
                <w:tcPr>
                  <w:tcW w:w="1277" w:type="pct"/>
                  <w:vMerge w:val="continue"/>
                  <w:noWrap w:val="0"/>
                  <w:vAlign w:val="center"/>
                </w:tcPr>
                <w:p w14:paraId="3BF0F9BA">
                  <w:pPr>
                    <w:pStyle w:val="41"/>
                    <w:rPr>
                      <w:rFonts w:hint="eastAsia"/>
                      <w:color w:val="auto"/>
                      <w:highlight w:val="none"/>
                      <w:lang w:val="en-US" w:eastAsia="zh-CN"/>
                    </w:rPr>
                  </w:pPr>
                </w:p>
              </w:tc>
              <w:tc>
                <w:tcPr>
                  <w:tcW w:w="2407" w:type="pct"/>
                  <w:noWrap w:val="0"/>
                  <w:vAlign w:val="center"/>
                </w:tcPr>
                <w:p w14:paraId="51E8AF21">
                  <w:pPr>
                    <w:pStyle w:val="41"/>
                    <w:rPr>
                      <w:rFonts w:hint="eastAsia"/>
                      <w:color w:val="auto"/>
                      <w:highlight w:val="none"/>
                      <w:lang w:val="en-US" w:eastAsia="zh-CN"/>
                    </w:rPr>
                  </w:pPr>
                  <w:r>
                    <w:rPr>
                      <w:rFonts w:hint="eastAsia"/>
                      <w:color w:val="auto"/>
                      <w:highlight w:val="none"/>
                      <w:lang w:val="en-US" w:eastAsia="zh-CN"/>
                    </w:rPr>
                    <w:t>30m</w:t>
                  </w:r>
                  <w:r>
                    <w:rPr>
                      <w:rFonts w:hint="eastAsia"/>
                      <w:color w:val="auto"/>
                      <w:highlight w:val="none"/>
                      <w:vertAlign w:val="superscript"/>
                      <w:lang w:val="en-US" w:eastAsia="zh-CN"/>
                    </w:rPr>
                    <w:t>3</w:t>
                  </w:r>
                  <w:r>
                    <w:rPr>
                      <w:rFonts w:hint="eastAsia"/>
                      <w:color w:val="auto"/>
                      <w:highlight w:val="none"/>
                      <w:lang w:val="en-US" w:eastAsia="zh-CN"/>
                    </w:rPr>
                    <w:t>化粪池TW001</w:t>
                  </w:r>
                </w:p>
              </w:tc>
              <w:tc>
                <w:tcPr>
                  <w:tcW w:w="893" w:type="pct"/>
                  <w:vMerge w:val="continue"/>
                  <w:noWrap w:val="0"/>
                  <w:vAlign w:val="center"/>
                </w:tcPr>
                <w:p w14:paraId="3545909C">
                  <w:pPr>
                    <w:pStyle w:val="41"/>
                    <w:rPr>
                      <w:rFonts w:hint="eastAsia"/>
                      <w:color w:val="auto"/>
                      <w:highlight w:val="none"/>
                      <w:lang w:val="en-US" w:eastAsia="zh-CN"/>
                    </w:rPr>
                  </w:pPr>
                </w:p>
              </w:tc>
            </w:tr>
          </w:tbl>
          <w:p w14:paraId="4DB0D1E3">
            <w:pPr>
              <w:pStyle w:val="41"/>
              <w:bidi w:val="0"/>
              <w:rPr>
                <w:rFonts w:hint="default"/>
              </w:rPr>
            </w:pPr>
          </w:p>
          <w:p w14:paraId="6CFF0AB6">
            <w:pPr>
              <w:bidi w:val="0"/>
              <w:ind w:firstLine="480" w:firstLineChars="200"/>
              <w:rPr>
                <w:rFonts w:hint="default"/>
                <w:color w:val="auto"/>
                <w:kern w:val="0"/>
                <w:szCs w:val="21"/>
                <w:highlight w:val="none"/>
                <w:lang w:val="en-US" w:eastAsia="zh-CN"/>
              </w:rPr>
            </w:pPr>
            <w:r>
              <w:rPr>
                <w:rFonts w:hint="default" w:ascii="Times New Roman" w:hAnsi="Times New Roman" w:eastAsia="Times New Roman" w:cs="Times New Roman"/>
                <w:color w:val="auto"/>
                <w:sz w:val="24"/>
                <w:highlight w:val="none"/>
              </w:rPr>
              <w:t>本环评要求</w:t>
            </w:r>
            <w:r>
              <w:rPr>
                <w:rFonts w:hint="eastAsia" w:ascii="Times New Roman" w:hAnsi="Times New Roman" w:eastAsia="Times New Roman" w:cs="Times New Roman"/>
                <w:color w:val="auto"/>
                <w:sz w:val="24"/>
                <w:highlight w:val="none"/>
                <w:lang w:val="zh-CN"/>
              </w:rPr>
              <w:t>企业</w:t>
            </w:r>
            <w:r>
              <w:rPr>
                <w:rFonts w:hint="default" w:ascii="Times New Roman" w:hAnsi="Times New Roman" w:eastAsia="Times New Roman" w:cs="Times New Roman"/>
                <w:color w:val="auto"/>
                <w:sz w:val="24"/>
                <w:highlight w:val="none"/>
              </w:rPr>
              <w:t>按该文件要求在运营过程中切实履行好自身主体责任，配合相关部门积极有效开展环境保护和应急管理工作。</w:t>
            </w:r>
          </w:p>
        </w:tc>
      </w:tr>
    </w:tbl>
    <w:p w14:paraId="36CEE113">
      <w:pPr>
        <w:pStyle w:val="27"/>
        <w:keepNext w:val="0"/>
        <w:keepLines w:val="0"/>
        <w:pageBreakBefore/>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二、建设项目工程分析</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604"/>
      </w:tblGrid>
      <w:tr w14:paraId="4DD038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150" w:hRule="atLeast"/>
          <w:jc w:val="center"/>
        </w:trPr>
        <w:tc>
          <w:tcPr>
            <w:tcW w:w="457" w:type="dxa"/>
            <w:vAlign w:val="center"/>
          </w:tcPr>
          <w:p w14:paraId="0179005A">
            <w:pPr>
              <w:pStyle w:val="27"/>
              <w:adjustRightInd w:val="0"/>
              <w:snapToGrid w:val="0"/>
              <w:spacing w:before="0" w:beforeAutospacing="0" w:after="0" w:afterAutospacing="0" w:line="240" w:lineRule="auto"/>
              <w:jc w:val="center"/>
              <w:rPr>
                <w:rFonts w:ascii="Times New Roman" w:hAnsi="Times New Roman"/>
                <w:color w:val="auto"/>
                <w:sz w:val="21"/>
                <w:szCs w:val="21"/>
                <w:highlight w:val="none"/>
              </w:rPr>
            </w:pPr>
            <w:r>
              <w:rPr>
                <w:rFonts w:ascii="Times New Roman" w:hAnsi="Times New Roman"/>
                <w:b/>
                <w:bCs/>
                <w:color w:val="auto"/>
                <w:szCs w:val="24"/>
                <w:highlight w:val="none"/>
              </w:rPr>
              <w:t>建设内容</w:t>
            </w:r>
          </w:p>
        </w:tc>
        <w:tc>
          <w:tcPr>
            <w:tcW w:w="8604" w:type="dxa"/>
          </w:tcPr>
          <w:p w14:paraId="6F497777">
            <w:pPr>
              <w:bidi w:val="0"/>
              <w:ind w:firstLine="482" w:firstLineChars="200"/>
              <w:rPr>
                <w:b/>
                <w:bCs/>
                <w:color w:val="auto"/>
                <w:sz w:val="24"/>
                <w:highlight w:val="none"/>
                <w:lang w:val="zh-CN"/>
              </w:rPr>
            </w:pPr>
            <w:r>
              <w:rPr>
                <w:rFonts w:hint="eastAsia"/>
                <w:b/>
                <w:bCs/>
                <w:color w:val="auto"/>
                <w:sz w:val="24"/>
                <w:highlight w:val="none"/>
              </w:rPr>
              <w:t>1、</w:t>
            </w:r>
            <w:r>
              <w:rPr>
                <w:b/>
                <w:bCs/>
                <w:color w:val="auto"/>
                <w:sz w:val="24"/>
                <w:highlight w:val="none"/>
                <w:lang w:val="zh-CN"/>
              </w:rPr>
              <w:t>项目由来</w:t>
            </w:r>
          </w:p>
          <w:p w14:paraId="2D126149">
            <w:pPr>
              <w:bidi w:val="0"/>
              <w:ind w:firstLine="480" w:firstLineChars="200"/>
              <w:rPr>
                <w:rFonts w:hint="default" w:ascii="Times New Roman" w:hAnsi="Times New Roman" w:eastAsia="宋体"/>
                <w:color w:val="auto"/>
                <w:highlight w:val="none"/>
                <w:lang w:val="en-US" w:eastAsia="zh-CN"/>
              </w:rPr>
            </w:pPr>
            <w:r>
              <w:rPr>
                <w:rFonts w:hint="eastAsia"/>
                <w:color w:val="auto"/>
                <w:highlight w:val="none"/>
                <w:lang w:eastAsia="zh-CN"/>
              </w:rPr>
              <w:t>江苏康缘医药科技发展有限责任公司</w:t>
            </w:r>
            <w:r>
              <w:rPr>
                <w:rFonts w:hint="eastAsia" w:ascii="Times New Roman" w:hAnsi="Times New Roman" w:eastAsia="宋体"/>
                <w:color w:val="auto"/>
                <w:highlight w:val="none"/>
                <w:lang w:eastAsia="zh-CN"/>
              </w:rPr>
              <w:t>（以下简称“企业”）位于</w:t>
            </w:r>
            <w:r>
              <w:rPr>
                <w:rFonts w:hint="eastAsia"/>
                <w:color w:val="auto"/>
                <w:highlight w:val="none"/>
                <w:lang w:val="en-US" w:eastAsia="zh-CN"/>
              </w:rPr>
              <w:t>南京市江宁区龙眠大道578号的康缘医药科技园，园区内主要进行药物研发工作。</w:t>
            </w:r>
          </w:p>
          <w:p w14:paraId="66115995">
            <w:pPr>
              <w:bidi w:val="0"/>
              <w:ind w:firstLine="48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2014年企业委托编制了《康缘医药科技园厂房建设项目环境影响报告表》，该项目于2014年4月25日通过南京市江宁区环境保护局审批，主要建设内容为建设5栋多功能楼及1栋总部大楼，5栋多功能楼已建成，企业于2015年6月4日通过南京市江宁区环境保护局阶段性验收</w:t>
            </w:r>
            <w:r>
              <w:rPr>
                <w:rFonts w:hint="eastAsia"/>
                <w:color w:val="auto"/>
                <w:highlight w:val="none"/>
                <w:lang w:val="en-US" w:eastAsia="zh-CN"/>
              </w:rPr>
              <w:t>，验收内容为</w:t>
            </w:r>
            <w:r>
              <w:rPr>
                <w:rFonts w:hint="eastAsia" w:ascii="Times New Roman" w:hAnsi="Times New Roman" w:eastAsia="宋体"/>
                <w:color w:val="auto"/>
                <w:highlight w:val="none"/>
                <w:lang w:val="en-US" w:eastAsia="zh-CN"/>
              </w:rPr>
              <w:t>5栋多功能楼。1栋总部大楼目前处于建设中，未建成。</w:t>
            </w:r>
          </w:p>
          <w:p w14:paraId="6A6FCEB6">
            <w:pPr>
              <w:bidi w:val="0"/>
              <w:ind w:firstLine="48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2016年企业委托编制了《康缘医药科技园项目环境影响报告表》，该项目于2016年12月18日通过南京市江宁区环境保护局审批，主要建设内容为将5号楼改造为中药、天然药物研发楼，将7号楼改造为重组蛋白药物研发楼，企业于2019年2月25日对该项目进行了自主验收。</w:t>
            </w:r>
          </w:p>
          <w:p w14:paraId="482C6B19">
            <w:pPr>
              <w:bidi w:val="0"/>
              <w:ind w:firstLine="48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2021年企业委托编制了《康缘医药科技园6号楼改建项目环境影响报告表》，该项目于2021年12月28日通过南京市生态环境局审批，主要建设内容为将6号楼改造为重组蛋白药物及微生物诊断试剂研发楼，该项目</w:t>
            </w:r>
            <w:r>
              <w:rPr>
                <w:rFonts w:hint="eastAsia"/>
                <w:color w:val="auto"/>
                <w:highlight w:val="none"/>
                <w:lang w:val="en-US" w:eastAsia="zh-CN"/>
              </w:rPr>
              <w:t>现</w:t>
            </w:r>
            <w:r>
              <w:rPr>
                <w:rFonts w:hint="eastAsia" w:ascii="Times New Roman" w:hAnsi="Times New Roman" w:eastAsia="宋体"/>
                <w:color w:val="auto"/>
                <w:highlight w:val="none"/>
                <w:lang w:val="en-US" w:eastAsia="zh-CN"/>
              </w:rPr>
              <w:t>已建成，处于调试阶段，暂未进行验收。</w:t>
            </w:r>
          </w:p>
          <w:p w14:paraId="46996F5D">
            <w:pPr>
              <w:bidi w:val="0"/>
              <w:ind w:firstLine="48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2023年企业委托编制了《创新中药人工智能及多组学研究平台项目环境影响报告表》，该项目于2023年3月7日通过南京市生态环境局审批，主要建设内容为将3号楼改造为中药研发楼，企业于2024年12月6日对该项目进行了自主验收。</w:t>
            </w:r>
          </w:p>
          <w:p w14:paraId="5004A555">
            <w:pPr>
              <w:bidi w:val="0"/>
              <w:ind w:firstLine="48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2024年企业填报了《康缘污水站扩容改造项目环境影响登记表》，针对厂区内污水处理站</w:t>
            </w:r>
            <w:r>
              <w:rPr>
                <w:rFonts w:hint="eastAsia"/>
                <w:color w:val="auto"/>
                <w:highlight w:val="none"/>
                <w:lang w:val="en-US" w:eastAsia="zh-CN"/>
              </w:rPr>
              <w:t>（7号楼）</w:t>
            </w:r>
            <w:r>
              <w:rPr>
                <w:rFonts w:hint="eastAsia" w:ascii="Times New Roman" w:hAnsi="Times New Roman" w:eastAsia="宋体"/>
                <w:color w:val="auto"/>
                <w:highlight w:val="none"/>
                <w:lang w:val="en-US" w:eastAsia="zh-CN"/>
              </w:rPr>
              <w:t>进行扩容改造，改造后污水处理能力为15t/d，污水处理工艺为“灭活+絮凝+水解酸化+接触氧化+除磷反应池”，备案号：202432011500000425。</w:t>
            </w:r>
          </w:p>
          <w:p w14:paraId="219F57AE">
            <w:pPr>
              <w:bidi w:val="0"/>
              <w:ind w:firstLine="480" w:firstLineChars="20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目前厂区内共建成5栋楼，其中</w:t>
            </w:r>
            <w:r>
              <w:rPr>
                <w:rFonts w:hint="eastAsia"/>
                <w:color w:val="auto"/>
                <w:highlight w:val="none"/>
                <w:lang w:val="en-US" w:eastAsia="zh-CN"/>
              </w:rPr>
              <w:t>3号楼、5号楼主要进行中药研发，6号楼、7号楼主要进行生物药研发，8号楼为办公楼，</w:t>
            </w:r>
            <w:r>
              <w:rPr>
                <w:rFonts w:hint="eastAsia" w:ascii="Times New Roman" w:hAnsi="Times New Roman" w:eastAsia="宋体"/>
                <w:color w:val="auto"/>
                <w:highlight w:val="none"/>
                <w:lang w:val="en-US" w:eastAsia="zh-CN"/>
              </w:rPr>
              <w:t>1栋总部大楼（1号楼）处于建设中。</w:t>
            </w:r>
          </w:p>
          <w:p w14:paraId="6E89CDA9">
            <w:pPr>
              <w:bidi w:val="0"/>
              <w:ind w:firstLine="48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现企业拟建设“康缘医药科技园1号楼改建项目”（以下</w:t>
            </w:r>
            <w:r>
              <w:rPr>
                <w:rFonts w:hint="eastAsia" w:ascii="Times New Roman" w:hAnsi="Times New Roman" w:eastAsia="宋体"/>
                <w:color w:val="auto"/>
                <w:highlight w:val="none"/>
                <w:lang w:eastAsia="zh-CN"/>
              </w:rPr>
              <w:t>简称“</w:t>
            </w:r>
            <w:r>
              <w:rPr>
                <w:rFonts w:hint="eastAsia" w:ascii="Times New Roman" w:hAnsi="Times New Roman" w:eastAsia="宋体"/>
                <w:color w:val="auto"/>
                <w:highlight w:val="none"/>
                <w:lang w:val="en-US" w:eastAsia="zh-CN"/>
              </w:rPr>
              <w:t>本项目</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建设内容为利用建成后的1号楼，建筑面积46157.23平方米，从事中药研发。拟将园区内现有3号楼、5号楼的中药研发实验室搬迁至1号楼，同时增设4项中药研发内容，主要研发方向为：天然产物结构修饰、七味通痹口服液药物代谢实验、玉女煎成分分析、止痒颗粒。主要原材料：中药提取物、细胞培养基、琼脂糖、培养皿等。主要研发设备：厌氧工作站、液相色谱仪、紫外分析仪等。项目建成后1号楼进行研发实验约4000例/年。</w:t>
            </w:r>
          </w:p>
          <w:p w14:paraId="73921213">
            <w:pPr>
              <w:bidi w:val="0"/>
              <w:ind w:firstLine="480" w:firstLineChars="200"/>
              <w:rPr>
                <w:rFonts w:hint="default"/>
                <w:color w:val="auto"/>
                <w:sz w:val="24"/>
                <w:highlight w:val="none"/>
                <w:lang w:val="en-US" w:eastAsia="zh-CN"/>
              </w:rPr>
            </w:pPr>
            <w:r>
              <w:rPr>
                <w:rFonts w:hint="eastAsia"/>
                <w:color w:val="auto"/>
                <w:sz w:val="24"/>
                <w:highlight w:val="none"/>
                <w:lang w:val="en-US" w:eastAsia="zh-CN"/>
              </w:rPr>
              <w:t>本项目建成后园区内</w:t>
            </w:r>
            <w:r>
              <w:rPr>
                <w:rFonts w:hint="eastAsia" w:ascii="Times New Roman" w:hAnsi="Times New Roman" w:eastAsia="宋体"/>
                <w:color w:val="auto"/>
                <w:highlight w:val="none"/>
                <w:lang w:val="en-US" w:eastAsia="zh-CN"/>
              </w:rPr>
              <w:t>共有6栋楼，1号楼主要进行中药研发，</w:t>
            </w:r>
            <w:r>
              <w:rPr>
                <w:rFonts w:hint="eastAsia"/>
                <w:color w:val="auto"/>
                <w:highlight w:val="none"/>
                <w:lang w:val="en-US" w:eastAsia="zh-CN"/>
              </w:rPr>
              <w:t>3号楼、5号楼暂时闲置，6号楼、7号楼主要进行生物药研发，8号楼为办公楼。</w:t>
            </w:r>
          </w:p>
          <w:p w14:paraId="66C44F1E">
            <w:pPr>
              <w:shd w:val="clear" w:fill="FFFFFF" w:themeFill="background1"/>
              <w:bidi w:val="0"/>
              <w:ind w:firstLine="480" w:firstLineChars="200"/>
              <w:rPr>
                <w:rFonts w:hint="eastAsia"/>
                <w:color w:val="auto"/>
                <w:sz w:val="24"/>
                <w:highlight w:val="none"/>
                <w:lang w:val="en-US" w:eastAsia="zh-CN"/>
              </w:rPr>
            </w:pPr>
            <w:r>
              <w:rPr>
                <w:rFonts w:hint="eastAsia"/>
                <w:color w:val="auto"/>
                <w:sz w:val="24"/>
                <w:highlight w:val="none"/>
                <w:lang w:val="en-US" w:eastAsia="zh-CN"/>
              </w:rPr>
              <w:t>本项目已于2025</w:t>
            </w:r>
            <w:r>
              <w:rPr>
                <w:rFonts w:hint="eastAsia"/>
                <w:color w:val="auto"/>
                <w:sz w:val="24"/>
                <w:highlight w:val="none"/>
              </w:rPr>
              <w:t>年</w:t>
            </w:r>
            <w:r>
              <w:rPr>
                <w:rFonts w:hint="eastAsia"/>
                <w:color w:val="auto"/>
                <w:sz w:val="24"/>
                <w:highlight w:val="none"/>
                <w:lang w:val="en-US" w:eastAsia="zh-CN"/>
              </w:rPr>
              <w:t>3</w:t>
            </w:r>
            <w:r>
              <w:rPr>
                <w:rFonts w:hint="eastAsia"/>
                <w:color w:val="auto"/>
                <w:sz w:val="24"/>
                <w:highlight w:val="none"/>
              </w:rPr>
              <w:t>月</w:t>
            </w:r>
            <w:r>
              <w:rPr>
                <w:rFonts w:hint="eastAsia"/>
                <w:color w:val="auto"/>
                <w:sz w:val="24"/>
                <w:highlight w:val="none"/>
                <w:lang w:val="en-US" w:eastAsia="zh-CN"/>
              </w:rPr>
              <w:t>5日取得江苏省投资项目备案证（附件2），项目编码：2503-320115-89-01-413549，备案证号：江宁政务投备〔2025〕270号。</w:t>
            </w:r>
          </w:p>
          <w:p w14:paraId="1001F5A5">
            <w:pPr>
              <w:bidi w:val="0"/>
              <w:ind w:firstLine="480" w:firstLineChars="200"/>
              <w:rPr>
                <w:rFonts w:hint="eastAsia"/>
                <w:color w:val="auto"/>
                <w:highlight w:val="none"/>
              </w:rPr>
            </w:pPr>
            <w:r>
              <w:rPr>
                <w:rFonts w:hint="eastAsia"/>
                <w:color w:val="auto"/>
                <w:highlight w:val="none"/>
                <w:lang w:eastAsia="zh-CN"/>
              </w:rPr>
              <w:t>本项目环评类别判定：</w:t>
            </w:r>
            <w:r>
              <w:rPr>
                <w:rFonts w:hint="eastAsia"/>
                <w:color w:val="auto"/>
                <w:highlight w:val="none"/>
                <w:lang w:val="en-US" w:eastAsia="zh-CN"/>
              </w:rPr>
              <w:t>本项目主要进行中药研发，对照</w:t>
            </w:r>
            <w:r>
              <w:rPr>
                <w:rFonts w:hint="eastAsia"/>
                <w:color w:val="auto"/>
                <w:highlight w:val="none"/>
                <w:lang w:eastAsia="zh-CN"/>
              </w:rPr>
              <w:t>《国民经济行业分类》（</w:t>
            </w:r>
            <w:r>
              <w:rPr>
                <w:rFonts w:hint="eastAsia"/>
                <w:color w:val="auto"/>
                <w:highlight w:val="none"/>
                <w:lang w:val="en-US" w:eastAsia="zh-CN"/>
              </w:rPr>
              <w:t>GB/T4754-2017</w:t>
            </w:r>
            <w:r>
              <w:rPr>
                <w:rFonts w:hint="eastAsia"/>
                <w:color w:val="auto"/>
                <w:highlight w:val="none"/>
                <w:lang w:eastAsia="zh-CN"/>
              </w:rPr>
              <w:t>），</w:t>
            </w:r>
            <w:r>
              <w:rPr>
                <w:rFonts w:hint="eastAsia"/>
                <w:color w:val="auto"/>
                <w:highlight w:val="none"/>
                <w:lang w:val="en-US" w:eastAsia="zh-CN"/>
              </w:rPr>
              <w:t>行业代码为</w:t>
            </w:r>
            <w:r>
              <w:rPr>
                <w:rFonts w:hint="eastAsia" w:cs="Times New Roman"/>
                <w:color w:val="auto"/>
                <w:sz w:val="24"/>
                <w:szCs w:val="24"/>
                <w:highlight w:val="none"/>
                <w:lang w:val="en-US" w:eastAsia="zh-CN"/>
              </w:rPr>
              <w:t>M7340医学研究和试验发展</w:t>
            </w:r>
            <w:r>
              <w:rPr>
                <w:rFonts w:hint="eastAsia"/>
                <w:color w:val="auto"/>
                <w:highlight w:val="none"/>
                <w:lang w:eastAsia="zh-CN"/>
              </w:rPr>
              <w:t>。</w:t>
            </w:r>
            <w:r>
              <w:rPr>
                <w:color w:val="auto"/>
                <w:highlight w:val="none"/>
              </w:rPr>
              <w:t>对照</w:t>
            </w:r>
            <w:r>
              <w:rPr>
                <w:rFonts w:hint="eastAsia"/>
                <w:color w:val="auto"/>
                <w:highlight w:val="none"/>
              </w:rPr>
              <w:t>《建设项目环境影响评价分类管理名录》（2021年版），</w:t>
            </w:r>
            <w:r>
              <w:rPr>
                <w:rFonts w:hint="eastAsia" w:cs="Times New Roman"/>
                <w:color w:val="auto"/>
                <w:sz w:val="24"/>
                <w:szCs w:val="24"/>
                <w:highlight w:val="none"/>
                <w:lang w:val="en-US" w:eastAsia="zh-CN"/>
              </w:rPr>
              <w:t>M7340医学研究和试验发展</w:t>
            </w:r>
            <w:r>
              <w:rPr>
                <w:rFonts w:ascii="Times New Roman" w:hAnsi="Times New Roman" w:eastAsia="宋体"/>
                <w:color w:val="auto"/>
                <w:sz w:val="24"/>
                <w:szCs w:val="24"/>
                <w:highlight w:val="none"/>
              </w:rPr>
              <w:t>属于</w:t>
            </w:r>
            <w:r>
              <w:rPr>
                <w:rFonts w:hint="eastAsia" w:ascii="Times New Roman" w:hAnsi="Times New Roman" w:eastAsia="宋体"/>
                <w:color w:val="auto"/>
                <w:sz w:val="24"/>
                <w:szCs w:val="24"/>
                <w:highlight w:val="none"/>
              </w:rPr>
              <w:t>名录表中“</w:t>
            </w:r>
            <w:r>
              <w:rPr>
                <w:rFonts w:hint="eastAsia"/>
                <w:color w:val="auto"/>
                <w:sz w:val="24"/>
                <w:szCs w:val="24"/>
                <w:highlight w:val="none"/>
                <w:lang w:val="en-US" w:eastAsia="zh-CN"/>
              </w:rPr>
              <w:t>四十五、研究和试验发展</w:t>
            </w:r>
            <w:r>
              <w:rPr>
                <w:rFonts w:hint="eastAsia" w:ascii="Times New Roman" w:hAnsi="Times New Roman" w:eastAsia="宋体"/>
                <w:color w:val="auto"/>
                <w:sz w:val="24"/>
                <w:szCs w:val="24"/>
                <w:highlight w:val="none"/>
              </w:rPr>
              <w:t>”之下的“</w:t>
            </w:r>
            <w:r>
              <w:rPr>
                <w:rFonts w:hint="eastAsia" w:cs="Times New Roman"/>
                <w:color w:val="auto"/>
                <w:sz w:val="24"/>
                <w:szCs w:val="24"/>
                <w:highlight w:val="none"/>
                <w:lang w:val="en-US" w:eastAsia="zh-CN"/>
              </w:rPr>
              <w:t>98</w:t>
            </w:r>
            <w:r>
              <w:rPr>
                <w:rFonts w:hint="eastAsia" w:ascii="Times New Roman" w:hAnsi="Times New Roman" w:eastAsia="宋体" w:cs="Times New Roman"/>
                <w:color w:val="auto"/>
                <w:sz w:val="24"/>
                <w:szCs w:val="24"/>
                <w:highlight w:val="none"/>
                <w:lang w:val="en-US" w:eastAsia="zh-CN"/>
              </w:rPr>
              <w:t>专业实验室、研发（试验）基地</w:t>
            </w:r>
            <w:r>
              <w:rPr>
                <w:rFonts w:hint="eastAsia" w:ascii="Times New Roman" w:hAnsi="Times New Roman" w:eastAsia="宋体"/>
                <w:color w:val="auto"/>
                <w:sz w:val="24"/>
                <w:szCs w:val="24"/>
                <w:highlight w:val="none"/>
              </w:rPr>
              <w:t>”的报告表项：“其他”，故本项目需编制报告表。具体对照内容见表2-1。</w:t>
            </w:r>
          </w:p>
          <w:p w14:paraId="62EDD94E">
            <w:pPr>
              <w:jc w:val="center"/>
              <w:rPr>
                <w:b/>
                <w:bCs/>
                <w:color w:val="auto"/>
                <w:szCs w:val="21"/>
                <w:highlight w:val="none"/>
                <w:lang w:val="zh-CN"/>
              </w:rPr>
            </w:pPr>
            <w:r>
              <mc:AlternateContent>
                <mc:Choice Requires="wps">
                  <w:drawing>
                    <wp:anchor distT="0" distB="0" distL="114300" distR="114300" simplePos="0" relativeHeight="251663360" behindDoc="0" locked="0" layoutInCell="1" allowOverlap="1">
                      <wp:simplePos x="0" y="0"/>
                      <wp:positionH relativeFrom="column">
                        <wp:posOffset>1115060</wp:posOffset>
                      </wp:positionH>
                      <wp:positionV relativeFrom="paragraph">
                        <wp:posOffset>285115</wp:posOffset>
                      </wp:positionV>
                      <wp:extent cx="838200" cy="333375"/>
                      <wp:effectExtent l="0" t="0" r="0" b="0"/>
                      <wp:wrapNone/>
                      <wp:docPr id="36" name="文本框 36"/>
                      <wp:cNvGraphicFramePr/>
                      <a:graphic xmlns:a="http://schemas.openxmlformats.org/drawingml/2006/main">
                        <a:graphicData uri="http://schemas.microsoft.com/office/word/2010/wordprocessingShape">
                          <wps:wsp>
                            <wps:cNvSpPr txBox="1"/>
                            <wps:spPr>
                              <a:xfrm>
                                <a:off x="1522730" y="3675380"/>
                                <a:ext cx="838200" cy="333375"/>
                              </a:xfrm>
                              <a:prstGeom prst="rect">
                                <a:avLst/>
                              </a:prstGeom>
                              <a:noFill/>
                              <a:ln w="6350">
                                <a:noFill/>
                              </a:ln>
                              <a:effectLst/>
                            </wps:spPr>
                            <wps:txbx>
                              <w:txbxContent>
                                <w:p w14:paraId="569E2608">
                                  <w:pPr>
                                    <w:spacing w:line="240" w:lineRule="auto"/>
                                    <w:rPr>
                                      <w:b/>
                                      <w:bCs/>
                                      <w:sz w:val="21"/>
                                      <w:szCs w:val="21"/>
                                    </w:rPr>
                                  </w:pPr>
                                  <w:r>
                                    <w:rPr>
                                      <w:rFonts w:hint="eastAsia"/>
                                      <w:b/>
                                      <w:bCs/>
                                      <w:sz w:val="21"/>
                                      <w:szCs w:val="21"/>
                                    </w:rPr>
                                    <w:t>环评类别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8pt;margin-top:22.45pt;height:26.25pt;width:66pt;z-index:251663360;mso-width-relative:page;mso-height-relative:page;" filled="f" stroked="f" coordsize="21600,21600" o:gfxdata="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vtxF9oAAAAJAQAADwAAAAAA&#10;AAABACAAAAAiAAAAZHJzL2Rvd25yZXYueG1sUEsBAhQAFAAAAAgAh07iQOA4IK9KAgAAgQQAAA4A&#10;AAAAAAAAAQAgAAAAKQEAAGRycy9lMm9Eb2MueG1sUEsFBgAAAAAGAAYAWQEAAOUFAAAAAA==&#10;">
                      <v:fill on="f" focussize="0,0"/>
                      <v:stroke on="f" weight="0.5pt"/>
                      <v:imagedata o:title=""/>
                      <o:lock v:ext="edit" aspectratio="f"/>
                      <v:textbox>
                        <w:txbxContent>
                          <w:p w14:paraId="569E2608">
                            <w:pPr>
                              <w:spacing w:line="240" w:lineRule="auto"/>
                              <w:rPr>
                                <w:b/>
                                <w:bCs/>
                                <w:sz w:val="21"/>
                                <w:szCs w:val="21"/>
                              </w:rPr>
                            </w:pPr>
                            <w:r>
                              <w:rPr>
                                <w:rFonts w:hint="eastAsia"/>
                                <w:b/>
                                <w:bCs/>
                                <w:sz w:val="21"/>
                                <w:szCs w:val="21"/>
                              </w:rPr>
                              <w:t>环评类别</w:t>
                            </w:r>
                          </w:p>
                        </w:txbxContent>
                      </v:textbox>
                    </v:shape>
                  </w:pict>
                </mc:Fallback>
              </mc:AlternateContent>
            </w:r>
            <w:r>
              <w:rPr>
                <w:b/>
                <w:bCs/>
                <w:color w:val="auto"/>
                <w:szCs w:val="21"/>
                <w:highlight w:val="none"/>
                <w:lang w:val="zh-CN"/>
              </w:rPr>
              <w:t>表</w:t>
            </w:r>
            <w:r>
              <w:rPr>
                <w:b/>
                <w:bCs/>
                <w:color w:val="auto"/>
                <w:szCs w:val="21"/>
                <w:highlight w:val="none"/>
              </w:rPr>
              <w:t>2</w:t>
            </w:r>
            <w:r>
              <w:rPr>
                <w:b/>
                <w:bCs/>
                <w:color w:val="auto"/>
                <w:szCs w:val="21"/>
                <w:highlight w:val="none"/>
                <w:lang w:val="zh-CN"/>
              </w:rPr>
              <w:t>-</w:t>
            </w:r>
            <w:r>
              <w:rPr>
                <w:rFonts w:hint="eastAsia"/>
                <w:b/>
                <w:bCs/>
                <w:color w:val="auto"/>
                <w:szCs w:val="21"/>
                <w:highlight w:val="none"/>
              </w:rPr>
              <w:t>1</w:t>
            </w:r>
            <w:r>
              <w:rPr>
                <w:b/>
                <w:bCs/>
                <w:color w:val="auto"/>
                <w:szCs w:val="21"/>
                <w:highlight w:val="none"/>
                <w:lang w:val="zh-CN"/>
              </w:rPr>
              <w:t xml:space="preserve">  环评类别判定表</w:t>
            </w:r>
          </w:p>
          <w:tbl>
            <w:tblPr>
              <w:tblStyle w:val="32"/>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54"/>
              <w:gridCol w:w="3175"/>
              <w:gridCol w:w="2016"/>
              <w:gridCol w:w="2351"/>
              <w:gridCol w:w="589"/>
            </w:tblGrid>
            <w:tr w14:paraId="784A7B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2045" w:type="pct"/>
                  <w:gridSpan w:val="2"/>
                  <w:shd w:val="clear" w:color="auto" w:fill="auto"/>
                  <w:noWrap/>
                  <w:tcMar>
                    <w:top w:w="15" w:type="dxa"/>
                    <w:left w:w="15" w:type="dxa"/>
                    <w:right w:w="15" w:type="dxa"/>
                  </w:tcMar>
                  <w:vAlign w:val="center"/>
                </w:tcPr>
                <w:p w14:paraId="205D3A25">
                  <w:pPr>
                    <w:pStyle w:val="41"/>
                    <w:bidi w:val="0"/>
                    <w:rPr>
                      <w:rFonts w:hint="default"/>
                      <w:lang w:val="en-US"/>
                    </w:rPr>
                  </w:pPr>
                  <w:bookmarkStart w:id="31" w:name="_Hlk66384427"/>
                  <w:r>
                    <mc:AlternateContent>
                      <mc:Choice Requires="wps">
                        <w:drawing>
                          <wp:anchor distT="0" distB="0" distL="114300" distR="114300" simplePos="0" relativeHeight="251664384" behindDoc="0" locked="0" layoutInCell="1" allowOverlap="1">
                            <wp:simplePos x="0" y="0"/>
                            <wp:positionH relativeFrom="column">
                              <wp:posOffset>188595</wp:posOffset>
                            </wp:positionH>
                            <wp:positionV relativeFrom="paragraph">
                              <wp:posOffset>136525</wp:posOffset>
                            </wp:positionV>
                            <wp:extent cx="838200" cy="33337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838200" cy="333375"/>
                                    </a:xfrm>
                                    <a:prstGeom prst="rect">
                                      <a:avLst/>
                                    </a:prstGeom>
                                    <a:noFill/>
                                    <a:ln w="6350">
                                      <a:noFill/>
                                    </a:ln>
                                    <a:effectLst/>
                                  </wps:spPr>
                                  <wps:txbx>
                                    <w:txbxContent>
                                      <w:p w14:paraId="7BB3B65E">
                                        <w:pPr>
                                          <w:spacing w:line="240" w:lineRule="auto"/>
                                          <w:rPr>
                                            <w:b/>
                                            <w:bCs/>
                                            <w:sz w:val="21"/>
                                            <w:szCs w:val="21"/>
                                          </w:rPr>
                                        </w:pPr>
                                        <w:r>
                                          <w:rPr>
                                            <w:rFonts w:hint="eastAsia"/>
                                            <w:b/>
                                            <w:bCs/>
                                            <w:sz w:val="21"/>
                                            <w:szCs w:val="21"/>
                                          </w:rPr>
                                          <w:t>项目类别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5pt;margin-top:10.75pt;height:26.25pt;width:66pt;z-index:251664384;mso-width-relative:page;mso-height-relative:page;" filled="f" stroked="f" coordsize="21600,21600" o:gfxdata="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dRFktkAAAAIAQAADwAAAAAAAAABACAAAAAi&#10;AAAAZHJzL2Rvd25yZXYueG1sUEsBAhQAFAAAAAgAh07iQAGjuQVCAgAAdQQAAA4AAAAAAAAAAQAg&#10;AAAAKAEAAGRycy9lMm9Eb2MueG1sUEsFBgAAAAAGAAYAWQEAANwFAAAAAA==&#10;">
                            <v:fill on="f" focussize="0,0"/>
                            <v:stroke on="f" weight="0.5pt"/>
                            <v:imagedata o:title=""/>
                            <o:lock v:ext="edit" aspectratio="f"/>
                            <v:textbox>
                              <w:txbxContent>
                                <w:p w14:paraId="7BB3B65E">
                                  <w:pPr>
                                    <w:spacing w:line="240" w:lineRule="auto"/>
                                    <w:rPr>
                                      <w:b/>
                                      <w:bCs/>
                                      <w:sz w:val="21"/>
                                      <w:szCs w:val="21"/>
                                    </w:rPr>
                                  </w:pPr>
                                  <w:r>
                                    <w:rPr>
                                      <w:rFonts w:hint="eastAsia"/>
                                      <w:b/>
                                      <w:bCs/>
                                      <w:sz w:val="21"/>
                                      <w:szCs w:val="21"/>
                                    </w:rPr>
                                    <w:t>项目类别</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4445</wp:posOffset>
                            </wp:positionH>
                            <wp:positionV relativeFrom="paragraph">
                              <wp:posOffset>4445</wp:posOffset>
                            </wp:positionV>
                            <wp:extent cx="1976120" cy="377190"/>
                            <wp:effectExtent l="635" t="4445" r="4445" b="18415"/>
                            <wp:wrapNone/>
                            <wp:docPr id="5" name="直接连接符 35"/>
                            <wp:cNvGraphicFramePr/>
                            <a:graphic xmlns:a="http://schemas.openxmlformats.org/drawingml/2006/main">
                              <a:graphicData uri="http://schemas.microsoft.com/office/word/2010/wordprocessingShape">
                                <wps:wsp>
                                  <wps:cNvCnPr/>
                                  <wps:spPr>
                                    <a:xfrm>
                                      <a:off x="0" y="0"/>
                                      <a:ext cx="1976120" cy="3771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连接符 35" o:spid="_x0000_s1026" o:spt="32" type="#_x0000_t32" style="position:absolute;left:0pt;margin-left:0.35pt;margin-top:0.35pt;height:29.7pt;width:155.6pt;z-index:251665408;mso-width-relative:page;mso-height-relative:page;" filled="f" stroked="t" coordsize="21600,21600" o:gfxdata="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JETQNQAAAAEAQAADwAAAAAAAAABACAAAAAiAAAAZHJzL2Rvd25yZXYueG1s&#10;UEsBAhQAFAAAAAgAh07iQKEiBBv8AQAA7AMAAA4AAAAAAAAAAQAgAAAAIwEAAGRycy9lMm9Eb2Mu&#10;eG1sUEsFBgAAAAAGAAYAWQEAAJEFAAAAAA==&#10;">
                            <v:fill on="f" focussize="0,0"/>
                            <v:stroke color="#000000" joinstyle="round"/>
                            <v:imagedata o:title=""/>
                            <o:lock v:ext="edit" aspectratio="f"/>
                          </v:shape>
                        </w:pict>
                      </mc:Fallback>
                    </mc:AlternateContent>
                  </w:r>
                </w:p>
                <w:p w14:paraId="77D80607">
                  <w:pPr>
                    <w:pStyle w:val="41"/>
                    <w:bidi w:val="0"/>
                  </w:pPr>
                </w:p>
              </w:tc>
              <w:tc>
                <w:tcPr>
                  <w:tcW w:w="1202" w:type="pct"/>
                  <w:shd w:val="clear" w:color="auto" w:fill="auto"/>
                  <w:noWrap/>
                  <w:tcMar>
                    <w:top w:w="15" w:type="dxa"/>
                    <w:left w:w="15" w:type="dxa"/>
                    <w:right w:w="15" w:type="dxa"/>
                  </w:tcMar>
                  <w:vAlign w:val="center"/>
                </w:tcPr>
                <w:p w14:paraId="10919862">
                  <w:pPr>
                    <w:pStyle w:val="41"/>
                    <w:bidi w:val="0"/>
                    <w:rPr>
                      <w:b/>
                      <w:bCs/>
                    </w:rPr>
                  </w:pPr>
                  <w:r>
                    <w:rPr>
                      <w:b/>
                      <w:bCs/>
                    </w:rPr>
                    <w:t>报告书</w:t>
                  </w:r>
                </w:p>
              </w:tc>
              <w:tc>
                <w:tcPr>
                  <w:tcW w:w="1402" w:type="pct"/>
                  <w:shd w:val="clear" w:color="auto" w:fill="auto"/>
                  <w:noWrap/>
                  <w:tcMar>
                    <w:top w:w="15" w:type="dxa"/>
                    <w:left w:w="15" w:type="dxa"/>
                    <w:right w:w="15" w:type="dxa"/>
                  </w:tcMar>
                  <w:vAlign w:val="center"/>
                </w:tcPr>
                <w:p w14:paraId="6D621A7C">
                  <w:pPr>
                    <w:pStyle w:val="41"/>
                    <w:bidi w:val="0"/>
                    <w:rPr>
                      <w:b/>
                      <w:bCs/>
                    </w:rPr>
                  </w:pPr>
                  <w:r>
                    <w:rPr>
                      <w:b/>
                      <w:bCs/>
                    </w:rPr>
                    <w:t>报告表</w:t>
                  </w:r>
                </w:p>
              </w:tc>
              <w:tc>
                <w:tcPr>
                  <w:tcW w:w="349" w:type="pct"/>
                  <w:shd w:val="clear" w:color="auto" w:fill="FFFFFF"/>
                  <w:noWrap/>
                  <w:tcMar>
                    <w:top w:w="15" w:type="dxa"/>
                    <w:left w:w="15" w:type="dxa"/>
                    <w:right w:w="15" w:type="dxa"/>
                  </w:tcMar>
                  <w:vAlign w:val="center"/>
                </w:tcPr>
                <w:p w14:paraId="6E11050A">
                  <w:pPr>
                    <w:pStyle w:val="41"/>
                    <w:bidi w:val="0"/>
                    <w:rPr>
                      <w:b/>
                      <w:bCs/>
                    </w:rPr>
                  </w:pPr>
                  <w:r>
                    <w:rPr>
                      <w:b/>
                      <w:bCs/>
                    </w:rPr>
                    <w:t>登记表</w:t>
                  </w:r>
                </w:p>
              </w:tc>
            </w:tr>
            <w:tr w14:paraId="46C2B4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5"/>
                  <w:noWrap/>
                  <w:tcMar>
                    <w:top w:w="15" w:type="dxa"/>
                    <w:left w:w="15" w:type="dxa"/>
                    <w:right w:w="15" w:type="dxa"/>
                  </w:tcMar>
                  <w:vAlign w:val="center"/>
                </w:tcPr>
                <w:p w14:paraId="70AFD19F">
                  <w:pPr>
                    <w:pStyle w:val="41"/>
                    <w:bidi w:val="0"/>
                    <w:jc w:val="left"/>
                  </w:pPr>
                  <w:r>
                    <w:rPr>
                      <w:rFonts w:hint="eastAsia"/>
                    </w:rPr>
                    <w:t>四十五、研究和试验发展</w:t>
                  </w:r>
                </w:p>
              </w:tc>
            </w:tr>
            <w:tr w14:paraId="7DA7DE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2" w:type="pct"/>
                  <w:shd w:val="clear" w:color="auto" w:fill="auto"/>
                  <w:noWrap/>
                  <w:tcMar>
                    <w:top w:w="15" w:type="dxa"/>
                    <w:left w:w="15" w:type="dxa"/>
                    <w:right w:w="15" w:type="dxa"/>
                  </w:tcMar>
                  <w:vAlign w:val="center"/>
                </w:tcPr>
                <w:p w14:paraId="01AE6290">
                  <w:pPr>
                    <w:pStyle w:val="41"/>
                    <w:bidi w:val="0"/>
                    <w:rPr>
                      <w:rFonts w:hint="default"/>
                      <w:lang w:val="en-US" w:eastAsia="zh-CN"/>
                    </w:rPr>
                  </w:pPr>
                  <w:r>
                    <w:rPr>
                      <w:rFonts w:hint="eastAsia"/>
                      <w:lang w:val="en-US" w:eastAsia="zh-CN"/>
                    </w:rPr>
                    <w:t>98</w:t>
                  </w:r>
                </w:p>
              </w:tc>
              <w:tc>
                <w:tcPr>
                  <w:tcW w:w="1892" w:type="pct"/>
                  <w:shd w:val="clear" w:color="auto" w:fill="auto"/>
                  <w:noWrap/>
                  <w:tcMar>
                    <w:top w:w="15" w:type="dxa"/>
                    <w:left w:w="15" w:type="dxa"/>
                    <w:right w:w="15" w:type="dxa"/>
                  </w:tcMar>
                  <w:vAlign w:val="center"/>
                </w:tcPr>
                <w:p w14:paraId="6951D18C">
                  <w:pPr>
                    <w:pStyle w:val="41"/>
                    <w:bidi w:val="0"/>
                    <w:rPr>
                      <w:rFonts w:hint="default"/>
                    </w:rPr>
                  </w:pPr>
                  <w:r>
                    <w:rPr>
                      <w:rFonts w:hint="default"/>
                    </w:rPr>
                    <w:t>专业实验室、研发（试验）基地</w:t>
                  </w:r>
                </w:p>
              </w:tc>
              <w:tc>
                <w:tcPr>
                  <w:tcW w:w="1202" w:type="pct"/>
                  <w:shd w:val="clear" w:color="auto" w:fill="auto"/>
                  <w:noWrap w:val="0"/>
                  <w:tcMar>
                    <w:top w:w="15" w:type="dxa"/>
                    <w:left w:w="15" w:type="dxa"/>
                    <w:right w:w="15" w:type="dxa"/>
                  </w:tcMar>
                  <w:vAlign w:val="center"/>
                </w:tcPr>
                <w:p w14:paraId="0740C0E7">
                  <w:pPr>
                    <w:pStyle w:val="41"/>
                    <w:bidi w:val="0"/>
                    <w:rPr>
                      <w:rFonts w:hint="default"/>
                      <w:lang w:val="en-US" w:eastAsia="zh-CN"/>
                    </w:rPr>
                  </w:pPr>
                  <w:r>
                    <w:rPr>
                      <w:rFonts w:hint="eastAsia"/>
                      <w:lang w:val="en-US" w:eastAsia="zh-CN"/>
                    </w:rPr>
                    <w:t>P3、P4生物安全实验室；转基因实验室</w:t>
                  </w:r>
                </w:p>
              </w:tc>
              <w:tc>
                <w:tcPr>
                  <w:tcW w:w="1402" w:type="pct"/>
                  <w:shd w:val="clear" w:color="auto" w:fill="D7D7D7" w:themeFill="background1" w:themeFillShade="D8"/>
                  <w:noWrap w:val="0"/>
                  <w:tcMar>
                    <w:top w:w="15" w:type="dxa"/>
                    <w:left w:w="15" w:type="dxa"/>
                    <w:right w:w="15" w:type="dxa"/>
                  </w:tcMar>
                  <w:vAlign w:val="center"/>
                </w:tcPr>
                <w:p w14:paraId="16DE76E9">
                  <w:pPr>
                    <w:pStyle w:val="41"/>
                    <w:bidi w:val="0"/>
                    <w:rPr>
                      <w:rFonts w:hint="default"/>
                    </w:rPr>
                  </w:pPr>
                  <w:r>
                    <w:rPr>
                      <w:rFonts w:hint="default"/>
                    </w:rPr>
                    <w:t>其他（</w:t>
                  </w:r>
                  <w:r>
                    <w:rPr>
                      <w:rFonts w:hint="eastAsia"/>
                      <w:lang w:val="en-US" w:eastAsia="zh-CN"/>
                    </w:rPr>
                    <w:t>不产生实验室废气、废水危险废物的除外</w:t>
                  </w:r>
                  <w:r>
                    <w:rPr>
                      <w:rFonts w:hint="default"/>
                    </w:rPr>
                    <w:t>）</w:t>
                  </w:r>
                </w:p>
              </w:tc>
              <w:tc>
                <w:tcPr>
                  <w:tcW w:w="349" w:type="pct"/>
                  <w:shd w:val="clear" w:color="auto" w:fill="FFFFFF"/>
                  <w:noWrap w:val="0"/>
                  <w:tcMar>
                    <w:top w:w="15" w:type="dxa"/>
                    <w:left w:w="15" w:type="dxa"/>
                    <w:right w:w="15" w:type="dxa"/>
                  </w:tcMar>
                  <w:vAlign w:val="center"/>
                </w:tcPr>
                <w:p w14:paraId="7150E83B">
                  <w:pPr>
                    <w:pStyle w:val="41"/>
                    <w:bidi w:val="0"/>
                  </w:pPr>
                  <w:r>
                    <w:t>/</w:t>
                  </w:r>
                </w:p>
              </w:tc>
            </w:tr>
          </w:tbl>
          <w:p w14:paraId="79FE8214">
            <w:pPr>
              <w:pStyle w:val="41"/>
              <w:rPr>
                <w:color w:val="auto"/>
                <w:highlight w:val="none"/>
              </w:rPr>
            </w:pPr>
          </w:p>
          <w:p w14:paraId="3523A9FE">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200"/>
              <w:textAlignment w:val="auto"/>
              <w:rPr>
                <w:b/>
                <w:bCs/>
                <w:color w:val="auto"/>
                <w:sz w:val="24"/>
                <w:highlight w:val="none"/>
              </w:rPr>
            </w:pPr>
            <w:r>
              <w:rPr>
                <w:b/>
                <w:bCs/>
                <w:color w:val="auto"/>
                <w:sz w:val="24"/>
                <w:highlight w:val="none"/>
              </w:rPr>
              <w:t>2、项目概况</w:t>
            </w:r>
          </w:p>
          <w:p w14:paraId="7554E43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eastAsia="zh-CN"/>
              </w:rPr>
            </w:pPr>
            <w:r>
              <w:rPr>
                <w:color w:val="auto"/>
                <w:highlight w:val="none"/>
                <w:lang w:val="zh-CN"/>
              </w:rPr>
              <w:t>项目名称：</w:t>
            </w:r>
            <w:r>
              <w:rPr>
                <w:rFonts w:hint="eastAsia"/>
                <w:color w:val="auto"/>
                <w:highlight w:val="none"/>
                <w:lang w:eastAsia="zh-CN"/>
              </w:rPr>
              <w:t>康缘医药科技园1号楼改建项目</w:t>
            </w:r>
          </w:p>
          <w:p w14:paraId="3C84948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eastAsia="zh-CN"/>
              </w:rPr>
            </w:pPr>
            <w:r>
              <w:rPr>
                <w:color w:val="auto"/>
                <w:highlight w:val="none"/>
                <w:lang w:val="zh-CN"/>
              </w:rPr>
              <w:t>建设单位：</w:t>
            </w:r>
            <w:r>
              <w:rPr>
                <w:rFonts w:hint="eastAsia"/>
                <w:color w:val="auto"/>
                <w:highlight w:val="none"/>
                <w:lang w:eastAsia="zh-CN"/>
              </w:rPr>
              <w:t>江苏康缘医药科技发展有限责任公司</w:t>
            </w:r>
          </w:p>
          <w:p w14:paraId="172AD0A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项目代码：</w:t>
            </w:r>
            <w:r>
              <w:rPr>
                <w:rFonts w:hint="eastAsia"/>
                <w:color w:val="auto"/>
                <w:highlight w:val="none"/>
                <w:lang w:eastAsia="zh-CN"/>
              </w:rPr>
              <w:t>2503-320115-89-01-413549</w:t>
            </w:r>
          </w:p>
          <w:p w14:paraId="186CA3D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eastAsia="zh-CN"/>
              </w:rPr>
            </w:pPr>
            <w:r>
              <w:rPr>
                <w:color w:val="auto"/>
                <w:highlight w:val="none"/>
                <w:lang w:val="zh-CN"/>
              </w:rPr>
              <w:t>行业类别：</w:t>
            </w:r>
            <w:r>
              <w:rPr>
                <w:rFonts w:hint="eastAsia" w:cs="Times New Roman"/>
                <w:color w:val="auto"/>
                <w:sz w:val="24"/>
                <w:szCs w:val="24"/>
                <w:highlight w:val="none"/>
                <w:lang w:val="en-US" w:eastAsia="zh-CN"/>
              </w:rPr>
              <w:t>M7340医学研究和试验发展</w:t>
            </w:r>
          </w:p>
          <w:p w14:paraId="0C320F8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olor w:val="auto"/>
                <w:highlight w:val="none"/>
                <w:lang w:val="en-US" w:eastAsia="zh-CN"/>
              </w:rPr>
            </w:pPr>
            <w:r>
              <w:rPr>
                <w:color w:val="auto"/>
                <w:highlight w:val="none"/>
                <w:lang w:val="zh-CN"/>
              </w:rPr>
              <w:t>项目性质：</w:t>
            </w:r>
            <w:r>
              <w:rPr>
                <w:rFonts w:hint="eastAsia"/>
                <w:color w:val="auto"/>
                <w:highlight w:val="none"/>
                <w:lang w:val="en-US" w:eastAsia="zh-CN"/>
              </w:rPr>
              <w:t>改建</w:t>
            </w:r>
          </w:p>
          <w:p w14:paraId="2E4C6AF6">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lang w:val="zh-CN"/>
              </w:rPr>
            </w:pPr>
            <w:r>
              <w:rPr>
                <w:color w:val="auto"/>
                <w:highlight w:val="none"/>
                <w:lang w:val="zh-CN"/>
              </w:rPr>
              <w:t>建设地点：</w:t>
            </w:r>
            <w:r>
              <w:rPr>
                <w:rFonts w:hint="eastAsia"/>
                <w:color w:val="auto"/>
                <w:highlight w:val="none"/>
                <w:lang w:val="zh-CN"/>
              </w:rPr>
              <w:t>南京市江宁区高新园龙眠大道578号</w:t>
            </w:r>
          </w:p>
          <w:p w14:paraId="012D937E">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color w:val="auto"/>
                <w:highlight w:val="none"/>
                <w:lang w:val="zh-CN"/>
              </w:rPr>
              <w:t>投资总额：</w:t>
            </w:r>
            <w:r>
              <w:rPr>
                <w:rFonts w:hint="eastAsia"/>
                <w:color w:val="auto"/>
                <w:highlight w:val="none"/>
                <w:lang w:val="en-US" w:eastAsia="zh-CN"/>
              </w:rPr>
              <w:t>10076.9</w:t>
            </w:r>
            <w:r>
              <w:rPr>
                <w:color w:val="auto"/>
                <w:highlight w:val="none"/>
              </w:rPr>
              <w:t>万元</w:t>
            </w:r>
          </w:p>
          <w:p w14:paraId="0BB8C60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color w:val="auto"/>
                <w:highlight w:val="none"/>
                <w:lang w:val="en-US" w:eastAsia="zh-CN"/>
              </w:rPr>
            </w:pPr>
            <w:r>
              <w:rPr>
                <w:color w:val="auto"/>
                <w:highlight w:val="none"/>
                <w:lang w:val="zh-CN"/>
              </w:rPr>
              <w:t>职工人数：</w:t>
            </w:r>
            <w:r>
              <w:rPr>
                <w:rFonts w:hint="eastAsia"/>
                <w:color w:val="auto"/>
                <w:highlight w:val="none"/>
                <w:lang w:eastAsia="zh-CN"/>
              </w:rPr>
              <w:t>新增劳动定员30人，由3号楼搬迁至1号楼70人，由5号楼搬迁至1号楼150人，</w:t>
            </w:r>
            <w:r>
              <w:rPr>
                <w:rFonts w:hint="eastAsia"/>
                <w:color w:val="auto"/>
                <w:highlight w:val="none"/>
                <w:lang w:val="en-US" w:eastAsia="zh-CN"/>
              </w:rPr>
              <w:t>本项目建成后1号楼共有职工250人</w:t>
            </w:r>
          </w:p>
          <w:p w14:paraId="1564D24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olor w:val="auto"/>
                <w:highlight w:val="none"/>
                <w:lang w:val="en-US" w:eastAsia="zh-CN"/>
              </w:rPr>
            </w:pPr>
            <w:r>
              <w:rPr>
                <w:color w:val="auto"/>
                <w:highlight w:val="none"/>
                <w:lang w:val="zh-CN"/>
              </w:rPr>
              <w:t>工作制度：每年工作</w:t>
            </w:r>
            <w:r>
              <w:rPr>
                <w:rFonts w:hint="eastAsia"/>
                <w:color w:val="auto"/>
                <w:highlight w:val="none"/>
                <w:lang w:val="en-US" w:eastAsia="zh-CN"/>
              </w:rPr>
              <w:t>250</w:t>
            </w:r>
            <w:r>
              <w:rPr>
                <w:color w:val="auto"/>
                <w:highlight w:val="none"/>
              </w:rPr>
              <w:t>天，</w:t>
            </w:r>
            <w:r>
              <w:rPr>
                <w:rFonts w:hint="eastAsia"/>
                <w:color w:val="auto"/>
                <w:highlight w:val="none"/>
                <w:lang w:val="en-US" w:eastAsia="zh-CN"/>
              </w:rPr>
              <w:t>一</w:t>
            </w:r>
            <w:r>
              <w:rPr>
                <w:color w:val="auto"/>
                <w:highlight w:val="none"/>
                <w:lang w:val="zh-CN"/>
              </w:rPr>
              <w:t>班制，每班</w:t>
            </w:r>
            <w:r>
              <w:rPr>
                <w:color w:val="auto"/>
                <w:highlight w:val="none"/>
              </w:rPr>
              <w:t>8小时</w:t>
            </w:r>
          </w:p>
          <w:p w14:paraId="1511118E">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lang w:val="zh-CN"/>
              </w:rPr>
            </w:pPr>
            <w:r>
              <w:rPr>
                <w:color w:val="auto"/>
                <w:highlight w:val="none"/>
                <w:lang w:val="zh-CN"/>
              </w:rPr>
              <w:t>环保投资：</w:t>
            </w:r>
            <w:r>
              <w:rPr>
                <w:rFonts w:hint="eastAsia"/>
                <w:color w:val="auto"/>
                <w:highlight w:val="none"/>
                <w:lang w:val="en-US" w:eastAsia="zh-CN"/>
              </w:rPr>
              <w:t>80</w:t>
            </w:r>
            <w:r>
              <w:rPr>
                <w:color w:val="auto"/>
                <w:highlight w:val="none"/>
                <w:lang w:val="zh-CN"/>
              </w:rPr>
              <w:t>万元</w:t>
            </w:r>
          </w:p>
          <w:p w14:paraId="5E74B6EB">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rPr>
            </w:pPr>
            <w:r>
              <w:rPr>
                <w:b/>
                <w:bCs/>
                <w:color w:val="auto"/>
                <w:highlight w:val="none"/>
              </w:rPr>
              <w:t>3、</w:t>
            </w:r>
            <w:r>
              <w:rPr>
                <w:rFonts w:hint="eastAsia"/>
                <w:b/>
                <w:bCs/>
                <w:color w:val="auto"/>
                <w:highlight w:val="none"/>
                <w:lang w:val="en-US" w:eastAsia="zh-CN"/>
              </w:rPr>
              <w:t>研发</w:t>
            </w:r>
            <w:r>
              <w:rPr>
                <w:b/>
                <w:bCs/>
                <w:color w:val="auto"/>
                <w:highlight w:val="none"/>
              </w:rPr>
              <w:t>方案</w:t>
            </w:r>
          </w:p>
          <w:p w14:paraId="676A1017">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rFonts w:hint="eastAsia"/>
                <w:color w:val="auto"/>
                <w:highlight w:val="none"/>
                <w:lang w:val="en-US" w:eastAsia="zh-CN"/>
              </w:rPr>
              <w:t>园区内主要进行药物研发工作，目前6号楼、7号楼主要进行生物药研发，3号楼、5号楼主要进行中药研发，本项目拟将</w:t>
            </w:r>
            <w:r>
              <w:rPr>
                <w:rFonts w:hint="eastAsia" w:ascii="Times New Roman" w:hAnsi="Times New Roman" w:eastAsia="宋体"/>
                <w:color w:val="auto"/>
                <w:highlight w:val="none"/>
                <w:lang w:val="en-US" w:eastAsia="zh-CN"/>
              </w:rPr>
              <w:t>园区内现有3号楼、5号楼的中药研发实验室搬迁至1号楼，同时增设4项中药研发内容。改建前后全厂</w:t>
            </w:r>
            <w:r>
              <w:rPr>
                <w:rFonts w:hint="eastAsia"/>
                <w:color w:val="auto"/>
                <w:highlight w:val="none"/>
                <w:lang w:val="en-US" w:eastAsia="zh-CN"/>
              </w:rPr>
              <w:t>研发方案如下。</w:t>
            </w:r>
          </w:p>
          <w:p w14:paraId="3BE62C0C">
            <w:pPr>
              <w:pStyle w:val="44"/>
              <w:bidi w:val="0"/>
              <w:rPr>
                <w:rFonts w:hint="eastAsia"/>
                <w:color w:val="auto"/>
                <w:highlight w:val="none"/>
              </w:rPr>
            </w:pPr>
            <w:r>
              <w:rPr>
                <w:rFonts w:hint="eastAsia"/>
                <w:color w:val="auto"/>
                <w:highlight w:val="none"/>
                <w:lang w:val="en-US" w:eastAsia="zh-CN"/>
              </w:rPr>
              <w:t>全厂研发方案</w:t>
            </w:r>
            <w:r>
              <w:rPr>
                <w:rFonts w:hint="eastAsia"/>
                <w:color w:val="auto"/>
                <w:highlight w:val="none"/>
              </w:rPr>
              <w:t>一览表</w:t>
            </w:r>
          </w:p>
          <w:bookmarkEnd w:id="31"/>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2750"/>
              <w:gridCol w:w="914"/>
              <w:gridCol w:w="1233"/>
              <w:gridCol w:w="1169"/>
              <w:gridCol w:w="1069"/>
            </w:tblGrid>
            <w:tr w14:paraId="0C2E1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restart"/>
                  <w:noWrap w:val="0"/>
                  <w:vAlign w:val="center"/>
                </w:tcPr>
                <w:p w14:paraId="7C15C11A">
                  <w:pPr>
                    <w:pStyle w:val="41"/>
                    <w:bidi w:val="0"/>
                    <w:jc w:val="center"/>
                    <w:rPr>
                      <w:rFonts w:hint="default"/>
                      <w:b/>
                      <w:bCs/>
                      <w:lang w:val="en-US" w:eastAsia="zh-CN"/>
                    </w:rPr>
                  </w:pPr>
                  <w:r>
                    <w:rPr>
                      <w:rFonts w:hint="eastAsia"/>
                      <w:b/>
                      <w:bCs/>
                      <w:lang w:val="en-US" w:eastAsia="zh-CN"/>
                    </w:rPr>
                    <w:t>研发位置</w:t>
                  </w:r>
                </w:p>
              </w:tc>
              <w:tc>
                <w:tcPr>
                  <w:tcW w:w="1639" w:type="pct"/>
                  <w:vMerge w:val="restart"/>
                  <w:noWrap w:val="0"/>
                  <w:vAlign w:val="center"/>
                </w:tcPr>
                <w:p w14:paraId="4EE2025A">
                  <w:pPr>
                    <w:pStyle w:val="41"/>
                    <w:bidi w:val="0"/>
                    <w:jc w:val="center"/>
                    <w:rPr>
                      <w:rFonts w:hint="default"/>
                      <w:b/>
                      <w:bCs/>
                      <w:lang w:val="en-US" w:eastAsia="zh-CN"/>
                    </w:rPr>
                  </w:pPr>
                  <w:r>
                    <w:rPr>
                      <w:rFonts w:hint="eastAsia"/>
                      <w:b/>
                      <w:bCs/>
                      <w:lang w:val="en-US" w:eastAsia="zh-CN"/>
                    </w:rPr>
                    <w:t>研发方向</w:t>
                  </w:r>
                </w:p>
              </w:tc>
              <w:tc>
                <w:tcPr>
                  <w:tcW w:w="1977" w:type="pct"/>
                  <w:gridSpan w:val="3"/>
                  <w:noWrap w:val="0"/>
                  <w:vAlign w:val="center"/>
                </w:tcPr>
                <w:p w14:paraId="39EADF0A">
                  <w:pPr>
                    <w:pStyle w:val="41"/>
                    <w:bidi w:val="0"/>
                    <w:jc w:val="center"/>
                    <w:rPr>
                      <w:rFonts w:hint="eastAsia"/>
                      <w:b/>
                      <w:bCs/>
                      <w:lang w:val="en-US" w:eastAsia="zh-CN"/>
                    </w:rPr>
                  </w:pPr>
                  <w:r>
                    <w:rPr>
                      <w:rFonts w:hint="eastAsia"/>
                      <w:b/>
                      <w:bCs/>
                      <w:lang w:val="en-US" w:eastAsia="zh-CN"/>
                    </w:rPr>
                    <w:t>研发实验数量（例/年）</w:t>
                  </w:r>
                </w:p>
              </w:tc>
              <w:tc>
                <w:tcPr>
                  <w:tcW w:w="637" w:type="pct"/>
                  <w:vMerge w:val="restart"/>
                  <w:noWrap w:val="0"/>
                  <w:vAlign w:val="center"/>
                </w:tcPr>
                <w:p w14:paraId="15C63730">
                  <w:pPr>
                    <w:pStyle w:val="41"/>
                    <w:bidi w:val="0"/>
                    <w:jc w:val="center"/>
                    <w:rPr>
                      <w:rFonts w:hint="default"/>
                      <w:lang w:val="en-US" w:eastAsia="zh-CN"/>
                    </w:rPr>
                  </w:pPr>
                  <w:r>
                    <w:rPr>
                      <w:rFonts w:hint="eastAsia"/>
                      <w:b/>
                      <w:bCs/>
                      <w:lang w:val="en-US" w:eastAsia="zh-CN"/>
                    </w:rPr>
                    <w:t>工作时间（h/a）</w:t>
                  </w:r>
                </w:p>
              </w:tc>
            </w:tr>
            <w:tr w14:paraId="57B3B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noWrap w:val="0"/>
                  <w:vAlign w:val="center"/>
                </w:tcPr>
                <w:p w14:paraId="264455FB">
                  <w:pPr>
                    <w:pStyle w:val="41"/>
                    <w:bidi w:val="0"/>
                    <w:jc w:val="center"/>
                    <w:rPr>
                      <w:b/>
                      <w:bCs/>
                    </w:rPr>
                  </w:pPr>
                </w:p>
              </w:tc>
              <w:tc>
                <w:tcPr>
                  <w:tcW w:w="1639" w:type="pct"/>
                  <w:vMerge w:val="continue"/>
                  <w:noWrap w:val="0"/>
                  <w:vAlign w:val="center"/>
                </w:tcPr>
                <w:p w14:paraId="03F09B17">
                  <w:pPr>
                    <w:pStyle w:val="41"/>
                    <w:bidi w:val="0"/>
                    <w:jc w:val="center"/>
                    <w:rPr>
                      <w:b/>
                      <w:bCs/>
                    </w:rPr>
                  </w:pPr>
                </w:p>
              </w:tc>
              <w:tc>
                <w:tcPr>
                  <w:tcW w:w="545" w:type="pct"/>
                  <w:noWrap w:val="0"/>
                  <w:vAlign w:val="center"/>
                </w:tcPr>
                <w:p w14:paraId="5AF1DDA1">
                  <w:pPr>
                    <w:pStyle w:val="41"/>
                    <w:bidi w:val="0"/>
                    <w:jc w:val="center"/>
                    <w:rPr>
                      <w:rFonts w:hint="default"/>
                      <w:b/>
                      <w:bCs/>
                      <w:lang w:val="en-US" w:eastAsia="zh-CN"/>
                    </w:rPr>
                  </w:pPr>
                  <w:r>
                    <w:rPr>
                      <w:rFonts w:hint="eastAsia"/>
                      <w:b/>
                      <w:bCs/>
                      <w:lang w:val="en-US" w:eastAsia="zh-CN"/>
                    </w:rPr>
                    <w:t>改建前</w:t>
                  </w:r>
                </w:p>
              </w:tc>
              <w:tc>
                <w:tcPr>
                  <w:tcW w:w="735" w:type="pct"/>
                  <w:noWrap w:val="0"/>
                  <w:vAlign w:val="center"/>
                </w:tcPr>
                <w:p w14:paraId="1BEB2263">
                  <w:pPr>
                    <w:pStyle w:val="41"/>
                    <w:bidi w:val="0"/>
                    <w:jc w:val="center"/>
                    <w:rPr>
                      <w:rFonts w:hint="default"/>
                      <w:b/>
                      <w:bCs/>
                      <w:lang w:val="en-US" w:eastAsia="zh-CN"/>
                    </w:rPr>
                  </w:pPr>
                  <w:r>
                    <w:rPr>
                      <w:rFonts w:hint="eastAsia"/>
                      <w:b/>
                      <w:bCs/>
                      <w:lang w:val="en-US" w:eastAsia="zh-CN"/>
                    </w:rPr>
                    <w:t>改建后</w:t>
                  </w:r>
                </w:p>
              </w:tc>
              <w:tc>
                <w:tcPr>
                  <w:tcW w:w="696" w:type="pct"/>
                  <w:noWrap w:val="0"/>
                  <w:vAlign w:val="center"/>
                </w:tcPr>
                <w:p w14:paraId="445A6A45">
                  <w:pPr>
                    <w:pStyle w:val="41"/>
                    <w:bidi w:val="0"/>
                    <w:jc w:val="center"/>
                    <w:rPr>
                      <w:rFonts w:hint="default"/>
                      <w:b/>
                      <w:bCs/>
                      <w:lang w:val="en-US" w:eastAsia="zh-CN"/>
                    </w:rPr>
                  </w:pPr>
                  <w:r>
                    <w:rPr>
                      <w:rFonts w:hint="eastAsia"/>
                      <w:b/>
                      <w:bCs/>
                      <w:lang w:val="en-US" w:eastAsia="zh-CN"/>
                    </w:rPr>
                    <w:t>增减量</w:t>
                  </w:r>
                </w:p>
              </w:tc>
              <w:tc>
                <w:tcPr>
                  <w:tcW w:w="637" w:type="pct"/>
                  <w:vMerge w:val="continue"/>
                  <w:noWrap w:val="0"/>
                  <w:vAlign w:val="center"/>
                </w:tcPr>
                <w:p w14:paraId="1ACE3D8F">
                  <w:pPr>
                    <w:pStyle w:val="41"/>
                    <w:bidi w:val="0"/>
                    <w:jc w:val="center"/>
                    <w:rPr>
                      <w:rFonts w:hint="eastAsia"/>
                      <w:lang w:val="en-US" w:eastAsia="zh-CN"/>
                    </w:rPr>
                  </w:pPr>
                </w:p>
              </w:tc>
            </w:tr>
            <w:tr w14:paraId="5302C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restart"/>
                  <w:vAlign w:val="center"/>
                </w:tcPr>
                <w:p w14:paraId="00018DCD">
                  <w:pPr>
                    <w:pStyle w:val="41"/>
                    <w:bidi w:val="0"/>
                    <w:jc w:val="center"/>
                    <w:rPr>
                      <w:rFonts w:hint="default"/>
                      <w:lang w:val="en-US" w:eastAsia="zh-CN"/>
                    </w:rPr>
                  </w:pPr>
                  <w:r>
                    <w:rPr>
                      <w:rFonts w:hint="eastAsia"/>
                      <w:lang w:val="en-US" w:eastAsia="zh-CN"/>
                    </w:rPr>
                    <w:t>1号楼中药研发实验室</w:t>
                  </w:r>
                </w:p>
              </w:tc>
              <w:tc>
                <w:tcPr>
                  <w:tcW w:w="1639" w:type="pct"/>
                  <w:shd w:val="clear" w:color="auto" w:fill="auto"/>
                  <w:vAlign w:val="center"/>
                </w:tcPr>
                <w:p w14:paraId="10212B4B">
                  <w:pPr>
                    <w:pStyle w:val="41"/>
                    <w:bidi w:val="0"/>
                    <w:jc w:val="center"/>
                    <w:rPr>
                      <w:rFonts w:hint="eastAsia"/>
                      <w:lang w:val="en-US" w:eastAsia="zh-CN"/>
                    </w:rPr>
                  </w:pPr>
                  <w:r>
                    <w:rPr>
                      <w:rFonts w:hint="eastAsia"/>
                      <w:lang w:val="zh-CN"/>
                    </w:rPr>
                    <w:t>中药活性筛选</w:t>
                  </w:r>
                  <w:r>
                    <w:rPr>
                      <w:rFonts w:hint="eastAsia"/>
                      <w:lang w:val="en-US" w:eastAsia="zh-CN"/>
                    </w:rPr>
                    <w:t>与早期评价</w:t>
                  </w:r>
                </w:p>
              </w:tc>
              <w:tc>
                <w:tcPr>
                  <w:tcW w:w="545" w:type="pct"/>
                  <w:shd w:val="clear" w:color="auto" w:fill="auto"/>
                  <w:vAlign w:val="center"/>
                </w:tcPr>
                <w:p w14:paraId="2AC0F7F8">
                  <w:pPr>
                    <w:pStyle w:val="41"/>
                    <w:bidi w:val="0"/>
                    <w:jc w:val="center"/>
                    <w:rPr>
                      <w:rFonts w:hint="default"/>
                      <w:lang w:val="en-US" w:eastAsia="zh-CN"/>
                    </w:rPr>
                  </w:pPr>
                  <w:r>
                    <w:rPr>
                      <w:rFonts w:hint="eastAsia"/>
                      <w:lang w:val="en-US" w:eastAsia="zh-CN"/>
                    </w:rPr>
                    <w:t>0</w:t>
                  </w:r>
                </w:p>
              </w:tc>
              <w:tc>
                <w:tcPr>
                  <w:tcW w:w="735" w:type="pct"/>
                  <w:shd w:val="clear" w:color="auto" w:fill="auto"/>
                  <w:vAlign w:val="center"/>
                </w:tcPr>
                <w:p w14:paraId="3FC321D7">
                  <w:pPr>
                    <w:pStyle w:val="41"/>
                    <w:bidi w:val="0"/>
                    <w:jc w:val="center"/>
                    <w:rPr>
                      <w:rFonts w:hint="eastAsia"/>
                      <w:lang w:val="en-US" w:eastAsia="zh-CN"/>
                    </w:rPr>
                  </w:pPr>
                  <w:r>
                    <w:t>120</w:t>
                  </w:r>
                </w:p>
              </w:tc>
              <w:tc>
                <w:tcPr>
                  <w:tcW w:w="696" w:type="pct"/>
                  <w:shd w:val="clear" w:color="auto" w:fill="auto"/>
                  <w:vAlign w:val="center"/>
                </w:tcPr>
                <w:p w14:paraId="3934B17A">
                  <w:pPr>
                    <w:pStyle w:val="41"/>
                    <w:bidi w:val="0"/>
                    <w:jc w:val="center"/>
                    <w:rPr>
                      <w:rFonts w:hint="eastAsia"/>
                      <w:lang w:val="en-US" w:eastAsia="zh-CN"/>
                    </w:rPr>
                  </w:pPr>
                  <w:r>
                    <w:rPr>
                      <w:rFonts w:hint="eastAsia"/>
                      <w:lang w:val="en-US" w:eastAsia="zh-CN"/>
                    </w:rPr>
                    <w:t>+</w:t>
                  </w:r>
                  <w:r>
                    <w:rPr>
                      <w:rFonts w:hint="eastAsia"/>
                    </w:rPr>
                    <w:t>120</w:t>
                  </w:r>
                </w:p>
              </w:tc>
              <w:tc>
                <w:tcPr>
                  <w:tcW w:w="637" w:type="pct"/>
                  <w:shd w:val="clear" w:color="auto" w:fill="auto"/>
                  <w:vAlign w:val="center"/>
                </w:tcPr>
                <w:p w14:paraId="321FEE0D">
                  <w:pPr>
                    <w:pStyle w:val="41"/>
                    <w:bidi w:val="0"/>
                    <w:jc w:val="center"/>
                    <w:rPr>
                      <w:rFonts w:hint="eastAsia"/>
                      <w:lang w:val="en-US" w:eastAsia="zh-CN"/>
                    </w:rPr>
                  </w:pPr>
                  <w:r>
                    <w:t>1200</w:t>
                  </w:r>
                </w:p>
              </w:tc>
            </w:tr>
            <w:tr w14:paraId="6D8AE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3A1383C6">
                  <w:pPr>
                    <w:pStyle w:val="41"/>
                    <w:bidi w:val="0"/>
                    <w:jc w:val="center"/>
                    <w:rPr>
                      <w:rFonts w:hint="eastAsia"/>
                      <w:lang w:val="en-US" w:eastAsia="zh-CN"/>
                    </w:rPr>
                  </w:pPr>
                </w:p>
              </w:tc>
              <w:tc>
                <w:tcPr>
                  <w:tcW w:w="1639" w:type="pct"/>
                  <w:shd w:val="clear" w:color="auto" w:fill="auto"/>
                  <w:vAlign w:val="center"/>
                </w:tcPr>
                <w:p w14:paraId="19E3E4C1">
                  <w:pPr>
                    <w:pStyle w:val="41"/>
                    <w:bidi w:val="0"/>
                    <w:jc w:val="center"/>
                    <w:rPr>
                      <w:rFonts w:hint="eastAsia"/>
                      <w:lang w:val="en-US" w:eastAsia="zh-CN"/>
                    </w:rPr>
                  </w:pPr>
                  <w:r>
                    <w:rPr>
                      <w:rFonts w:hint="eastAsia"/>
                      <w:lang w:val="zh-CN"/>
                    </w:rPr>
                    <w:t>免疫组学</w:t>
                  </w:r>
                </w:p>
              </w:tc>
              <w:tc>
                <w:tcPr>
                  <w:tcW w:w="545" w:type="pct"/>
                  <w:shd w:val="clear" w:color="auto" w:fill="auto"/>
                  <w:vAlign w:val="center"/>
                </w:tcPr>
                <w:p w14:paraId="4DBFAE23">
                  <w:pPr>
                    <w:pStyle w:val="41"/>
                    <w:bidi w:val="0"/>
                    <w:jc w:val="center"/>
                    <w:rPr>
                      <w:rFonts w:hint="eastAsia"/>
                      <w:lang w:val="en-US" w:eastAsia="zh-CN"/>
                    </w:rPr>
                  </w:pPr>
                  <w:r>
                    <w:rPr>
                      <w:rFonts w:hint="eastAsia"/>
                      <w:lang w:val="en-US" w:eastAsia="zh-CN"/>
                    </w:rPr>
                    <w:t>0</w:t>
                  </w:r>
                </w:p>
              </w:tc>
              <w:tc>
                <w:tcPr>
                  <w:tcW w:w="735" w:type="pct"/>
                  <w:shd w:val="clear" w:color="auto" w:fill="auto"/>
                  <w:vAlign w:val="center"/>
                </w:tcPr>
                <w:p w14:paraId="301D0C82">
                  <w:pPr>
                    <w:pStyle w:val="41"/>
                    <w:bidi w:val="0"/>
                    <w:jc w:val="center"/>
                    <w:rPr>
                      <w:rFonts w:hint="eastAsia"/>
                      <w:lang w:val="en-US" w:eastAsia="zh-CN"/>
                    </w:rPr>
                  </w:pPr>
                  <w:r>
                    <w:rPr>
                      <w:rFonts w:hint="eastAsia"/>
                    </w:rPr>
                    <w:t>1</w:t>
                  </w:r>
                  <w:r>
                    <w:t>00</w:t>
                  </w:r>
                </w:p>
              </w:tc>
              <w:tc>
                <w:tcPr>
                  <w:tcW w:w="696" w:type="pct"/>
                  <w:shd w:val="clear" w:color="auto" w:fill="auto"/>
                  <w:vAlign w:val="center"/>
                </w:tcPr>
                <w:p w14:paraId="1BF7AA4E">
                  <w:pPr>
                    <w:pStyle w:val="41"/>
                    <w:bidi w:val="0"/>
                    <w:jc w:val="center"/>
                    <w:rPr>
                      <w:rFonts w:hint="eastAsia"/>
                      <w:lang w:val="en-US" w:eastAsia="zh-CN"/>
                    </w:rPr>
                  </w:pPr>
                  <w:r>
                    <w:rPr>
                      <w:rFonts w:hint="eastAsia"/>
                      <w:lang w:val="en-US" w:eastAsia="zh-CN"/>
                    </w:rPr>
                    <w:t>+</w:t>
                  </w:r>
                  <w:r>
                    <w:rPr>
                      <w:rFonts w:hint="eastAsia"/>
                    </w:rPr>
                    <w:t>100</w:t>
                  </w:r>
                </w:p>
              </w:tc>
              <w:tc>
                <w:tcPr>
                  <w:tcW w:w="637" w:type="pct"/>
                  <w:shd w:val="clear" w:color="auto" w:fill="auto"/>
                  <w:vAlign w:val="center"/>
                </w:tcPr>
                <w:p w14:paraId="6DFB2091">
                  <w:pPr>
                    <w:pStyle w:val="41"/>
                    <w:bidi w:val="0"/>
                    <w:jc w:val="center"/>
                    <w:rPr>
                      <w:rFonts w:hint="eastAsia"/>
                      <w:lang w:val="en-US" w:eastAsia="zh-CN"/>
                    </w:rPr>
                  </w:pPr>
                  <w:r>
                    <w:rPr>
                      <w:rFonts w:hint="eastAsia"/>
                    </w:rPr>
                    <w:t>1</w:t>
                  </w:r>
                  <w:r>
                    <w:t>500</w:t>
                  </w:r>
                </w:p>
              </w:tc>
            </w:tr>
            <w:tr w14:paraId="56B12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22E4CF2C">
                  <w:pPr>
                    <w:pStyle w:val="41"/>
                    <w:bidi w:val="0"/>
                    <w:jc w:val="center"/>
                    <w:rPr>
                      <w:rFonts w:hint="eastAsia"/>
                      <w:lang w:val="en-US" w:eastAsia="zh-CN"/>
                    </w:rPr>
                  </w:pPr>
                </w:p>
              </w:tc>
              <w:tc>
                <w:tcPr>
                  <w:tcW w:w="1639" w:type="pct"/>
                  <w:shd w:val="clear" w:color="auto" w:fill="auto"/>
                  <w:vAlign w:val="center"/>
                </w:tcPr>
                <w:p w14:paraId="19C25AEC">
                  <w:pPr>
                    <w:pStyle w:val="41"/>
                    <w:bidi w:val="0"/>
                    <w:jc w:val="center"/>
                    <w:rPr>
                      <w:rFonts w:hint="eastAsia"/>
                      <w:lang w:val="en-US" w:eastAsia="zh-CN"/>
                    </w:rPr>
                  </w:pPr>
                  <w:r>
                    <w:rPr>
                      <w:rFonts w:hint="eastAsia"/>
                      <w:lang w:val="zh-CN"/>
                    </w:rPr>
                    <w:t>结构生物学</w:t>
                  </w:r>
                </w:p>
              </w:tc>
              <w:tc>
                <w:tcPr>
                  <w:tcW w:w="545" w:type="pct"/>
                  <w:shd w:val="clear" w:color="auto" w:fill="auto"/>
                  <w:vAlign w:val="center"/>
                </w:tcPr>
                <w:p w14:paraId="293ED41B">
                  <w:pPr>
                    <w:pStyle w:val="41"/>
                    <w:bidi w:val="0"/>
                    <w:jc w:val="center"/>
                    <w:rPr>
                      <w:rFonts w:hint="eastAsia"/>
                      <w:lang w:val="en-US" w:eastAsia="zh-CN"/>
                    </w:rPr>
                  </w:pPr>
                  <w:r>
                    <w:rPr>
                      <w:rFonts w:hint="eastAsia"/>
                      <w:lang w:val="en-US" w:eastAsia="zh-CN"/>
                    </w:rPr>
                    <w:t>0</w:t>
                  </w:r>
                </w:p>
              </w:tc>
              <w:tc>
                <w:tcPr>
                  <w:tcW w:w="735" w:type="pct"/>
                  <w:shd w:val="clear" w:color="auto" w:fill="auto"/>
                  <w:vAlign w:val="center"/>
                </w:tcPr>
                <w:p w14:paraId="52CD56EB">
                  <w:pPr>
                    <w:pStyle w:val="41"/>
                    <w:bidi w:val="0"/>
                    <w:jc w:val="center"/>
                    <w:rPr>
                      <w:rFonts w:hint="eastAsia"/>
                      <w:lang w:val="en-US" w:eastAsia="zh-CN"/>
                    </w:rPr>
                  </w:pPr>
                  <w:r>
                    <w:t>40</w:t>
                  </w:r>
                </w:p>
              </w:tc>
              <w:tc>
                <w:tcPr>
                  <w:tcW w:w="696" w:type="pct"/>
                  <w:shd w:val="clear" w:color="auto" w:fill="auto"/>
                  <w:vAlign w:val="center"/>
                </w:tcPr>
                <w:p w14:paraId="22AA98D8">
                  <w:pPr>
                    <w:pStyle w:val="41"/>
                    <w:bidi w:val="0"/>
                    <w:jc w:val="center"/>
                    <w:rPr>
                      <w:rFonts w:hint="eastAsia"/>
                      <w:lang w:val="en-US" w:eastAsia="zh-CN"/>
                    </w:rPr>
                  </w:pPr>
                  <w:r>
                    <w:rPr>
                      <w:rFonts w:hint="eastAsia"/>
                      <w:lang w:val="en-US" w:eastAsia="zh-CN"/>
                    </w:rPr>
                    <w:t>+</w:t>
                  </w:r>
                  <w:r>
                    <w:rPr>
                      <w:rFonts w:hint="eastAsia"/>
                    </w:rPr>
                    <w:t>40</w:t>
                  </w:r>
                </w:p>
              </w:tc>
              <w:tc>
                <w:tcPr>
                  <w:tcW w:w="637" w:type="pct"/>
                  <w:shd w:val="clear" w:color="auto" w:fill="auto"/>
                  <w:vAlign w:val="center"/>
                </w:tcPr>
                <w:p w14:paraId="05092920">
                  <w:pPr>
                    <w:pStyle w:val="41"/>
                    <w:bidi w:val="0"/>
                    <w:jc w:val="center"/>
                    <w:rPr>
                      <w:rFonts w:hint="eastAsia"/>
                      <w:lang w:val="en-US" w:eastAsia="zh-CN"/>
                    </w:rPr>
                  </w:pPr>
                  <w:r>
                    <w:t>1000</w:t>
                  </w:r>
                </w:p>
              </w:tc>
            </w:tr>
            <w:tr w14:paraId="54837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5826BEE9">
                  <w:pPr>
                    <w:pStyle w:val="41"/>
                    <w:bidi w:val="0"/>
                    <w:jc w:val="center"/>
                    <w:rPr>
                      <w:rFonts w:hint="eastAsia"/>
                      <w:lang w:val="en-US" w:eastAsia="zh-CN"/>
                    </w:rPr>
                  </w:pPr>
                </w:p>
              </w:tc>
              <w:tc>
                <w:tcPr>
                  <w:tcW w:w="1639" w:type="pct"/>
                  <w:shd w:val="clear" w:color="auto" w:fill="auto"/>
                  <w:vAlign w:val="center"/>
                </w:tcPr>
                <w:p w14:paraId="0161A8A9">
                  <w:pPr>
                    <w:pStyle w:val="41"/>
                    <w:bidi w:val="0"/>
                    <w:jc w:val="center"/>
                    <w:rPr>
                      <w:rFonts w:hint="eastAsia"/>
                      <w:lang w:val="en-US" w:eastAsia="zh-CN"/>
                    </w:rPr>
                  </w:pPr>
                  <w:r>
                    <w:rPr>
                      <w:rFonts w:hint="eastAsia"/>
                      <w:lang w:val="zh-CN"/>
                    </w:rPr>
                    <w:t>基因组学</w:t>
                  </w:r>
                </w:p>
              </w:tc>
              <w:tc>
                <w:tcPr>
                  <w:tcW w:w="545" w:type="pct"/>
                  <w:shd w:val="clear" w:color="auto" w:fill="auto"/>
                  <w:vAlign w:val="center"/>
                </w:tcPr>
                <w:p w14:paraId="1388B29D">
                  <w:pPr>
                    <w:pStyle w:val="41"/>
                    <w:bidi w:val="0"/>
                    <w:jc w:val="center"/>
                    <w:rPr>
                      <w:rFonts w:hint="eastAsia"/>
                      <w:lang w:val="en-US" w:eastAsia="zh-CN"/>
                    </w:rPr>
                  </w:pPr>
                  <w:r>
                    <w:rPr>
                      <w:rFonts w:hint="eastAsia"/>
                      <w:lang w:val="en-US" w:eastAsia="zh-CN"/>
                    </w:rPr>
                    <w:t>0</w:t>
                  </w:r>
                </w:p>
              </w:tc>
              <w:tc>
                <w:tcPr>
                  <w:tcW w:w="735" w:type="pct"/>
                  <w:shd w:val="clear" w:color="auto" w:fill="auto"/>
                  <w:vAlign w:val="center"/>
                </w:tcPr>
                <w:p w14:paraId="2A97D2B6">
                  <w:pPr>
                    <w:pStyle w:val="41"/>
                    <w:bidi w:val="0"/>
                    <w:jc w:val="center"/>
                    <w:rPr>
                      <w:rFonts w:hint="eastAsia"/>
                      <w:lang w:val="en-US" w:eastAsia="zh-CN"/>
                    </w:rPr>
                  </w:pPr>
                  <w:r>
                    <w:t>50</w:t>
                  </w:r>
                </w:p>
              </w:tc>
              <w:tc>
                <w:tcPr>
                  <w:tcW w:w="696" w:type="pct"/>
                  <w:shd w:val="clear" w:color="auto" w:fill="auto"/>
                  <w:vAlign w:val="center"/>
                </w:tcPr>
                <w:p w14:paraId="6BD11F4E">
                  <w:pPr>
                    <w:pStyle w:val="41"/>
                    <w:bidi w:val="0"/>
                    <w:jc w:val="center"/>
                    <w:rPr>
                      <w:rFonts w:hint="eastAsia"/>
                      <w:lang w:val="en-US" w:eastAsia="zh-CN"/>
                    </w:rPr>
                  </w:pPr>
                  <w:r>
                    <w:rPr>
                      <w:rFonts w:hint="eastAsia"/>
                      <w:lang w:val="en-US" w:eastAsia="zh-CN"/>
                    </w:rPr>
                    <w:t>+</w:t>
                  </w:r>
                  <w:r>
                    <w:rPr>
                      <w:rFonts w:hint="eastAsia"/>
                    </w:rPr>
                    <w:t>50</w:t>
                  </w:r>
                </w:p>
              </w:tc>
              <w:tc>
                <w:tcPr>
                  <w:tcW w:w="637" w:type="pct"/>
                  <w:shd w:val="clear" w:color="auto" w:fill="auto"/>
                  <w:vAlign w:val="center"/>
                </w:tcPr>
                <w:p w14:paraId="0EEB845C">
                  <w:pPr>
                    <w:pStyle w:val="41"/>
                    <w:bidi w:val="0"/>
                    <w:jc w:val="center"/>
                    <w:rPr>
                      <w:rFonts w:hint="eastAsia"/>
                      <w:lang w:val="en-US" w:eastAsia="zh-CN"/>
                    </w:rPr>
                  </w:pPr>
                  <w:r>
                    <w:t>2000</w:t>
                  </w:r>
                </w:p>
              </w:tc>
            </w:tr>
            <w:tr w14:paraId="3C879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0D321C2D">
                  <w:pPr>
                    <w:pStyle w:val="41"/>
                    <w:bidi w:val="0"/>
                    <w:jc w:val="center"/>
                    <w:rPr>
                      <w:rFonts w:hint="eastAsia"/>
                      <w:lang w:val="en-US" w:eastAsia="zh-CN"/>
                    </w:rPr>
                  </w:pPr>
                </w:p>
              </w:tc>
              <w:tc>
                <w:tcPr>
                  <w:tcW w:w="1639" w:type="pct"/>
                  <w:shd w:val="clear" w:color="auto" w:fill="auto"/>
                  <w:vAlign w:val="center"/>
                </w:tcPr>
                <w:p w14:paraId="0856870B">
                  <w:pPr>
                    <w:pStyle w:val="41"/>
                    <w:bidi w:val="0"/>
                    <w:jc w:val="center"/>
                    <w:rPr>
                      <w:rFonts w:hint="eastAsia"/>
                      <w:lang w:val="en-US" w:eastAsia="zh-CN"/>
                    </w:rPr>
                  </w:pPr>
                  <w:r>
                    <w:rPr>
                      <w:rFonts w:hint="eastAsia"/>
                      <w:lang w:val="zh-CN"/>
                    </w:rPr>
                    <w:t>生物信息学</w:t>
                  </w:r>
                </w:p>
              </w:tc>
              <w:tc>
                <w:tcPr>
                  <w:tcW w:w="545" w:type="pct"/>
                  <w:shd w:val="clear" w:color="auto" w:fill="auto"/>
                  <w:vAlign w:val="center"/>
                </w:tcPr>
                <w:p w14:paraId="53F08D15">
                  <w:pPr>
                    <w:pStyle w:val="41"/>
                    <w:bidi w:val="0"/>
                    <w:jc w:val="center"/>
                    <w:rPr>
                      <w:rFonts w:hint="eastAsia"/>
                      <w:lang w:val="en-US" w:eastAsia="zh-CN"/>
                    </w:rPr>
                  </w:pPr>
                  <w:r>
                    <w:rPr>
                      <w:rFonts w:hint="eastAsia"/>
                      <w:lang w:val="en-US" w:eastAsia="zh-CN"/>
                    </w:rPr>
                    <w:t>0</w:t>
                  </w:r>
                </w:p>
              </w:tc>
              <w:tc>
                <w:tcPr>
                  <w:tcW w:w="735" w:type="pct"/>
                  <w:shd w:val="clear" w:color="auto" w:fill="auto"/>
                  <w:vAlign w:val="center"/>
                </w:tcPr>
                <w:p w14:paraId="30DB66D8">
                  <w:pPr>
                    <w:pStyle w:val="41"/>
                    <w:bidi w:val="0"/>
                    <w:jc w:val="center"/>
                    <w:rPr>
                      <w:rFonts w:hint="eastAsia"/>
                      <w:lang w:val="en-US" w:eastAsia="zh-CN"/>
                    </w:rPr>
                  </w:pPr>
                  <w:r>
                    <w:t>70</w:t>
                  </w:r>
                </w:p>
              </w:tc>
              <w:tc>
                <w:tcPr>
                  <w:tcW w:w="696" w:type="pct"/>
                  <w:shd w:val="clear" w:color="auto" w:fill="auto"/>
                  <w:vAlign w:val="center"/>
                </w:tcPr>
                <w:p w14:paraId="4E895DC0">
                  <w:pPr>
                    <w:pStyle w:val="41"/>
                    <w:bidi w:val="0"/>
                    <w:jc w:val="center"/>
                    <w:rPr>
                      <w:rFonts w:hint="eastAsia"/>
                      <w:lang w:val="en-US" w:eastAsia="zh-CN"/>
                    </w:rPr>
                  </w:pPr>
                  <w:r>
                    <w:rPr>
                      <w:rFonts w:hint="eastAsia"/>
                      <w:lang w:val="en-US" w:eastAsia="zh-CN"/>
                    </w:rPr>
                    <w:t>+</w:t>
                  </w:r>
                  <w:r>
                    <w:rPr>
                      <w:rFonts w:hint="eastAsia"/>
                    </w:rPr>
                    <w:t>70</w:t>
                  </w:r>
                </w:p>
              </w:tc>
              <w:tc>
                <w:tcPr>
                  <w:tcW w:w="637" w:type="pct"/>
                  <w:shd w:val="clear" w:color="auto" w:fill="auto"/>
                  <w:vAlign w:val="center"/>
                </w:tcPr>
                <w:p w14:paraId="6105E413">
                  <w:pPr>
                    <w:pStyle w:val="41"/>
                    <w:bidi w:val="0"/>
                    <w:jc w:val="center"/>
                    <w:rPr>
                      <w:rFonts w:hint="eastAsia"/>
                      <w:lang w:val="en-US" w:eastAsia="zh-CN"/>
                    </w:rPr>
                  </w:pPr>
                  <w:r>
                    <w:rPr>
                      <w:rFonts w:hint="eastAsia"/>
                      <w:lang w:val="en-US" w:eastAsia="zh-CN"/>
                    </w:rPr>
                    <w:t>2000</w:t>
                  </w:r>
                </w:p>
              </w:tc>
            </w:tr>
            <w:tr w14:paraId="64E9F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1C236862">
                  <w:pPr>
                    <w:pStyle w:val="41"/>
                    <w:bidi w:val="0"/>
                    <w:jc w:val="center"/>
                    <w:rPr>
                      <w:rFonts w:hint="eastAsia"/>
                      <w:lang w:val="en-US" w:eastAsia="zh-CN"/>
                    </w:rPr>
                  </w:pPr>
                </w:p>
              </w:tc>
              <w:tc>
                <w:tcPr>
                  <w:tcW w:w="1639" w:type="pct"/>
                  <w:shd w:val="clear" w:color="auto" w:fill="auto"/>
                  <w:vAlign w:val="center"/>
                </w:tcPr>
                <w:p w14:paraId="330D9111">
                  <w:pPr>
                    <w:pStyle w:val="41"/>
                    <w:bidi w:val="0"/>
                    <w:jc w:val="center"/>
                    <w:rPr>
                      <w:rFonts w:hint="eastAsia" w:ascii="Times New Roman" w:hAnsi="Times New Roman" w:eastAsia="宋体" w:cs="Times New Roman"/>
                      <w:kern w:val="0"/>
                      <w:sz w:val="21"/>
                      <w:szCs w:val="24"/>
                      <w:lang w:val="zh-CN" w:eastAsia="zh-CN" w:bidi="ar-SA"/>
                    </w:rPr>
                  </w:pPr>
                  <w:r>
                    <w:rPr>
                      <w:rFonts w:hint="eastAsia"/>
                      <w:lang w:val="zh-CN"/>
                    </w:rPr>
                    <w:t>代谢组学</w:t>
                  </w:r>
                </w:p>
              </w:tc>
              <w:tc>
                <w:tcPr>
                  <w:tcW w:w="545" w:type="pct"/>
                  <w:shd w:val="clear" w:color="auto" w:fill="auto"/>
                  <w:vAlign w:val="center"/>
                </w:tcPr>
                <w:p w14:paraId="2CE54C10">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0</w:t>
                  </w:r>
                </w:p>
              </w:tc>
              <w:tc>
                <w:tcPr>
                  <w:tcW w:w="735" w:type="pct"/>
                  <w:shd w:val="clear" w:color="auto" w:fill="auto"/>
                  <w:vAlign w:val="center"/>
                </w:tcPr>
                <w:p w14:paraId="6235E7E0">
                  <w:pPr>
                    <w:pStyle w:val="41"/>
                    <w:bidi w:val="0"/>
                    <w:jc w:val="center"/>
                    <w:rPr>
                      <w:rFonts w:hint="eastAsia" w:ascii="Times New Roman" w:hAnsi="Times New Roman" w:eastAsia="宋体" w:cs="Times New Roman"/>
                      <w:kern w:val="0"/>
                      <w:sz w:val="21"/>
                      <w:szCs w:val="24"/>
                      <w:lang w:val="en-US" w:eastAsia="zh-CN" w:bidi="ar-SA"/>
                    </w:rPr>
                  </w:pPr>
                  <w:r>
                    <w:t>100</w:t>
                  </w:r>
                </w:p>
              </w:tc>
              <w:tc>
                <w:tcPr>
                  <w:tcW w:w="696" w:type="pct"/>
                  <w:shd w:val="clear" w:color="auto" w:fill="auto"/>
                  <w:vAlign w:val="center"/>
                </w:tcPr>
                <w:p w14:paraId="26CBDCA0">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w:t>
                  </w:r>
                  <w:r>
                    <w:rPr>
                      <w:rFonts w:hint="eastAsia"/>
                    </w:rPr>
                    <w:t>100</w:t>
                  </w:r>
                </w:p>
              </w:tc>
              <w:tc>
                <w:tcPr>
                  <w:tcW w:w="637" w:type="pct"/>
                  <w:shd w:val="clear" w:color="auto" w:fill="auto"/>
                  <w:vAlign w:val="center"/>
                </w:tcPr>
                <w:p w14:paraId="011CFF80">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2000</w:t>
                  </w:r>
                </w:p>
              </w:tc>
            </w:tr>
            <w:tr w14:paraId="5E90E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299093FB">
                  <w:pPr>
                    <w:pStyle w:val="41"/>
                    <w:bidi w:val="0"/>
                    <w:jc w:val="center"/>
                    <w:rPr>
                      <w:rFonts w:hint="eastAsia"/>
                      <w:lang w:val="en-US" w:eastAsia="zh-CN"/>
                    </w:rPr>
                  </w:pPr>
                </w:p>
              </w:tc>
              <w:tc>
                <w:tcPr>
                  <w:tcW w:w="1639" w:type="pct"/>
                  <w:shd w:val="clear" w:color="auto" w:fill="auto"/>
                  <w:vAlign w:val="center"/>
                </w:tcPr>
                <w:p w14:paraId="29259B59">
                  <w:pPr>
                    <w:pStyle w:val="41"/>
                    <w:bidi w:val="0"/>
                    <w:jc w:val="center"/>
                    <w:rPr>
                      <w:rFonts w:hint="eastAsia" w:ascii="Times New Roman" w:hAnsi="Times New Roman" w:eastAsia="宋体" w:cs="Times New Roman"/>
                      <w:kern w:val="0"/>
                      <w:sz w:val="21"/>
                      <w:szCs w:val="24"/>
                      <w:lang w:val="zh-CN" w:eastAsia="zh-CN" w:bidi="ar-SA"/>
                    </w:rPr>
                  </w:pPr>
                  <w:r>
                    <w:rPr>
                      <w:rFonts w:hint="eastAsia"/>
                      <w:lang w:val="zh-CN"/>
                    </w:rPr>
                    <w:t>肠道微生物组学</w:t>
                  </w:r>
                </w:p>
              </w:tc>
              <w:tc>
                <w:tcPr>
                  <w:tcW w:w="545" w:type="pct"/>
                  <w:shd w:val="clear" w:color="auto" w:fill="auto"/>
                  <w:vAlign w:val="center"/>
                </w:tcPr>
                <w:p w14:paraId="0C56875F">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0</w:t>
                  </w:r>
                </w:p>
              </w:tc>
              <w:tc>
                <w:tcPr>
                  <w:tcW w:w="735" w:type="pct"/>
                  <w:shd w:val="clear" w:color="auto" w:fill="auto"/>
                  <w:vAlign w:val="center"/>
                </w:tcPr>
                <w:p w14:paraId="27EC6BF2">
                  <w:pPr>
                    <w:pStyle w:val="41"/>
                    <w:bidi w:val="0"/>
                    <w:jc w:val="center"/>
                    <w:rPr>
                      <w:rFonts w:hint="eastAsia" w:ascii="Times New Roman" w:hAnsi="Times New Roman" w:eastAsia="宋体" w:cs="Times New Roman"/>
                      <w:kern w:val="0"/>
                      <w:sz w:val="21"/>
                      <w:szCs w:val="24"/>
                      <w:lang w:val="en-US" w:eastAsia="zh-CN" w:bidi="ar-SA"/>
                    </w:rPr>
                  </w:pPr>
                  <w:r>
                    <w:t>80</w:t>
                  </w:r>
                </w:p>
              </w:tc>
              <w:tc>
                <w:tcPr>
                  <w:tcW w:w="696" w:type="pct"/>
                  <w:shd w:val="clear" w:color="auto" w:fill="auto"/>
                  <w:vAlign w:val="center"/>
                </w:tcPr>
                <w:p w14:paraId="3CE9C35F">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w:t>
                  </w:r>
                  <w:r>
                    <w:rPr>
                      <w:rFonts w:hint="eastAsia"/>
                    </w:rPr>
                    <w:t>80</w:t>
                  </w:r>
                </w:p>
              </w:tc>
              <w:tc>
                <w:tcPr>
                  <w:tcW w:w="637" w:type="pct"/>
                  <w:shd w:val="clear" w:color="auto" w:fill="auto"/>
                  <w:vAlign w:val="center"/>
                </w:tcPr>
                <w:p w14:paraId="7DBB9BA9">
                  <w:pPr>
                    <w:pStyle w:val="41"/>
                    <w:bidi w:val="0"/>
                    <w:jc w:val="center"/>
                    <w:rPr>
                      <w:rFonts w:hint="eastAsia" w:ascii="Times New Roman" w:hAnsi="Times New Roman" w:eastAsia="宋体" w:cs="Times New Roman"/>
                      <w:kern w:val="0"/>
                      <w:sz w:val="21"/>
                      <w:szCs w:val="24"/>
                      <w:lang w:val="en-US" w:eastAsia="zh-CN" w:bidi="ar-SA"/>
                    </w:rPr>
                  </w:pPr>
                  <w:r>
                    <w:rPr>
                      <w:rFonts w:hint="eastAsia"/>
                    </w:rPr>
                    <w:t>2</w:t>
                  </w:r>
                  <w:r>
                    <w:t>000</w:t>
                  </w:r>
                </w:p>
              </w:tc>
            </w:tr>
            <w:tr w14:paraId="596C7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412E88D5">
                  <w:pPr>
                    <w:pStyle w:val="41"/>
                    <w:bidi w:val="0"/>
                    <w:jc w:val="center"/>
                    <w:rPr>
                      <w:rFonts w:hint="eastAsia"/>
                      <w:lang w:val="en-US" w:eastAsia="zh-CN"/>
                    </w:rPr>
                  </w:pPr>
                </w:p>
              </w:tc>
              <w:tc>
                <w:tcPr>
                  <w:tcW w:w="1639" w:type="pct"/>
                  <w:shd w:val="clear" w:color="auto" w:fill="auto"/>
                  <w:vAlign w:val="center"/>
                </w:tcPr>
                <w:p w14:paraId="13D1783B">
                  <w:pPr>
                    <w:pStyle w:val="41"/>
                    <w:bidi w:val="0"/>
                    <w:jc w:val="center"/>
                    <w:rPr>
                      <w:rFonts w:hint="eastAsia"/>
                      <w:lang w:val="zh-CN" w:eastAsia="zh-CN"/>
                    </w:rPr>
                  </w:pPr>
                  <w:r>
                    <w:t>短小蛇根草苷</w:t>
                  </w:r>
                </w:p>
              </w:tc>
              <w:tc>
                <w:tcPr>
                  <w:tcW w:w="545" w:type="pct"/>
                  <w:shd w:val="clear" w:color="auto" w:fill="auto"/>
                  <w:vAlign w:val="center"/>
                </w:tcPr>
                <w:p w14:paraId="41F86516">
                  <w:pPr>
                    <w:pStyle w:val="41"/>
                    <w:bidi w:val="0"/>
                    <w:jc w:val="center"/>
                    <w:rPr>
                      <w:rFonts w:hint="eastAsia"/>
                      <w:lang w:val="en-US" w:eastAsia="zh-CN"/>
                    </w:rPr>
                  </w:pPr>
                  <w:r>
                    <w:rPr>
                      <w:rFonts w:hint="eastAsia"/>
                      <w:lang w:val="en-US" w:eastAsia="zh-CN"/>
                    </w:rPr>
                    <w:t>0</w:t>
                  </w:r>
                </w:p>
              </w:tc>
              <w:tc>
                <w:tcPr>
                  <w:tcW w:w="735" w:type="pct"/>
                  <w:shd w:val="clear" w:color="auto" w:fill="auto"/>
                  <w:vAlign w:val="center"/>
                </w:tcPr>
                <w:p w14:paraId="4CA6B9A2">
                  <w:pPr>
                    <w:pStyle w:val="41"/>
                    <w:bidi w:val="0"/>
                    <w:jc w:val="center"/>
                    <w:rPr>
                      <w:rFonts w:hint="eastAsia"/>
                      <w:lang w:val="en-US" w:eastAsia="zh-CN"/>
                    </w:rPr>
                  </w:pPr>
                  <w:r>
                    <w:rPr>
                      <w:rFonts w:hint="eastAsia"/>
                      <w:lang w:val="en-US" w:eastAsia="zh-CN"/>
                    </w:rPr>
                    <w:t>200</w:t>
                  </w:r>
                </w:p>
              </w:tc>
              <w:tc>
                <w:tcPr>
                  <w:tcW w:w="696" w:type="pct"/>
                  <w:shd w:val="clear" w:color="auto" w:fill="auto"/>
                  <w:vAlign w:val="center"/>
                </w:tcPr>
                <w:p w14:paraId="5E897380">
                  <w:pPr>
                    <w:pStyle w:val="41"/>
                    <w:bidi w:val="0"/>
                    <w:jc w:val="center"/>
                    <w:rPr>
                      <w:rFonts w:hint="eastAsia"/>
                      <w:lang w:val="en-US" w:eastAsia="zh-CN"/>
                    </w:rPr>
                  </w:pPr>
                  <w:r>
                    <w:rPr>
                      <w:rFonts w:hint="eastAsia"/>
                      <w:lang w:val="en-US" w:eastAsia="zh-CN"/>
                    </w:rPr>
                    <w:t>+</w:t>
                  </w:r>
                  <w:r>
                    <w:rPr>
                      <w:rFonts w:hint="eastAsia"/>
                    </w:rPr>
                    <w:t>200</w:t>
                  </w:r>
                </w:p>
              </w:tc>
              <w:tc>
                <w:tcPr>
                  <w:tcW w:w="637" w:type="pct"/>
                  <w:shd w:val="clear" w:color="auto" w:fill="auto"/>
                  <w:vAlign w:val="center"/>
                </w:tcPr>
                <w:p w14:paraId="6657B3DD">
                  <w:pPr>
                    <w:pStyle w:val="41"/>
                    <w:bidi w:val="0"/>
                    <w:jc w:val="center"/>
                    <w:rPr>
                      <w:rFonts w:hint="eastAsia"/>
                      <w:lang w:val="en-US" w:eastAsia="zh-CN"/>
                    </w:rPr>
                  </w:pPr>
                  <w:r>
                    <w:rPr>
                      <w:rFonts w:hint="eastAsia"/>
                      <w:lang w:val="en-US" w:eastAsia="zh-CN"/>
                    </w:rPr>
                    <w:t>2000</w:t>
                  </w:r>
                </w:p>
              </w:tc>
            </w:tr>
            <w:tr w14:paraId="39370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5484A2F7">
                  <w:pPr>
                    <w:pStyle w:val="41"/>
                    <w:bidi w:val="0"/>
                    <w:jc w:val="center"/>
                    <w:rPr>
                      <w:rFonts w:hint="eastAsia"/>
                      <w:lang w:val="en-US" w:eastAsia="zh-CN"/>
                    </w:rPr>
                  </w:pPr>
                </w:p>
              </w:tc>
              <w:tc>
                <w:tcPr>
                  <w:tcW w:w="1639" w:type="pct"/>
                  <w:shd w:val="clear" w:color="auto" w:fill="auto"/>
                  <w:vAlign w:val="center"/>
                </w:tcPr>
                <w:p w14:paraId="4926A0F9">
                  <w:pPr>
                    <w:pStyle w:val="41"/>
                    <w:bidi w:val="0"/>
                    <w:jc w:val="center"/>
                    <w:rPr>
                      <w:rFonts w:hint="eastAsia"/>
                      <w:lang w:val="zh-CN" w:eastAsia="zh-CN"/>
                    </w:rPr>
                  </w:pPr>
                  <w:r>
                    <w:t>短小蛇根草苷的衍生物</w:t>
                  </w:r>
                </w:p>
              </w:tc>
              <w:tc>
                <w:tcPr>
                  <w:tcW w:w="545" w:type="pct"/>
                  <w:shd w:val="clear" w:color="auto" w:fill="auto"/>
                  <w:vAlign w:val="center"/>
                </w:tcPr>
                <w:p w14:paraId="61465117">
                  <w:pPr>
                    <w:pStyle w:val="41"/>
                    <w:bidi w:val="0"/>
                    <w:jc w:val="center"/>
                    <w:rPr>
                      <w:rFonts w:hint="eastAsia"/>
                      <w:lang w:val="en-US" w:eastAsia="zh-CN"/>
                    </w:rPr>
                  </w:pPr>
                  <w:r>
                    <w:rPr>
                      <w:rFonts w:hint="eastAsia"/>
                      <w:lang w:val="en-US" w:eastAsia="zh-CN"/>
                    </w:rPr>
                    <w:t>0</w:t>
                  </w:r>
                </w:p>
              </w:tc>
              <w:tc>
                <w:tcPr>
                  <w:tcW w:w="735" w:type="pct"/>
                  <w:shd w:val="clear" w:color="auto" w:fill="auto"/>
                  <w:vAlign w:val="center"/>
                </w:tcPr>
                <w:p w14:paraId="25531871">
                  <w:pPr>
                    <w:pStyle w:val="41"/>
                    <w:bidi w:val="0"/>
                    <w:jc w:val="center"/>
                    <w:rPr>
                      <w:rFonts w:hint="eastAsia"/>
                      <w:lang w:val="en-US" w:eastAsia="zh-CN"/>
                    </w:rPr>
                  </w:pPr>
                  <w:r>
                    <w:rPr>
                      <w:rFonts w:hint="eastAsia"/>
                      <w:lang w:val="en-US" w:eastAsia="zh-CN"/>
                    </w:rPr>
                    <w:t>200</w:t>
                  </w:r>
                </w:p>
              </w:tc>
              <w:tc>
                <w:tcPr>
                  <w:tcW w:w="696" w:type="pct"/>
                  <w:shd w:val="clear" w:color="auto" w:fill="auto"/>
                  <w:vAlign w:val="center"/>
                </w:tcPr>
                <w:p w14:paraId="48A4C016">
                  <w:pPr>
                    <w:pStyle w:val="41"/>
                    <w:bidi w:val="0"/>
                    <w:jc w:val="center"/>
                    <w:rPr>
                      <w:rFonts w:hint="eastAsia"/>
                      <w:lang w:val="en-US" w:eastAsia="zh-CN"/>
                    </w:rPr>
                  </w:pPr>
                  <w:r>
                    <w:rPr>
                      <w:rFonts w:hint="eastAsia"/>
                      <w:lang w:val="en-US" w:eastAsia="zh-CN"/>
                    </w:rPr>
                    <w:t>+</w:t>
                  </w:r>
                  <w:r>
                    <w:rPr>
                      <w:rFonts w:hint="eastAsia"/>
                    </w:rPr>
                    <w:t>200</w:t>
                  </w:r>
                </w:p>
              </w:tc>
              <w:tc>
                <w:tcPr>
                  <w:tcW w:w="637" w:type="pct"/>
                  <w:shd w:val="clear" w:color="auto" w:fill="auto"/>
                  <w:vAlign w:val="center"/>
                </w:tcPr>
                <w:p w14:paraId="6B39FCDA">
                  <w:pPr>
                    <w:pStyle w:val="41"/>
                    <w:bidi w:val="0"/>
                    <w:jc w:val="center"/>
                    <w:rPr>
                      <w:rFonts w:hint="eastAsia"/>
                      <w:lang w:val="en-US" w:eastAsia="zh-CN"/>
                    </w:rPr>
                  </w:pPr>
                  <w:r>
                    <w:rPr>
                      <w:rFonts w:hint="eastAsia"/>
                      <w:lang w:val="en-US" w:eastAsia="zh-CN"/>
                    </w:rPr>
                    <w:t>2000</w:t>
                  </w:r>
                </w:p>
              </w:tc>
            </w:tr>
            <w:tr w14:paraId="4B867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23CC6269">
                  <w:pPr>
                    <w:pStyle w:val="41"/>
                    <w:bidi w:val="0"/>
                    <w:jc w:val="center"/>
                    <w:rPr>
                      <w:rFonts w:hint="eastAsia"/>
                      <w:lang w:val="en-US" w:eastAsia="zh-CN"/>
                    </w:rPr>
                  </w:pPr>
                </w:p>
              </w:tc>
              <w:tc>
                <w:tcPr>
                  <w:tcW w:w="1639" w:type="pct"/>
                  <w:shd w:val="clear" w:color="auto" w:fill="auto"/>
                  <w:vAlign w:val="center"/>
                </w:tcPr>
                <w:p w14:paraId="250C0132">
                  <w:pPr>
                    <w:pStyle w:val="41"/>
                    <w:bidi w:val="0"/>
                    <w:jc w:val="center"/>
                    <w:rPr>
                      <w:rFonts w:hint="eastAsia"/>
                      <w:lang w:val="zh-CN" w:eastAsia="zh-CN"/>
                    </w:rPr>
                  </w:pPr>
                  <w:r>
                    <w:t>金黄凝胶</w:t>
                  </w:r>
                </w:p>
              </w:tc>
              <w:tc>
                <w:tcPr>
                  <w:tcW w:w="545" w:type="pct"/>
                  <w:shd w:val="clear" w:color="auto" w:fill="auto"/>
                  <w:vAlign w:val="center"/>
                </w:tcPr>
                <w:p w14:paraId="39BCB792">
                  <w:pPr>
                    <w:pStyle w:val="41"/>
                    <w:bidi w:val="0"/>
                    <w:jc w:val="center"/>
                    <w:rPr>
                      <w:rFonts w:hint="eastAsia"/>
                      <w:lang w:val="en-US" w:eastAsia="zh-CN"/>
                    </w:rPr>
                  </w:pPr>
                  <w:r>
                    <w:rPr>
                      <w:rFonts w:hint="eastAsia"/>
                      <w:lang w:val="en-US" w:eastAsia="zh-CN"/>
                    </w:rPr>
                    <w:t>0</w:t>
                  </w:r>
                </w:p>
              </w:tc>
              <w:tc>
                <w:tcPr>
                  <w:tcW w:w="735" w:type="pct"/>
                  <w:shd w:val="clear" w:color="auto" w:fill="auto"/>
                  <w:vAlign w:val="center"/>
                </w:tcPr>
                <w:p w14:paraId="372F9ADA">
                  <w:pPr>
                    <w:pStyle w:val="41"/>
                    <w:bidi w:val="0"/>
                    <w:jc w:val="center"/>
                    <w:rPr>
                      <w:rFonts w:hint="eastAsia"/>
                      <w:lang w:val="en-US" w:eastAsia="zh-CN"/>
                    </w:rPr>
                  </w:pPr>
                  <w:r>
                    <w:rPr>
                      <w:rFonts w:hint="eastAsia"/>
                      <w:lang w:val="en-US" w:eastAsia="zh-CN"/>
                    </w:rPr>
                    <w:t>200</w:t>
                  </w:r>
                </w:p>
              </w:tc>
              <w:tc>
                <w:tcPr>
                  <w:tcW w:w="696" w:type="pct"/>
                  <w:shd w:val="clear" w:color="auto" w:fill="auto"/>
                  <w:vAlign w:val="center"/>
                </w:tcPr>
                <w:p w14:paraId="0E5AE396">
                  <w:pPr>
                    <w:pStyle w:val="41"/>
                    <w:bidi w:val="0"/>
                    <w:jc w:val="center"/>
                    <w:rPr>
                      <w:rFonts w:hint="eastAsia"/>
                      <w:lang w:val="en-US" w:eastAsia="zh-CN"/>
                    </w:rPr>
                  </w:pPr>
                  <w:r>
                    <w:rPr>
                      <w:rFonts w:hint="eastAsia"/>
                      <w:lang w:val="en-US" w:eastAsia="zh-CN"/>
                    </w:rPr>
                    <w:t>+</w:t>
                  </w:r>
                  <w:r>
                    <w:rPr>
                      <w:rFonts w:hint="eastAsia"/>
                    </w:rPr>
                    <w:t>200</w:t>
                  </w:r>
                </w:p>
              </w:tc>
              <w:tc>
                <w:tcPr>
                  <w:tcW w:w="637" w:type="pct"/>
                  <w:shd w:val="clear" w:color="auto" w:fill="auto"/>
                  <w:vAlign w:val="center"/>
                </w:tcPr>
                <w:p w14:paraId="51F071C8">
                  <w:pPr>
                    <w:pStyle w:val="41"/>
                    <w:bidi w:val="0"/>
                    <w:jc w:val="center"/>
                    <w:rPr>
                      <w:rFonts w:hint="eastAsia"/>
                      <w:lang w:val="en-US" w:eastAsia="zh-CN"/>
                    </w:rPr>
                  </w:pPr>
                  <w:r>
                    <w:rPr>
                      <w:rFonts w:hint="eastAsia"/>
                      <w:lang w:val="en-US" w:eastAsia="zh-CN"/>
                    </w:rPr>
                    <w:t>2000</w:t>
                  </w:r>
                </w:p>
              </w:tc>
            </w:tr>
            <w:tr w14:paraId="2DD70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1DA1DC20">
                  <w:pPr>
                    <w:pStyle w:val="41"/>
                    <w:bidi w:val="0"/>
                    <w:jc w:val="center"/>
                    <w:rPr>
                      <w:rFonts w:hint="eastAsia"/>
                      <w:lang w:val="en-US" w:eastAsia="zh-CN"/>
                    </w:rPr>
                  </w:pPr>
                </w:p>
              </w:tc>
              <w:tc>
                <w:tcPr>
                  <w:tcW w:w="1639" w:type="pct"/>
                  <w:shd w:val="clear" w:color="auto" w:fill="auto"/>
                  <w:vAlign w:val="center"/>
                </w:tcPr>
                <w:p w14:paraId="1C0807EB">
                  <w:pPr>
                    <w:pStyle w:val="41"/>
                    <w:bidi w:val="0"/>
                    <w:jc w:val="center"/>
                    <w:rPr>
                      <w:rFonts w:hint="default"/>
                      <w:lang w:val="en-US" w:eastAsia="zh-CN"/>
                    </w:rPr>
                  </w:pPr>
                  <w:r>
                    <w:rPr>
                      <w:rFonts w:hint="eastAsia"/>
                      <w:lang w:val="en-US" w:eastAsia="zh-CN"/>
                    </w:rPr>
                    <w:t>天然产物结构修饰</w:t>
                  </w:r>
                </w:p>
              </w:tc>
              <w:tc>
                <w:tcPr>
                  <w:tcW w:w="545" w:type="pct"/>
                  <w:shd w:val="clear" w:color="auto" w:fill="auto"/>
                  <w:vAlign w:val="center"/>
                </w:tcPr>
                <w:p w14:paraId="0A47B73A">
                  <w:pPr>
                    <w:pStyle w:val="41"/>
                    <w:bidi w:val="0"/>
                    <w:jc w:val="center"/>
                    <w:rPr>
                      <w:rFonts w:hint="default"/>
                      <w:lang w:val="en-US" w:eastAsia="zh-CN"/>
                    </w:rPr>
                  </w:pPr>
                  <w:r>
                    <w:rPr>
                      <w:rFonts w:hint="eastAsia"/>
                      <w:lang w:val="en-US" w:eastAsia="zh-CN"/>
                    </w:rPr>
                    <w:t>0</w:t>
                  </w:r>
                </w:p>
              </w:tc>
              <w:tc>
                <w:tcPr>
                  <w:tcW w:w="735" w:type="pct"/>
                  <w:shd w:val="clear" w:color="auto" w:fill="auto"/>
                  <w:vAlign w:val="center"/>
                </w:tcPr>
                <w:p w14:paraId="1EFD061E">
                  <w:pPr>
                    <w:pStyle w:val="41"/>
                    <w:bidi w:val="0"/>
                    <w:jc w:val="center"/>
                    <w:rPr>
                      <w:rFonts w:hint="eastAsia"/>
                      <w:lang w:val="en-US" w:eastAsia="zh-CN"/>
                    </w:rPr>
                  </w:pPr>
                  <w:r>
                    <w:rPr>
                      <w:rFonts w:hint="eastAsia"/>
                      <w:lang w:val="en-US" w:eastAsia="zh-CN"/>
                    </w:rPr>
                    <w:t>2000</w:t>
                  </w:r>
                </w:p>
              </w:tc>
              <w:tc>
                <w:tcPr>
                  <w:tcW w:w="696" w:type="pct"/>
                  <w:shd w:val="clear" w:color="auto" w:fill="auto"/>
                  <w:vAlign w:val="center"/>
                </w:tcPr>
                <w:p w14:paraId="2646A968">
                  <w:pPr>
                    <w:pStyle w:val="41"/>
                    <w:bidi w:val="0"/>
                    <w:jc w:val="center"/>
                    <w:rPr>
                      <w:rFonts w:hint="eastAsia"/>
                      <w:lang w:val="en-US" w:eastAsia="zh-CN"/>
                    </w:rPr>
                  </w:pPr>
                  <w:r>
                    <w:rPr>
                      <w:rFonts w:hint="eastAsia"/>
                      <w:lang w:val="en-US" w:eastAsia="zh-CN"/>
                    </w:rPr>
                    <w:t>+</w:t>
                  </w:r>
                  <w:r>
                    <w:rPr>
                      <w:rFonts w:hint="eastAsia"/>
                    </w:rPr>
                    <w:t>2000</w:t>
                  </w:r>
                </w:p>
              </w:tc>
              <w:tc>
                <w:tcPr>
                  <w:tcW w:w="637" w:type="pct"/>
                  <w:vAlign w:val="center"/>
                </w:tcPr>
                <w:p w14:paraId="064C8283">
                  <w:pPr>
                    <w:pStyle w:val="41"/>
                    <w:bidi w:val="0"/>
                    <w:jc w:val="center"/>
                    <w:rPr>
                      <w:rFonts w:hint="default"/>
                      <w:lang w:val="en-US" w:eastAsia="zh-CN"/>
                    </w:rPr>
                  </w:pPr>
                  <w:r>
                    <w:rPr>
                      <w:rFonts w:hint="eastAsia"/>
                      <w:lang w:val="en-US" w:eastAsia="zh-CN"/>
                    </w:rPr>
                    <w:t>2000</w:t>
                  </w:r>
                </w:p>
              </w:tc>
            </w:tr>
            <w:tr w14:paraId="254ED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458EF240">
                  <w:pPr>
                    <w:pStyle w:val="41"/>
                    <w:bidi w:val="0"/>
                    <w:jc w:val="center"/>
                    <w:rPr>
                      <w:rFonts w:hint="eastAsia"/>
                      <w:lang w:val="en-US" w:eastAsia="zh-CN"/>
                    </w:rPr>
                  </w:pPr>
                </w:p>
              </w:tc>
              <w:tc>
                <w:tcPr>
                  <w:tcW w:w="1639" w:type="pct"/>
                  <w:shd w:val="clear" w:color="auto" w:fill="auto"/>
                  <w:vAlign w:val="center"/>
                </w:tcPr>
                <w:p w14:paraId="5FB388B7">
                  <w:pPr>
                    <w:pStyle w:val="41"/>
                    <w:bidi w:val="0"/>
                    <w:jc w:val="center"/>
                    <w:rPr>
                      <w:rFonts w:hint="eastAsia"/>
                      <w:lang w:val="en-US" w:eastAsia="zh-CN"/>
                    </w:rPr>
                  </w:pPr>
                  <w:r>
                    <w:rPr>
                      <w:rFonts w:hint="eastAsia"/>
                    </w:rPr>
                    <w:t>七味通痹口服液药物代谢实验</w:t>
                  </w:r>
                </w:p>
              </w:tc>
              <w:tc>
                <w:tcPr>
                  <w:tcW w:w="545" w:type="pct"/>
                  <w:vAlign w:val="center"/>
                </w:tcPr>
                <w:p w14:paraId="301A55F0">
                  <w:pPr>
                    <w:pStyle w:val="41"/>
                    <w:bidi w:val="0"/>
                    <w:jc w:val="center"/>
                    <w:rPr>
                      <w:rFonts w:hint="default"/>
                      <w:lang w:val="en-US" w:eastAsia="zh-CN"/>
                    </w:rPr>
                  </w:pPr>
                  <w:r>
                    <w:rPr>
                      <w:rFonts w:hint="eastAsia"/>
                      <w:lang w:val="en-US" w:eastAsia="zh-CN"/>
                    </w:rPr>
                    <w:t>0</w:t>
                  </w:r>
                </w:p>
              </w:tc>
              <w:tc>
                <w:tcPr>
                  <w:tcW w:w="735" w:type="pct"/>
                  <w:shd w:val="clear" w:color="auto" w:fill="auto"/>
                  <w:vAlign w:val="center"/>
                </w:tcPr>
                <w:p w14:paraId="2E65293E">
                  <w:pPr>
                    <w:pStyle w:val="41"/>
                    <w:bidi w:val="0"/>
                    <w:jc w:val="center"/>
                    <w:rPr>
                      <w:rFonts w:hint="eastAsia"/>
                      <w:lang w:val="en-US" w:eastAsia="zh-CN"/>
                    </w:rPr>
                  </w:pPr>
                  <w:r>
                    <w:rPr>
                      <w:rFonts w:hint="eastAsia"/>
                      <w:lang w:val="en-US" w:eastAsia="zh-CN"/>
                    </w:rPr>
                    <w:t>100</w:t>
                  </w:r>
                </w:p>
              </w:tc>
              <w:tc>
                <w:tcPr>
                  <w:tcW w:w="696" w:type="pct"/>
                  <w:shd w:val="clear" w:color="auto" w:fill="auto"/>
                  <w:vAlign w:val="center"/>
                </w:tcPr>
                <w:p w14:paraId="168F90D5">
                  <w:pPr>
                    <w:pStyle w:val="41"/>
                    <w:bidi w:val="0"/>
                    <w:jc w:val="center"/>
                    <w:rPr>
                      <w:rFonts w:hint="eastAsia"/>
                      <w:lang w:val="en-US" w:eastAsia="zh-CN"/>
                    </w:rPr>
                  </w:pPr>
                  <w:r>
                    <w:rPr>
                      <w:rFonts w:hint="eastAsia"/>
                      <w:lang w:val="en-US" w:eastAsia="zh-CN"/>
                    </w:rPr>
                    <w:t>+</w:t>
                  </w:r>
                  <w:r>
                    <w:rPr>
                      <w:rFonts w:hint="eastAsia"/>
                    </w:rPr>
                    <w:t>100</w:t>
                  </w:r>
                </w:p>
              </w:tc>
              <w:tc>
                <w:tcPr>
                  <w:tcW w:w="637" w:type="pct"/>
                  <w:vAlign w:val="center"/>
                </w:tcPr>
                <w:p w14:paraId="52BE402A">
                  <w:pPr>
                    <w:pStyle w:val="41"/>
                    <w:bidi w:val="0"/>
                    <w:jc w:val="center"/>
                    <w:rPr>
                      <w:rFonts w:hint="default"/>
                      <w:lang w:val="en-US" w:eastAsia="zh-CN"/>
                    </w:rPr>
                  </w:pPr>
                  <w:r>
                    <w:rPr>
                      <w:rFonts w:hint="eastAsia"/>
                      <w:lang w:val="en-US" w:eastAsia="zh-CN"/>
                    </w:rPr>
                    <w:t>2000</w:t>
                  </w:r>
                </w:p>
              </w:tc>
            </w:tr>
            <w:tr w14:paraId="1451F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1F890A7D">
                  <w:pPr>
                    <w:pStyle w:val="41"/>
                    <w:bidi w:val="0"/>
                    <w:jc w:val="center"/>
                    <w:rPr>
                      <w:rFonts w:hint="eastAsia"/>
                      <w:lang w:val="en-US" w:eastAsia="zh-CN"/>
                    </w:rPr>
                  </w:pPr>
                </w:p>
              </w:tc>
              <w:tc>
                <w:tcPr>
                  <w:tcW w:w="1639" w:type="pct"/>
                  <w:shd w:val="clear" w:color="auto" w:fill="auto"/>
                  <w:vAlign w:val="center"/>
                </w:tcPr>
                <w:p w14:paraId="293CB8FE">
                  <w:pPr>
                    <w:pStyle w:val="41"/>
                    <w:bidi w:val="0"/>
                    <w:jc w:val="center"/>
                    <w:rPr>
                      <w:rFonts w:hint="eastAsia"/>
                      <w:lang w:val="en-US" w:eastAsia="zh-CN"/>
                    </w:rPr>
                  </w:pPr>
                  <w:r>
                    <w:rPr>
                      <w:rFonts w:hint="eastAsia"/>
                    </w:rPr>
                    <w:t>玉女</w:t>
                  </w:r>
                  <w:r>
                    <w:rPr>
                      <w:rFonts w:hint="eastAsia"/>
                      <w:lang w:val="en-US" w:eastAsia="zh-CN"/>
                    </w:rPr>
                    <w:t>煎</w:t>
                  </w:r>
                  <w:r>
                    <w:rPr>
                      <w:rFonts w:hint="eastAsia"/>
                    </w:rPr>
                    <w:t>成分分析</w:t>
                  </w:r>
                </w:p>
              </w:tc>
              <w:tc>
                <w:tcPr>
                  <w:tcW w:w="545" w:type="pct"/>
                  <w:vAlign w:val="center"/>
                </w:tcPr>
                <w:p w14:paraId="4CCB9E25">
                  <w:pPr>
                    <w:pStyle w:val="41"/>
                    <w:bidi w:val="0"/>
                    <w:jc w:val="center"/>
                    <w:rPr>
                      <w:rFonts w:hint="default"/>
                      <w:lang w:val="en-US" w:eastAsia="zh-CN"/>
                    </w:rPr>
                  </w:pPr>
                  <w:r>
                    <w:rPr>
                      <w:rFonts w:hint="eastAsia"/>
                      <w:lang w:val="en-US" w:eastAsia="zh-CN"/>
                    </w:rPr>
                    <w:t>0</w:t>
                  </w:r>
                </w:p>
              </w:tc>
              <w:tc>
                <w:tcPr>
                  <w:tcW w:w="735" w:type="pct"/>
                  <w:shd w:val="clear" w:color="auto" w:fill="auto"/>
                  <w:vAlign w:val="center"/>
                </w:tcPr>
                <w:p w14:paraId="58C0DDF7">
                  <w:pPr>
                    <w:pStyle w:val="41"/>
                    <w:bidi w:val="0"/>
                    <w:jc w:val="center"/>
                    <w:rPr>
                      <w:rFonts w:hint="eastAsia"/>
                      <w:lang w:val="en-US" w:eastAsia="zh-CN"/>
                    </w:rPr>
                  </w:pPr>
                  <w:r>
                    <w:rPr>
                      <w:rFonts w:hint="eastAsia"/>
                      <w:lang w:val="en-US" w:eastAsia="zh-CN"/>
                    </w:rPr>
                    <w:t>300</w:t>
                  </w:r>
                </w:p>
              </w:tc>
              <w:tc>
                <w:tcPr>
                  <w:tcW w:w="696" w:type="pct"/>
                  <w:shd w:val="clear" w:color="auto" w:fill="auto"/>
                  <w:vAlign w:val="center"/>
                </w:tcPr>
                <w:p w14:paraId="0C06DAA8">
                  <w:pPr>
                    <w:pStyle w:val="41"/>
                    <w:bidi w:val="0"/>
                    <w:jc w:val="center"/>
                    <w:rPr>
                      <w:rFonts w:hint="eastAsia"/>
                      <w:lang w:val="en-US" w:eastAsia="zh-CN"/>
                    </w:rPr>
                  </w:pPr>
                  <w:r>
                    <w:rPr>
                      <w:rFonts w:hint="eastAsia"/>
                      <w:lang w:val="en-US" w:eastAsia="zh-CN"/>
                    </w:rPr>
                    <w:t>+</w:t>
                  </w:r>
                  <w:r>
                    <w:rPr>
                      <w:rFonts w:hint="eastAsia"/>
                    </w:rPr>
                    <w:t>300</w:t>
                  </w:r>
                </w:p>
              </w:tc>
              <w:tc>
                <w:tcPr>
                  <w:tcW w:w="637" w:type="pct"/>
                  <w:vAlign w:val="center"/>
                </w:tcPr>
                <w:p w14:paraId="76A893EB">
                  <w:pPr>
                    <w:pStyle w:val="41"/>
                    <w:bidi w:val="0"/>
                    <w:jc w:val="center"/>
                    <w:rPr>
                      <w:rFonts w:hint="default"/>
                      <w:lang w:val="en-US" w:eastAsia="zh-CN"/>
                    </w:rPr>
                  </w:pPr>
                  <w:r>
                    <w:rPr>
                      <w:rFonts w:hint="eastAsia"/>
                      <w:lang w:val="en-US" w:eastAsia="zh-CN"/>
                    </w:rPr>
                    <w:t>2000</w:t>
                  </w:r>
                </w:p>
              </w:tc>
            </w:tr>
            <w:tr w14:paraId="41A94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pct"/>
                  <w:vMerge w:val="continue"/>
                  <w:vAlign w:val="center"/>
                </w:tcPr>
                <w:p w14:paraId="756D1CB3">
                  <w:pPr>
                    <w:pStyle w:val="41"/>
                    <w:bidi w:val="0"/>
                    <w:jc w:val="center"/>
                    <w:rPr>
                      <w:rFonts w:hint="eastAsia"/>
                      <w:lang w:val="en-US" w:eastAsia="zh-CN"/>
                    </w:rPr>
                  </w:pPr>
                </w:p>
              </w:tc>
              <w:tc>
                <w:tcPr>
                  <w:tcW w:w="1639" w:type="pct"/>
                  <w:shd w:val="clear" w:color="auto" w:fill="auto"/>
                  <w:vAlign w:val="center"/>
                </w:tcPr>
                <w:p w14:paraId="15CD7535">
                  <w:pPr>
                    <w:pStyle w:val="41"/>
                    <w:bidi w:val="0"/>
                    <w:jc w:val="center"/>
                    <w:rPr>
                      <w:rFonts w:hint="eastAsia"/>
                    </w:rPr>
                  </w:pPr>
                  <w:r>
                    <w:rPr>
                      <w:rFonts w:hint="eastAsia"/>
                    </w:rPr>
                    <w:t>止痒颗粒</w:t>
                  </w:r>
                </w:p>
              </w:tc>
              <w:tc>
                <w:tcPr>
                  <w:tcW w:w="545" w:type="pct"/>
                  <w:vAlign w:val="center"/>
                </w:tcPr>
                <w:p w14:paraId="28D1B5B1">
                  <w:pPr>
                    <w:pStyle w:val="41"/>
                    <w:bidi w:val="0"/>
                    <w:jc w:val="center"/>
                    <w:rPr>
                      <w:rFonts w:hint="eastAsia"/>
                      <w:lang w:val="en-US" w:eastAsia="zh-CN"/>
                    </w:rPr>
                  </w:pPr>
                  <w:r>
                    <w:rPr>
                      <w:rFonts w:hint="eastAsia"/>
                      <w:lang w:val="en-US" w:eastAsia="zh-CN"/>
                    </w:rPr>
                    <w:t>0</w:t>
                  </w:r>
                </w:p>
              </w:tc>
              <w:tc>
                <w:tcPr>
                  <w:tcW w:w="735" w:type="pct"/>
                  <w:vAlign w:val="center"/>
                </w:tcPr>
                <w:p w14:paraId="1A33BB0C">
                  <w:pPr>
                    <w:pStyle w:val="41"/>
                    <w:bidi w:val="0"/>
                    <w:jc w:val="center"/>
                    <w:rPr>
                      <w:rFonts w:hint="default"/>
                      <w:lang w:val="en-US" w:eastAsia="zh-CN"/>
                    </w:rPr>
                  </w:pPr>
                  <w:r>
                    <w:rPr>
                      <w:rFonts w:hint="eastAsia"/>
                      <w:lang w:val="en-US" w:eastAsia="zh-CN"/>
                    </w:rPr>
                    <w:t>440</w:t>
                  </w:r>
                </w:p>
              </w:tc>
              <w:tc>
                <w:tcPr>
                  <w:tcW w:w="696" w:type="pct"/>
                  <w:shd w:val="clear" w:color="auto" w:fill="auto"/>
                  <w:vAlign w:val="center"/>
                </w:tcPr>
                <w:p w14:paraId="421B40CE">
                  <w:pPr>
                    <w:pStyle w:val="41"/>
                    <w:bidi w:val="0"/>
                    <w:jc w:val="center"/>
                    <w:rPr>
                      <w:rFonts w:hint="eastAsia"/>
                      <w:lang w:val="en-US" w:eastAsia="zh-CN"/>
                    </w:rPr>
                  </w:pPr>
                  <w:r>
                    <w:rPr>
                      <w:rFonts w:hint="eastAsia"/>
                      <w:lang w:val="en-US" w:eastAsia="zh-CN"/>
                    </w:rPr>
                    <w:t>+</w:t>
                  </w:r>
                  <w:r>
                    <w:rPr>
                      <w:rFonts w:hint="eastAsia"/>
                    </w:rPr>
                    <w:t>440</w:t>
                  </w:r>
                </w:p>
              </w:tc>
              <w:tc>
                <w:tcPr>
                  <w:tcW w:w="637" w:type="pct"/>
                  <w:vAlign w:val="center"/>
                </w:tcPr>
                <w:p w14:paraId="4316E0FB">
                  <w:pPr>
                    <w:pStyle w:val="41"/>
                    <w:bidi w:val="0"/>
                    <w:jc w:val="center"/>
                    <w:rPr>
                      <w:rFonts w:hint="default"/>
                      <w:lang w:val="en-US" w:eastAsia="zh-CN"/>
                    </w:rPr>
                  </w:pPr>
                  <w:r>
                    <w:rPr>
                      <w:rFonts w:hint="eastAsia"/>
                      <w:lang w:val="en-US" w:eastAsia="zh-CN"/>
                    </w:rPr>
                    <w:t>2000</w:t>
                  </w:r>
                </w:p>
              </w:tc>
            </w:tr>
            <w:tr w14:paraId="560E2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Align w:val="center"/>
                </w:tcPr>
                <w:p w14:paraId="53CB2742">
                  <w:pPr>
                    <w:pStyle w:val="41"/>
                    <w:bidi w:val="0"/>
                    <w:jc w:val="center"/>
                    <w:rPr>
                      <w:rFonts w:hint="default"/>
                      <w:b/>
                      <w:bCs/>
                      <w:lang w:val="en-US" w:eastAsia="zh-CN"/>
                    </w:rPr>
                  </w:pPr>
                  <w:r>
                    <w:rPr>
                      <w:rFonts w:hint="eastAsia"/>
                      <w:b/>
                      <w:bCs/>
                      <w:lang w:val="en-US" w:eastAsia="zh-CN"/>
                    </w:rPr>
                    <w:t>合计</w:t>
                  </w:r>
                </w:p>
              </w:tc>
              <w:tc>
                <w:tcPr>
                  <w:tcW w:w="1639" w:type="pct"/>
                  <w:shd w:val="clear" w:color="auto" w:fill="auto"/>
                  <w:vAlign w:val="center"/>
                </w:tcPr>
                <w:p w14:paraId="047F5A99">
                  <w:pPr>
                    <w:pStyle w:val="41"/>
                    <w:bidi w:val="0"/>
                    <w:jc w:val="center"/>
                    <w:rPr>
                      <w:rFonts w:hint="eastAsia"/>
                      <w:b/>
                      <w:bCs/>
                      <w:lang w:val="en-US" w:eastAsia="zh-CN"/>
                    </w:rPr>
                  </w:pPr>
                  <w:r>
                    <w:rPr>
                      <w:rFonts w:hint="eastAsia"/>
                      <w:b/>
                      <w:bCs/>
                      <w:lang w:val="en-US" w:eastAsia="zh-CN"/>
                    </w:rPr>
                    <w:t>/</w:t>
                  </w:r>
                </w:p>
              </w:tc>
              <w:tc>
                <w:tcPr>
                  <w:tcW w:w="545" w:type="pct"/>
                  <w:vAlign w:val="center"/>
                </w:tcPr>
                <w:p w14:paraId="6DDFF7B0">
                  <w:pPr>
                    <w:pStyle w:val="41"/>
                    <w:bidi w:val="0"/>
                    <w:jc w:val="center"/>
                    <w:rPr>
                      <w:rFonts w:hint="default"/>
                      <w:b/>
                      <w:bCs/>
                      <w:lang w:val="en-US" w:eastAsia="zh-CN"/>
                    </w:rPr>
                  </w:pPr>
                  <w:r>
                    <w:rPr>
                      <w:rFonts w:hint="eastAsia"/>
                      <w:b/>
                      <w:bCs/>
                      <w:lang w:val="en-US" w:eastAsia="zh-CN"/>
                    </w:rPr>
                    <w:t>0</w:t>
                  </w:r>
                </w:p>
              </w:tc>
              <w:tc>
                <w:tcPr>
                  <w:tcW w:w="735" w:type="pct"/>
                  <w:vAlign w:val="center"/>
                </w:tcPr>
                <w:p w14:paraId="2A68605E">
                  <w:pPr>
                    <w:pStyle w:val="41"/>
                    <w:bidi w:val="0"/>
                    <w:jc w:val="center"/>
                    <w:rPr>
                      <w:rFonts w:hint="default"/>
                      <w:b/>
                      <w:bCs/>
                      <w:lang w:val="en-US" w:eastAsia="zh-CN"/>
                    </w:rPr>
                  </w:pPr>
                  <w:r>
                    <w:rPr>
                      <w:rFonts w:hint="eastAsia"/>
                      <w:b/>
                      <w:bCs/>
                      <w:lang w:val="en-US" w:eastAsia="zh-CN"/>
                    </w:rPr>
                    <w:t>4000</w:t>
                  </w:r>
                </w:p>
              </w:tc>
              <w:tc>
                <w:tcPr>
                  <w:tcW w:w="696" w:type="pct"/>
                  <w:shd w:val="clear" w:color="auto" w:fill="auto"/>
                  <w:vAlign w:val="center"/>
                </w:tcPr>
                <w:p w14:paraId="08E2D4E7">
                  <w:pPr>
                    <w:pStyle w:val="41"/>
                    <w:bidi w:val="0"/>
                    <w:jc w:val="center"/>
                    <w:rPr>
                      <w:rFonts w:hint="default"/>
                      <w:b/>
                      <w:bCs/>
                      <w:lang w:val="en-US" w:eastAsia="zh-CN"/>
                    </w:rPr>
                  </w:pPr>
                  <w:r>
                    <w:rPr>
                      <w:rFonts w:hint="eastAsia"/>
                      <w:b/>
                      <w:bCs/>
                      <w:lang w:val="en-US" w:eastAsia="zh-CN"/>
                    </w:rPr>
                    <w:t>+</w:t>
                  </w:r>
                  <w:r>
                    <w:rPr>
                      <w:rFonts w:hint="eastAsia"/>
                      <w:b/>
                      <w:bCs/>
                    </w:rPr>
                    <w:t>4000</w:t>
                  </w:r>
                </w:p>
              </w:tc>
              <w:tc>
                <w:tcPr>
                  <w:tcW w:w="637" w:type="pct"/>
                  <w:vAlign w:val="center"/>
                </w:tcPr>
                <w:p w14:paraId="54072526">
                  <w:pPr>
                    <w:pStyle w:val="41"/>
                    <w:bidi w:val="0"/>
                    <w:jc w:val="center"/>
                    <w:rPr>
                      <w:rFonts w:hint="default"/>
                      <w:b/>
                      <w:bCs/>
                      <w:lang w:val="en-US" w:eastAsia="zh-CN"/>
                    </w:rPr>
                  </w:pPr>
                  <w:r>
                    <w:rPr>
                      <w:rFonts w:hint="eastAsia"/>
                      <w:b/>
                      <w:bCs/>
                      <w:lang w:val="en-US" w:eastAsia="zh-CN"/>
                    </w:rPr>
                    <w:t>/</w:t>
                  </w:r>
                </w:p>
              </w:tc>
            </w:tr>
            <w:tr w14:paraId="27E57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restart"/>
                  <w:shd w:val="clear" w:color="auto" w:fill="auto"/>
                  <w:vAlign w:val="center"/>
                </w:tcPr>
                <w:p w14:paraId="0BC95753">
                  <w:pPr>
                    <w:pStyle w:val="41"/>
                    <w:bidi w:val="0"/>
                    <w:jc w:val="center"/>
                    <w:rPr>
                      <w:rFonts w:hint="eastAsia"/>
                      <w:lang w:val="en-US" w:eastAsia="zh-CN"/>
                    </w:rPr>
                  </w:pPr>
                  <w:r>
                    <w:rPr>
                      <w:rFonts w:hint="eastAsia"/>
                      <w:lang w:val="en-US" w:eastAsia="zh-CN"/>
                    </w:rPr>
                    <w:t>3号楼中药研发实验室</w:t>
                  </w:r>
                </w:p>
              </w:tc>
              <w:tc>
                <w:tcPr>
                  <w:tcW w:w="1639" w:type="pct"/>
                  <w:shd w:val="clear" w:color="auto" w:fill="auto"/>
                  <w:vAlign w:val="center"/>
                </w:tcPr>
                <w:p w14:paraId="17BF28D6">
                  <w:pPr>
                    <w:pStyle w:val="41"/>
                    <w:bidi w:val="0"/>
                    <w:jc w:val="center"/>
                    <w:rPr>
                      <w:rFonts w:hint="eastAsia"/>
                      <w:lang w:val="en-US" w:eastAsia="zh-CN"/>
                    </w:rPr>
                  </w:pPr>
                  <w:r>
                    <w:rPr>
                      <w:rFonts w:hint="eastAsia"/>
                      <w:lang w:val="zh-CN"/>
                    </w:rPr>
                    <w:t>中药活性筛选</w:t>
                  </w:r>
                  <w:r>
                    <w:rPr>
                      <w:rFonts w:hint="eastAsia"/>
                      <w:lang w:val="en-US" w:eastAsia="zh-CN"/>
                    </w:rPr>
                    <w:t>与早期评价</w:t>
                  </w:r>
                </w:p>
              </w:tc>
              <w:tc>
                <w:tcPr>
                  <w:tcW w:w="545" w:type="pct"/>
                  <w:shd w:val="clear" w:color="auto" w:fill="auto"/>
                  <w:vAlign w:val="center"/>
                </w:tcPr>
                <w:p w14:paraId="7EA760DB">
                  <w:pPr>
                    <w:pStyle w:val="41"/>
                    <w:bidi w:val="0"/>
                    <w:jc w:val="center"/>
                    <w:rPr>
                      <w:rFonts w:hint="eastAsia"/>
                      <w:lang w:val="en-US" w:eastAsia="zh-CN"/>
                    </w:rPr>
                  </w:pPr>
                  <w:r>
                    <w:t>120</w:t>
                  </w:r>
                </w:p>
              </w:tc>
              <w:tc>
                <w:tcPr>
                  <w:tcW w:w="735" w:type="pct"/>
                  <w:shd w:val="clear" w:color="auto" w:fill="auto"/>
                  <w:vAlign w:val="center"/>
                </w:tcPr>
                <w:p w14:paraId="42C018CA">
                  <w:pPr>
                    <w:pStyle w:val="41"/>
                    <w:bidi w:val="0"/>
                    <w:jc w:val="center"/>
                    <w:rPr>
                      <w:rFonts w:hint="default"/>
                      <w:lang w:val="en-US" w:eastAsia="zh-CN"/>
                    </w:rPr>
                  </w:pPr>
                  <w:r>
                    <w:rPr>
                      <w:rFonts w:hint="eastAsia"/>
                      <w:lang w:val="en-US" w:eastAsia="zh-CN"/>
                    </w:rPr>
                    <w:t>0</w:t>
                  </w:r>
                </w:p>
              </w:tc>
              <w:tc>
                <w:tcPr>
                  <w:tcW w:w="696" w:type="pct"/>
                  <w:shd w:val="clear" w:color="auto" w:fill="auto"/>
                  <w:vAlign w:val="center"/>
                </w:tcPr>
                <w:p w14:paraId="437F3CF9">
                  <w:pPr>
                    <w:pStyle w:val="41"/>
                    <w:bidi w:val="0"/>
                    <w:jc w:val="center"/>
                    <w:rPr>
                      <w:rFonts w:hint="eastAsia"/>
                      <w:lang w:val="en-US" w:eastAsia="zh-CN"/>
                    </w:rPr>
                  </w:pPr>
                  <w:r>
                    <w:rPr>
                      <w:rFonts w:hint="eastAsia"/>
                      <w:lang w:val="en-US" w:eastAsia="zh-CN"/>
                    </w:rPr>
                    <w:t>-</w:t>
                  </w:r>
                  <w:r>
                    <w:t>120</w:t>
                  </w:r>
                </w:p>
              </w:tc>
              <w:tc>
                <w:tcPr>
                  <w:tcW w:w="637" w:type="pct"/>
                  <w:shd w:val="clear" w:color="auto" w:fill="auto"/>
                  <w:vAlign w:val="center"/>
                </w:tcPr>
                <w:p w14:paraId="025C188E">
                  <w:pPr>
                    <w:pStyle w:val="41"/>
                    <w:bidi w:val="0"/>
                    <w:jc w:val="center"/>
                    <w:rPr>
                      <w:rFonts w:hint="eastAsia"/>
                      <w:lang w:val="en-US" w:eastAsia="zh-CN"/>
                    </w:rPr>
                  </w:pPr>
                  <w:r>
                    <w:t>1200</w:t>
                  </w:r>
                </w:p>
              </w:tc>
            </w:tr>
            <w:tr w14:paraId="6C513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77832206">
                  <w:pPr>
                    <w:pStyle w:val="41"/>
                    <w:bidi w:val="0"/>
                    <w:jc w:val="center"/>
                    <w:rPr>
                      <w:rFonts w:hint="eastAsia"/>
                      <w:lang w:val="en-US" w:eastAsia="zh-CN"/>
                    </w:rPr>
                  </w:pPr>
                </w:p>
              </w:tc>
              <w:tc>
                <w:tcPr>
                  <w:tcW w:w="1639" w:type="pct"/>
                  <w:shd w:val="clear" w:color="auto" w:fill="auto"/>
                  <w:vAlign w:val="center"/>
                </w:tcPr>
                <w:p w14:paraId="1291AF8D">
                  <w:pPr>
                    <w:pStyle w:val="41"/>
                    <w:bidi w:val="0"/>
                    <w:jc w:val="center"/>
                    <w:rPr>
                      <w:rFonts w:hint="eastAsia"/>
                      <w:lang w:val="en-US" w:eastAsia="zh-CN"/>
                    </w:rPr>
                  </w:pPr>
                  <w:r>
                    <w:rPr>
                      <w:rFonts w:hint="eastAsia"/>
                      <w:lang w:val="zh-CN"/>
                    </w:rPr>
                    <w:t>免疫组学</w:t>
                  </w:r>
                </w:p>
              </w:tc>
              <w:tc>
                <w:tcPr>
                  <w:tcW w:w="545" w:type="pct"/>
                  <w:shd w:val="clear" w:color="auto" w:fill="auto"/>
                  <w:vAlign w:val="center"/>
                </w:tcPr>
                <w:p w14:paraId="1A6F5D8E">
                  <w:pPr>
                    <w:pStyle w:val="41"/>
                    <w:bidi w:val="0"/>
                    <w:jc w:val="center"/>
                    <w:rPr>
                      <w:rFonts w:hint="eastAsia"/>
                      <w:lang w:val="en-US" w:eastAsia="zh-CN"/>
                    </w:rPr>
                  </w:pPr>
                  <w:r>
                    <w:rPr>
                      <w:rFonts w:hint="eastAsia"/>
                    </w:rPr>
                    <w:t>1</w:t>
                  </w:r>
                  <w:r>
                    <w:t>00</w:t>
                  </w:r>
                </w:p>
              </w:tc>
              <w:tc>
                <w:tcPr>
                  <w:tcW w:w="735" w:type="pct"/>
                  <w:shd w:val="clear" w:color="auto" w:fill="auto"/>
                  <w:vAlign w:val="center"/>
                </w:tcPr>
                <w:p w14:paraId="767DD44A">
                  <w:pPr>
                    <w:pStyle w:val="41"/>
                    <w:bidi w:val="0"/>
                    <w:jc w:val="center"/>
                    <w:rPr>
                      <w:rFonts w:hint="default"/>
                      <w:lang w:val="en-US" w:eastAsia="zh-CN"/>
                    </w:rPr>
                  </w:pPr>
                  <w:r>
                    <w:rPr>
                      <w:rFonts w:hint="eastAsia"/>
                      <w:lang w:val="en-US" w:eastAsia="zh-CN"/>
                    </w:rPr>
                    <w:t>0</w:t>
                  </w:r>
                </w:p>
              </w:tc>
              <w:tc>
                <w:tcPr>
                  <w:tcW w:w="696" w:type="pct"/>
                  <w:shd w:val="clear" w:color="auto" w:fill="auto"/>
                  <w:vAlign w:val="center"/>
                </w:tcPr>
                <w:p w14:paraId="192C6389">
                  <w:pPr>
                    <w:pStyle w:val="41"/>
                    <w:bidi w:val="0"/>
                    <w:jc w:val="center"/>
                    <w:rPr>
                      <w:rFonts w:hint="eastAsia"/>
                      <w:lang w:val="en-US" w:eastAsia="zh-CN"/>
                    </w:rPr>
                  </w:pPr>
                  <w:r>
                    <w:rPr>
                      <w:rFonts w:hint="eastAsia"/>
                      <w:lang w:val="en-US" w:eastAsia="zh-CN"/>
                    </w:rPr>
                    <w:t>-</w:t>
                  </w:r>
                  <w:r>
                    <w:rPr>
                      <w:rFonts w:hint="eastAsia"/>
                    </w:rPr>
                    <w:t>1</w:t>
                  </w:r>
                  <w:r>
                    <w:t>00</w:t>
                  </w:r>
                </w:p>
              </w:tc>
              <w:tc>
                <w:tcPr>
                  <w:tcW w:w="637" w:type="pct"/>
                  <w:shd w:val="clear" w:color="auto" w:fill="auto"/>
                  <w:vAlign w:val="center"/>
                </w:tcPr>
                <w:p w14:paraId="488DBCAF">
                  <w:pPr>
                    <w:pStyle w:val="41"/>
                    <w:bidi w:val="0"/>
                    <w:jc w:val="center"/>
                    <w:rPr>
                      <w:rFonts w:hint="eastAsia"/>
                      <w:lang w:val="en-US" w:eastAsia="zh-CN"/>
                    </w:rPr>
                  </w:pPr>
                  <w:r>
                    <w:rPr>
                      <w:rFonts w:hint="eastAsia"/>
                    </w:rPr>
                    <w:t>1</w:t>
                  </w:r>
                  <w:r>
                    <w:t>500</w:t>
                  </w:r>
                </w:p>
              </w:tc>
            </w:tr>
            <w:tr w14:paraId="3BA00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12DE8565">
                  <w:pPr>
                    <w:pStyle w:val="41"/>
                    <w:bidi w:val="0"/>
                    <w:jc w:val="center"/>
                    <w:rPr>
                      <w:rFonts w:hint="eastAsia"/>
                      <w:lang w:val="en-US" w:eastAsia="zh-CN"/>
                    </w:rPr>
                  </w:pPr>
                </w:p>
              </w:tc>
              <w:tc>
                <w:tcPr>
                  <w:tcW w:w="1639" w:type="pct"/>
                  <w:shd w:val="clear" w:color="auto" w:fill="auto"/>
                  <w:vAlign w:val="center"/>
                </w:tcPr>
                <w:p w14:paraId="7856BA9C">
                  <w:pPr>
                    <w:pStyle w:val="41"/>
                    <w:bidi w:val="0"/>
                    <w:jc w:val="center"/>
                    <w:rPr>
                      <w:rFonts w:hint="eastAsia"/>
                      <w:lang w:val="en-US" w:eastAsia="zh-CN"/>
                    </w:rPr>
                  </w:pPr>
                  <w:r>
                    <w:rPr>
                      <w:rFonts w:hint="eastAsia"/>
                      <w:lang w:val="zh-CN"/>
                    </w:rPr>
                    <w:t>代谢组学</w:t>
                  </w:r>
                </w:p>
              </w:tc>
              <w:tc>
                <w:tcPr>
                  <w:tcW w:w="545" w:type="pct"/>
                  <w:shd w:val="clear" w:color="auto" w:fill="auto"/>
                  <w:vAlign w:val="center"/>
                </w:tcPr>
                <w:p w14:paraId="2A9B63F8">
                  <w:pPr>
                    <w:pStyle w:val="41"/>
                    <w:bidi w:val="0"/>
                    <w:jc w:val="center"/>
                    <w:rPr>
                      <w:rFonts w:hint="eastAsia"/>
                      <w:lang w:val="en-US" w:eastAsia="zh-CN"/>
                    </w:rPr>
                  </w:pPr>
                  <w:r>
                    <w:t>100</w:t>
                  </w:r>
                </w:p>
              </w:tc>
              <w:tc>
                <w:tcPr>
                  <w:tcW w:w="735" w:type="pct"/>
                  <w:shd w:val="clear" w:color="auto" w:fill="auto"/>
                  <w:vAlign w:val="center"/>
                </w:tcPr>
                <w:p w14:paraId="74E558CA">
                  <w:pPr>
                    <w:pStyle w:val="41"/>
                    <w:bidi w:val="0"/>
                    <w:jc w:val="center"/>
                    <w:rPr>
                      <w:rFonts w:hint="default"/>
                      <w:lang w:val="en-US" w:eastAsia="zh-CN"/>
                    </w:rPr>
                  </w:pPr>
                  <w:r>
                    <w:rPr>
                      <w:rFonts w:hint="eastAsia"/>
                      <w:lang w:val="en-US" w:eastAsia="zh-CN"/>
                    </w:rPr>
                    <w:t>0</w:t>
                  </w:r>
                </w:p>
              </w:tc>
              <w:tc>
                <w:tcPr>
                  <w:tcW w:w="696" w:type="pct"/>
                  <w:shd w:val="clear" w:color="auto" w:fill="auto"/>
                  <w:vAlign w:val="center"/>
                </w:tcPr>
                <w:p w14:paraId="3D5A154B">
                  <w:pPr>
                    <w:pStyle w:val="41"/>
                    <w:bidi w:val="0"/>
                    <w:jc w:val="center"/>
                    <w:rPr>
                      <w:rFonts w:hint="eastAsia"/>
                      <w:lang w:val="en-US" w:eastAsia="zh-CN"/>
                    </w:rPr>
                  </w:pPr>
                  <w:r>
                    <w:rPr>
                      <w:rFonts w:hint="eastAsia"/>
                      <w:lang w:val="en-US" w:eastAsia="zh-CN"/>
                    </w:rPr>
                    <w:t>-</w:t>
                  </w:r>
                  <w:r>
                    <w:t>100</w:t>
                  </w:r>
                </w:p>
              </w:tc>
              <w:tc>
                <w:tcPr>
                  <w:tcW w:w="637" w:type="pct"/>
                  <w:shd w:val="clear" w:color="auto" w:fill="auto"/>
                  <w:vAlign w:val="center"/>
                </w:tcPr>
                <w:p w14:paraId="4AC8EA1B">
                  <w:pPr>
                    <w:pStyle w:val="41"/>
                    <w:bidi w:val="0"/>
                    <w:jc w:val="center"/>
                    <w:rPr>
                      <w:rFonts w:hint="eastAsia"/>
                      <w:lang w:val="en-US" w:eastAsia="zh-CN"/>
                    </w:rPr>
                  </w:pPr>
                  <w:r>
                    <w:rPr>
                      <w:rFonts w:hint="eastAsia"/>
                      <w:lang w:val="en-US" w:eastAsia="zh-CN"/>
                    </w:rPr>
                    <w:t>2000</w:t>
                  </w:r>
                </w:p>
              </w:tc>
            </w:tr>
            <w:tr w14:paraId="1CB33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391068C1">
                  <w:pPr>
                    <w:pStyle w:val="41"/>
                    <w:bidi w:val="0"/>
                    <w:jc w:val="center"/>
                    <w:rPr>
                      <w:rFonts w:hint="eastAsia"/>
                      <w:lang w:val="en-US" w:eastAsia="zh-CN"/>
                    </w:rPr>
                  </w:pPr>
                </w:p>
              </w:tc>
              <w:tc>
                <w:tcPr>
                  <w:tcW w:w="1639" w:type="pct"/>
                  <w:shd w:val="clear" w:color="auto" w:fill="auto"/>
                  <w:vAlign w:val="center"/>
                </w:tcPr>
                <w:p w14:paraId="5295EC05">
                  <w:pPr>
                    <w:pStyle w:val="41"/>
                    <w:bidi w:val="0"/>
                    <w:jc w:val="center"/>
                    <w:rPr>
                      <w:rFonts w:hint="eastAsia"/>
                      <w:lang w:val="en-US" w:eastAsia="zh-CN"/>
                    </w:rPr>
                  </w:pPr>
                  <w:r>
                    <w:rPr>
                      <w:rFonts w:hint="eastAsia"/>
                      <w:lang w:val="zh-CN"/>
                    </w:rPr>
                    <w:t>肠道微生物组学</w:t>
                  </w:r>
                </w:p>
              </w:tc>
              <w:tc>
                <w:tcPr>
                  <w:tcW w:w="545" w:type="pct"/>
                  <w:shd w:val="clear" w:color="auto" w:fill="auto"/>
                  <w:vAlign w:val="center"/>
                </w:tcPr>
                <w:p w14:paraId="6574D560">
                  <w:pPr>
                    <w:pStyle w:val="41"/>
                    <w:bidi w:val="0"/>
                    <w:jc w:val="center"/>
                    <w:rPr>
                      <w:rFonts w:hint="eastAsia"/>
                      <w:lang w:val="en-US" w:eastAsia="zh-CN"/>
                    </w:rPr>
                  </w:pPr>
                  <w:r>
                    <w:t>80</w:t>
                  </w:r>
                </w:p>
              </w:tc>
              <w:tc>
                <w:tcPr>
                  <w:tcW w:w="735" w:type="pct"/>
                  <w:shd w:val="clear" w:color="auto" w:fill="auto"/>
                  <w:vAlign w:val="center"/>
                </w:tcPr>
                <w:p w14:paraId="3A0947D6">
                  <w:pPr>
                    <w:pStyle w:val="41"/>
                    <w:bidi w:val="0"/>
                    <w:jc w:val="center"/>
                    <w:rPr>
                      <w:rFonts w:hint="default"/>
                      <w:lang w:val="en-US" w:eastAsia="zh-CN"/>
                    </w:rPr>
                  </w:pPr>
                  <w:r>
                    <w:rPr>
                      <w:rFonts w:hint="eastAsia"/>
                      <w:lang w:val="en-US" w:eastAsia="zh-CN"/>
                    </w:rPr>
                    <w:t>0</w:t>
                  </w:r>
                </w:p>
              </w:tc>
              <w:tc>
                <w:tcPr>
                  <w:tcW w:w="696" w:type="pct"/>
                  <w:shd w:val="clear" w:color="auto" w:fill="auto"/>
                  <w:vAlign w:val="center"/>
                </w:tcPr>
                <w:p w14:paraId="38A05AA3">
                  <w:pPr>
                    <w:pStyle w:val="41"/>
                    <w:bidi w:val="0"/>
                    <w:jc w:val="center"/>
                    <w:rPr>
                      <w:rFonts w:hint="eastAsia"/>
                      <w:lang w:val="en-US" w:eastAsia="zh-CN"/>
                    </w:rPr>
                  </w:pPr>
                  <w:r>
                    <w:rPr>
                      <w:rFonts w:hint="eastAsia"/>
                      <w:lang w:val="en-US" w:eastAsia="zh-CN"/>
                    </w:rPr>
                    <w:t>-</w:t>
                  </w:r>
                  <w:r>
                    <w:t>80</w:t>
                  </w:r>
                </w:p>
              </w:tc>
              <w:tc>
                <w:tcPr>
                  <w:tcW w:w="637" w:type="pct"/>
                  <w:shd w:val="clear" w:color="auto" w:fill="auto"/>
                  <w:vAlign w:val="center"/>
                </w:tcPr>
                <w:p w14:paraId="6A3707B3">
                  <w:pPr>
                    <w:pStyle w:val="41"/>
                    <w:bidi w:val="0"/>
                    <w:jc w:val="center"/>
                    <w:rPr>
                      <w:rFonts w:hint="eastAsia"/>
                      <w:lang w:val="en-US" w:eastAsia="zh-CN"/>
                    </w:rPr>
                  </w:pPr>
                  <w:r>
                    <w:rPr>
                      <w:rFonts w:hint="eastAsia"/>
                    </w:rPr>
                    <w:t>2</w:t>
                  </w:r>
                  <w:r>
                    <w:t>000</w:t>
                  </w:r>
                </w:p>
              </w:tc>
            </w:tr>
            <w:tr w14:paraId="79260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48AA562C">
                  <w:pPr>
                    <w:pStyle w:val="41"/>
                    <w:bidi w:val="0"/>
                    <w:jc w:val="center"/>
                    <w:rPr>
                      <w:rFonts w:hint="eastAsia"/>
                      <w:lang w:val="en-US" w:eastAsia="zh-CN"/>
                    </w:rPr>
                  </w:pPr>
                </w:p>
              </w:tc>
              <w:tc>
                <w:tcPr>
                  <w:tcW w:w="1639" w:type="pct"/>
                  <w:shd w:val="clear" w:color="auto" w:fill="auto"/>
                  <w:vAlign w:val="center"/>
                </w:tcPr>
                <w:p w14:paraId="7344E560">
                  <w:pPr>
                    <w:pStyle w:val="41"/>
                    <w:bidi w:val="0"/>
                    <w:jc w:val="center"/>
                    <w:rPr>
                      <w:rFonts w:hint="eastAsia"/>
                      <w:lang w:val="en-US" w:eastAsia="zh-CN"/>
                    </w:rPr>
                  </w:pPr>
                  <w:r>
                    <w:rPr>
                      <w:rFonts w:hint="eastAsia"/>
                      <w:lang w:val="zh-CN"/>
                    </w:rPr>
                    <w:t>结构生物学</w:t>
                  </w:r>
                </w:p>
              </w:tc>
              <w:tc>
                <w:tcPr>
                  <w:tcW w:w="545" w:type="pct"/>
                  <w:shd w:val="clear" w:color="auto" w:fill="auto"/>
                  <w:vAlign w:val="center"/>
                </w:tcPr>
                <w:p w14:paraId="69B09A1D">
                  <w:pPr>
                    <w:pStyle w:val="41"/>
                    <w:bidi w:val="0"/>
                    <w:jc w:val="center"/>
                    <w:rPr>
                      <w:rFonts w:hint="eastAsia"/>
                      <w:lang w:val="en-US" w:eastAsia="zh-CN"/>
                    </w:rPr>
                  </w:pPr>
                  <w:r>
                    <w:t>40</w:t>
                  </w:r>
                </w:p>
              </w:tc>
              <w:tc>
                <w:tcPr>
                  <w:tcW w:w="735" w:type="pct"/>
                  <w:shd w:val="clear" w:color="auto" w:fill="auto"/>
                  <w:vAlign w:val="center"/>
                </w:tcPr>
                <w:p w14:paraId="534AACC8">
                  <w:pPr>
                    <w:pStyle w:val="41"/>
                    <w:bidi w:val="0"/>
                    <w:jc w:val="center"/>
                    <w:rPr>
                      <w:rFonts w:hint="default"/>
                      <w:lang w:val="en-US" w:eastAsia="zh-CN"/>
                    </w:rPr>
                  </w:pPr>
                  <w:r>
                    <w:rPr>
                      <w:rFonts w:hint="eastAsia"/>
                      <w:lang w:val="en-US" w:eastAsia="zh-CN"/>
                    </w:rPr>
                    <w:t>0</w:t>
                  </w:r>
                </w:p>
              </w:tc>
              <w:tc>
                <w:tcPr>
                  <w:tcW w:w="696" w:type="pct"/>
                  <w:shd w:val="clear" w:color="auto" w:fill="auto"/>
                  <w:vAlign w:val="center"/>
                </w:tcPr>
                <w:p w14:paraId="1CE9479E">
                  <w:pPr>
                    <w:pStyle w:val="41"/>
                    <w:bidi w:val="0"/>
                    <w:jc w:val="center"/>
                    <w:rPr>
                      <w:rFonts w:hint="eastAsia"/>
                      <w:lang w:val="en-US" w:eastAsia="zh-CN"/>
                    </w:rPr>
                  </w:pPr>
                  <w:r>
                    <w:rPr>
                      <w:rFonts w:hint="eastAsia"/>
                      <w:lang w:val="en-US" w:eastAsia="zh-CN"/>
                    </w:rPr>
                    <w:t>-</w:t>
                  </w:r>
                  <w:r>
                    <w:t>40</w:t>
                  </w:r>
                </w:p>
              </w:tc>
              <w:tc>
                <w:tcPr>
                  <w:tcW w:w="637" w:type="pct"/>
                  <w:shd w:val="clear" w:color="auto" w:fill="auto"/>
                  <w:vAlign w:val="center"/>
                </w:tcPr>
                <w:p w14:paraId="6E6AE4F5">
                  <w:pPr>
                    <w:pStyle w:val="41"/>
                    <w:bidi w:val="0"/>
                    <w:jc w:val="center"/>
                    <w:rPr>
                      <w:rFonts w:hint="eastAsia"/>
                      <w:lang w:val="en-US" w:eastAsia="zh-CN"/>
                    </w:rPr>
                  </w:pPr>
                  <w:r>
                    <w:t>1000</w:t>
                  </w:r>
                </w:p>
              </w:tc>
            </w:tr>
            <w:tr w14:paraId="17A64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01872D22">
                  <w:pPr>
                    <w:pStyle w:val="41"/>
                    <w:bidi w:val="0"/>
                    <w:jc w:val="center"/>
                    <w:rPr>
                      <w:rFonts w:hint="eastAsia"/>
                      <w:lang w:val="en-US" w:eastAsia="zh-CN"/>
                    </w:rPr>
                  </w:pPr>
                </w:p>
              </w:tc>
              <w:tc>
                <w:tcPr>
                  <w:tcW w:w="1639" w:type="pct"/>
                  <w:shd w:val="clear" w:color="auto" w:fill="auto"/>
                  <w:vAlign w:val="center"/>
                </w:tcPr>
                <w:p w14:paraId="70FA517B">
                  <w:pPr>
                    <w:pStyle w:val="41"/>
                    <w:bidi w:val="0"/>
                    <w:jc w:val="center"/>
                    <w:rPr>
                      <w:rFonts w:hint="eastAsia"/>
                      <w:lang w:val="en-US" w:eastAsia="zh-CN"/>
                    </w:rPr>
                  </w:pPr>
                  <w:r>
                    <w:rPr>
                      <w:rFonts w:hint="eastAsia"/>
                      <w:lang w:val="zh-CN"/>
                    </w:rPr>
                    <w:t>基因组学</w:t>
                  </w:r>
                </w:p>
              </w:tc>
              <w:tc>
                <w:tcPr>
                  <w:tcW w:w="545" w:type="pct"/>
                  <w:shd w:val="clear" w:color="auto" w:fill="auto"/>
                  <w:vAlign w:val="center"/>
                </w:tcPr>
                <w:p w14:paraId="3F0D0263">
                  <w:pPr>
                    <w:pStyle w:val="41"/>
                    <w:bidi w:val="0"/>
                    <w:jc w:val="center"/>
                    <w:rPr>
                      <w:rFonts w:hint="eastAsia"/>
                      <w:lang w:val="en-US" w:eastAsia="zh-CN"/>
                    </w:rPr>
                  </w:pPr>
                  <w:r>
                    <w:t>50</w:t>
                  </w:r>
                </w:p>
              </w:tc>
              <w:tc>
                <w:tcPr>
                  <w:tcW w:w="735" w:type="pct"/>
                  <w:shd w:val="clear" w:color="auto" w:fill="auto"/>
                  <w:vAlign w:val="center"/>
                </w:tcPr>
                <w:p w14:paraId="70D81B8E">
                  <w:pPr>
                    <w:pStyle w:val="41"/>
                    <w:bidi w:val="0"/>
                    <w:jc w:val="center"/>
                    <w:rPr>
                      <w:rFonts w:hint="default"/>
                      <w:lang w:val="en-US" w:eastAsia="zh-CN"/>
                    </w:rPr>
                  </w:pPr>
                  <w:r>
                    <w:rPr>
                      <w:rFonts w:hint="eastAsia"/>
                      <w:lang w:val="en-US" w:eastAsia="zh-CN"/>
                    </w:rPr>
                    <w:t>0</w:t>
                  </w:r>
                </w:p>
              </w:tc>
              <w:tc>
                <w:tcPr>
                  <w:tcW w:w="696" w:type="pct"/>
                  <w:shd w:val="clear" w:color="auto" w:fill="auto"/>
                  <w:vAlign w:val="center"/>
                </w:tcPr>
                <w:p w14:paraId="24DA2C98">
                  <w:pPr>
                    <w:pStyle w:val="41"/>
                    <w:bidi w:val="0"/>
                    <w:jc w:val="center"/>
                    <w:rPr>
                      <w:rFonts w:hint="eastAsia"/>
                      <w:lang w:val="en-US" w:eastAsia="zh-CN"/>
                    </w:rPr>
                  </w:pPr>
                  <w:r>
                    <w:rPr>
                      <w:rFonts w:hint="eastAsia"/>
                      <w:lang w:val="en-US" w:eastAsia="zh-CN"/>
                    </w:rPr>
                    <w:t>-</w:t>
                  </w:r>
                  <w:r>
                    <w:t>50</w:t>
                  </w:r>
                </w:p>
              </w:tc>
              <w:tc>
                <w:tcPr>
                  <w:tcW w:w="637" w:type="pct"/>
                  <w:shd w:val="clear" w:color="auto" w:fill="auto"/>
                  <w:vAlign w:val="center"/>
                </w:tcPr>
                <w:p w14:paraId="372452D0">
                  <w:pPr>
                    <w:pStyle w:val="41"/>
                    <w:bidi w:val="0"/>
                    <w:jc w:val="center"/>
                    <w:rPr>
                      <w:rFonts w:hint="eastAsia"/>
                      <w:lang w:val="en-US" w:eastAsia="zh-CN"/>
                    </w:rPr>
                  </w:pPr>
                  <w:r>
                    <w:t>2000</w:t>
                  </w:r>
                </w:p>
              </w:tc>
            </w:tr>
            <w:tr w14:paraId="1897B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13A8B644">
                  <w:pPr>
                    <w:pStyle w:val="41"/>
                    <w:bidi w:val="0"/>
                    <w:jc w:val="center"/>
                    <w:rPr>
                      <w:rFonts w:hint="eastAsia"/>
                      <w:lang w:val="en-US" w:eastAsia="zh-CN"/>
                    </w:rPr>
                  </w:pPr>
                </w:p>
              </w:tc>
              <w:tc>
                <w:tcPr>
                  <w:tcW w:w="1639" w:type="pct"/>
                  <w:shd w:val="clear" w:color="auto" w:fill="auto"/>
                  <w:vAlign w:val="center"/>
                </w:tcPr>
                <w:p w14:paraId="0434760B">
                  <w:pPr>
                    <w:pStyle w:val="41"/>
                    <w:bidi w:val="0"/>
                    <w:jc w:val="center"/>
                    <w:rPr>
                      <w:rFonts w:hint="eastAsia"/>
                      <w:lang w:val="en-US" w:eastAsia="zh-CN"/>
                    </w:rPr>
                  </w:pPr>
                  <w:r>
                    <w:rPr>
                      <w:rFonts w:hint="eastAsia"/>
                      <w:lang w:val="zh-CN"/>
                    </w:rPr>
                    <w:t>生物信息学</w:t>
                  </w:r>
                </w:p>
              </w:tc>
              <w:tc>
                <w:tcPr>
                  <w:tcW w:w="545" w:type="pct"/>
                  <w:shd w:val="clear" w:color="auto" w:fill="auto"/>
                  <w:vAlign w:val="center"/>
                </w:tcPr>
                <w:p w14:paraId="6595B173">
                  <w:pPr>
                    <w:pStyle w:val="41"/>
                    <w:bidi w:val="0"/>
                    <w:jc w:val="center"/>
                    <w:rPr>
                      <w:rFonts w:hint="eastAsia"/>
                      <w:lang w:val="en-US" w:eastAsia="zh-CN"/>
                    </w:rPr>
                  </w:pPr>
                  <w:r>
                    <w:t>70</w:t>
                  </w:r>
                </w:p>
              </w:tc>
              <w:tc>
                <w:tcPr>
                  <w:tcW w:w="735" w:type="pct"/>
                  <w:shd w:val="clear" w:color="auto" w:fill="auto"/>
                  <w:vAlign w:val="center"/>
                </w:tcPr>
                <w:p w14:paraId="0713D4B1">
                  <w:pPr>
                    <w:pStyle w:val="41"/>
                    <w:bidi w:val="0"/>
                    <w:jc w:val="center"/>
                    <w:rPr>
                      <w:rFonts w:hint="default"/>
                      <w:lang w:val="en-US" w:eastAsia="zh-CN"/>
                    </w:rPr>
                  </w:pPr>
                  <w:r>
                    <w:rPr>
                      <w:rFonts w:hint="eastAsia"/>
                      <w:lang w:val="en-US" w:eastAsia="zh-CN"/>
                    </w:rPr>
                    <w:t>0</w:t>
                  </w:r>
                </w:p>
              </w:tc>
              <w:tc>
                <w:tcPr>
                  <w:tcW w:w="696" w:type="pct"/>
                  <w:shd w:val="clear" w:color="auto" w:fill="auto"/>
                  <w:vAlign w:val="center"/>
                </w:tcPr>
                <w:p w14:paraId="37FF7F50">
                  <w:pPr>
                    <w:pStyle w:val="41"/>
                    <w:bidi w:val="0"/>
                    <w:jc w:val="center"/>
                    <w:rPr>
                      <w:rFonts w:hint="eastAsia"/>
                      <w:lang w:val="en-US" w:eastAsia="zh-CN"/>
                    </w:rPr>
                  </w:pPr>
                  <w:r>
                    <w:rPr>
                      <w:rFonts w:hint="eastAsia"/>
                      <w:lang w:val="en-US" w:eastAsia="zh-CN"/>
                    </w:rPr>
                    <w:t>-</w:t>
                  </w:r>
                  <w:r>
                    <w:t>70</w:t>
                  </w:r>
                </w:p>
              </w:tc>
              <w:tc>
                <w:tcPr>
                  <w:tcW w:w="637" w:type="pct"/>
                  <w:shd w:val="clear" w:color="auto" w:fill="auto"/>
                  <w:vAlign w:val="center"/>
                </w:tcPr>
                <w:p w14:paraId="774DE064">
                  <w:pPr>
                    <w:pStyle w:val="41"/>
                    <w:bidi w:val="0"/>
                    <w:jc w:val="center"/>
                    <w:rPr>
                      <w:rFonts w:hint="eastAsia"/>
                      <w:lang w:val="en-US" w:eastAsia="zh-CN"/>
                    </w:rPr>
                  </w:pPr>
                  <w:r>
                    <w:rPr>
                      <w:rFonts w:hint="eastAsia"/>
                      <w:lang w:val="en-US" w:eastAsia="zh-CN"/>
                    </w:rPr>
                    <w:t>2000</w:t>
                  </w:r>
                </w:p>
              </w:tc>
            </w:tr>
            <w:tr w14:paraId="1B85D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shd w:val="clear" w:color="auto" w:fill="auto"/>
                  <w:vAlign w:val="center"/>
                </w:tcPr>
                <w:p w14:paraId="1FF4AA2B">
                  <w:pPr>
                    <w:pStyle w:val="41"/>
                    <w:bidi w:val="0"/>
                    <w:jc w:val="center"/>
                    <w:rPr>
                      <w:rFonts w:hint="eastAsia"/>
                      <w:b/>
                      <w:bCs/>
                      <w:lang w:val="en-US" w:eastAsia="zh-CN"/>
                    </w:rPr>
                  </w:pPr>
                  <w:r>
                    <w:rPr>
                      <w:rFonts w:hint="eastAsia"/>
                      <w:b/>
                      <w:bCs/>
                      <w:lang w:val="en-US" w:eastAsia="zh-CN"/>
                    </w:rPr>
                    <w:t>合计</w:t>
                  </w:r>
                </w:p>
              </w:tc>
              <w:tc>
                <w:tcPr>
                  <w:tcW w:w="1639" w:type="pct"/>
                  <w:shd w:val="clear" w:color="auto" w:fill="auto"/>
                  <w:vAlign w:val="center"/>
                </w:tcPr>
                <w:p w14:paraId="5EAD66ED">
                  <w:pPr>
                    <w:pStyle w:val="41"/>
                    <w:bidi w:val="0"/>
                    <w:jc w:val="center"/>
                    <w:rPr>
                      <w:rFonts w:hint="default"/>
                      <w:b/>
                      <w:bCs/>
                      <w:lang w:val="en-US" w:eastAsia="zh-CN"/>
                    </w:rPr>
                  </w:pPr>
                  <w:r>
                    <w:rPr>
                      <w:rFonts w:hint="eastAsia"/>
                      <w:b/>
                      <w:bCs/>
                      <w:lang w:val="en-US" w:eastAsia="zh-CN"/>
                    </w:rPr>
                    <w:t>/</w:t>
                  </w:r>
                </w:p>
              </w:tc>
              <w:tc>
                <w:tcPr>
                  <w:tcW w:w="545" w:type="pct"/>
                  <w:shd w:val="clear" w:color="auto" w:fill="auto"/>
                  <w:vAlign w:val="center"/>
                </w:tcPr>
                <w:p w14:paraId="389F576B">
                  <w:pPr>
                    <w:pStyle w:val="41"/>
                    <w:bidi w:val="0"/>
                    <w:jc w:val="center"/>
                    <w:rPr>
                      <w:rFonts w:hint="eastAsia"/>
                      <w:b/>
                      <w:bCs/>
                      <w:lang w:val="en-US" w:eastAsia="zh-CN"/>
                    </w:rPr>
                  </w:pPr>
                  <w:r>
                    <w:rPr>
                      <w:rFonts w:hint="eastAsia"/>
                      <w:b/>
                      <w:bCs/>
                      <w:lang w:val="en-US" w:eastAsia="zh-CN"/>
                    </w:rPr>
                    <w:t>560</w:t>
                  </w:r>
                </w:p>
              </w:tc>
              <w:tc>
                <w:tcPr>
                  <w:tcW w:w="735" w:type="pct"/>
                  <w:shd w:val="clear" w:color="auto" w:fill="auto"/>
                  <w:vAlign w:val="center"/>
                </w:tcPr>
                <w:p w14:paraId="301B3CD8">
                  <w:pPr>
                    <w:pStyle w:val="41"/>
                    <w:bidi w:val="0"/>
                    <w:jc w:val="center"/>
                    <w:rPr>
                      <w:rFonts w:hint="default"/>
                      <w:b/>
                      <w:bCs/>
                      <w:lang w:val="en-US" w:eastAsia="zh-CN"/>
                    </w:rPr>
                  </w:pPr>
                  <w:r>
                    <w:rPr>
                      <w:rFonts w:hint="eastAsia"/>
                      <w:b/>
                      <w:bCs/>
                      <w:lang w:val="en-US" w:eastAsia="zh-CN"/>
                    </w:rPr>
                    <w:t>0</w:t>
                  </w:r>
                </w:p>
              </w:tc>
              <w:tc>
                <w:tcPr>
                  <w:tcW w:w="696" w:type="pct"/>
                  <w:shd w:val="clear" w:color="auto" w:fill="auto"/>
                  <w:vAlign w:val="center"/>
                </w:tcPr>
                <w:p w14:paraId="6D587B80">
                  <w:pPr>
                    <w:pStyle w:val="41"/>
                    <w:bidi w:val="0"/>
                    <w:jc w:val="center"/>
                    <w:rPr>
                      <w:rFonts w:hint="default"/>
                      <w:b/>
                      <w:bCs/>
                      <w:lang w:val="en-US" w:eastAsia="zh-CN"/>
                    </w:rPr>
                  </w:pPr>
                  <w:r>
                    <w:rPr>
                      <w:rFonts w:hint="eastAsia"/>
                      <w:b/>
                      <w:bCs/>
                      <w:lang w:val="en-US" w:eastAsia="zh-CN"/>
                    </w:rPr>
                    <w:t>-560</w:t>
                  </w:r>
                </w:p>
              </w:tc>
              <w:tc>
                <w:tcPr>
                  <w:tcW w:w="637" w:type="pct"/>
                  <w:shd w:val="clear" w:color="auto" w:fill="auto"/>
                  <w:vAlign w:val="center"/>
                </w:tcPr>
                <w:p w14:paraId="1906A405">
                  <w:pPr>
                    <w:pStyle w:val="41"/>
                    <w:bidi w:val="0"/>
                    <w:jc w:val="center"/>
                    <w:rPr>
                      <w:rFonts w:hint="default"/>
                      <w:b/>
                      <w:bCs/>
                      <w:lang w:val="en-US" w:eastAsia="zh-CN"/>
                    </w:rPr>
                  </w:pPr>
                  <w:r>
                    <w:rPr>
                      <w:rFonts w:hint="eastAsia"/>
                      <w:b/>
                      <w:bCs/>
                      <w:lang w:val="en-US" w:eastAsia="zh-CN"/>
                    </w:rPr>
                    <w:t>/</w:t>
                  </w:r>
                </w:p>
              </w:tc>
            </w:tr>
            <w:tr w14:paraId="405C4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restart"/>
                  <w:shd w:val="clear" w:color="auto" w:fill="auto"/>
                  <w:vAlign w:val="center"/>
                </w:tcPr>
                <w:p w14:paraId="11BE7351">
                  <w:pPr>
                    <w:pStyle w:val="41"/>
                    <w:bidi w:val="0"/>
                    <w:jc w:val="center"/>
                    <w:rPr>
                      <w:rFonts w:hint="eastAsia"/>
                      <w:lang w:val="en-US" w:eastAsia="zh-CN"/>
                    </w:rPr>
                  </w:pPr>
                  <w:r>
                    <w:rPr>
                      <w:rFonts w:hint="eastAsia"/>
                      <w:lang w:val="en-US" w:eastAsia="zh-CN"/>
                    </w:rPr>
                    <w:t>5号楼中药研发实验室</w:t>
                  </w:r>
                </w:p>
              </w:tc>
              <w:tc>
                <w:tcPr>
                  <w:tcW w:w="1639" w:type="pct"/>
                  <w:shd w:val="clear" w:color="auto" w:fill="auto"/>
                  <w:vAlign w:val="center"/>
                </w:tcPr>
                <w:p w14:paraId="371C92EC">
                  <w:pPr>
                    <w:pStyle w:val="41"/>
                    <w:bidi w:val="0"/>
                    <w:jc w:val="center"/>
                    <w:rPr>
                      <w:rFonts w:hint="eastAsia"/>
                      <w:lang w:val="zh-CN" w:eastAsia="zh-CN"/>
                    </w:rPr>
                  </w:pPr>
                  <w:r>
                    <w:t>短小蛇根草苷</w:t>
                  </w:r>
                </w:p>
              </w:tc>
              <w:tc>
                <w:tcPr>
                  <w:tcW w:w="545" w:type="pct"/>
                  <w:shd w:val="clear" w:color="auto" w:fill="auto"/>
                  <w:vAlign w:val="center"/>
                </w:tcPr>
                <w:p w14:paraId="06E387BD">
                  <w:pPr>
                    <w:pStyle w:val="41"/>
                    <w:bidi w:val="0"/>
                    <w:jc w:val="center"/>
                    <w:rPr>
                      <w:rFonts w:hint="eastAsia"/>
                      <w:lang w:val="en-US" w:eastAsia="zh-CN"/>
                    </w:rPr>
                  </w:pPr>
                  <w:r>
                    <w:rPr>
                      <w:rFonts w:hint="eastAsia"/>
                      <w:lang w:val="en-US" w:eastAsia="zh-CN"/>
                    </w:rPr>
                    <w:t>200</w:t>
                  </w:r>
                </w:p>
              </w:tc>
              <w:tc>
                <w:tcPr>
                  <w:tcW w:w="735" w:type="pct"/>
                  <w:shd w:val="clear" w:color="auto" w:fill="auto"/>
                  <w:vAlign w:val="center"/>
                </w:tcPr>
                <w:p w14:paraId="696DE5D3">
                  <w:pPr>
                    <w:pStyle w:val="41"/>
                    <w:bidi w:val="0"/>
                    <w:jc w:val="center"/>
                    <w:rPr>
                      <w:rFonts w:hint="default"/>
                      <w:lang w:val="en-US" w:eastAsia="zh-CN"/>
                    </w:rPr>
                  </w:pPr>
                  <w:r>
                    <w:rPr>
                      <w:rFonts w:hint="eastAsia"/>
                      <w:lang w:val="en-US" w:eastAsia="zh-CN"/>
                    </w:rPr>
                    <w:t>0</w:t>
                  </w:r>
                </w:p>
              </w:tc>
              <w:tc>
                <w:tcPr>
                  <w:tcW w:w="696" w:type="pct"/>
                  <w:shd w:val="clear" w:color="auto" w:fill="auto"/>
                  <w:vAlign w:val="center"/>
                </w:tcPr>
                <w:p w14:paraId="2FF4CDAE">
                  <w:pPr>
                    <w:pStyle w:val="41"/>
                    <w:bidi w:val="0"/>
                    <w:jc w:val="center"/>
                    <w:rPr>
                      <w:rFonts w:hint="default"/>
                      <w:lang w:val="en-US" w:eastAsia="zh-CN"/>
                    </w:rPr>
                  </w:pPr>
                  <w:r>
                    <w:rPr>
                      <w:rFonts w:hint="eastAsia"/>
                      <w:lang w:val="en-US" w:eastAsia="zh-CN"/>
                    </w:rPr>
                    <w:t>-200</w:t>
                  </w:r>
                </w:p>
              </w:tc>
              <w:tc>
                <w:tcPr>
                  <w:tcW w:w="637" w:type="pct"/>
                  <w:shd w:val="clear" w:color="auto" w:fill="auto"/>
                  <w:vAlign w:val="center"/>
                </w:tcPr>
                <w:p w14:paraId="51C797B1">
                  <w:pPr>
                    <w:pStyle w:val="41"/>
                    <w:bidi w:val="0"/>
                    <w:jc w:val="center"/>
                    <w:rPr>
                      <w:rFonts w:hint="eastAsia"/>
                      <w:lang w:val="en-US" w:eastAsia="zh-CN"/>
                    </w:rPr>
                  </w:pPr>
                  <w:r>
                    <w:rPr>
                      <w:rFonts w:hint="eastAsia"/>
                      <w:lang w:val="en-US" w:eastAsia="zh-CN"/>
                    </w:rPr>
                    <w:t>2000</w:t>
                  </w:r>
                </w:p>
              </w:tc>
            </w:tr>
            <w:tr w14:paraId="6FEF2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4267C2A8">
                  <w:pPr>
                    <w:pStyle w:val="41"/>
                    <w:bidi w:val="0"/>
                    <w:jc w:val="center"/>
                    <w:rPr>
                      <w:rFonts w:hint="eastAsia"/>
                      <w:lang w:val="en-US" w:eastAsia="zh-CN"/>
                    </w:rPr>
                  </w:pPr>
                </w:p>
              </w:tc>
              <w:tc>
                <w:tcPr>
                  <w:tcW w:w="1639" w:type="pct"/>
                  <w:shd w:val="clear" w:color="auto" w:fill="auto"/>
                  <w:vAlign w:val="center"/>
                </w:tcPr>
                <w:p w14:paraId="3D0FC131">
                  <w:pPr>
                    <w:pStyle w:val="41"/>
                    <w:bidi w:val="0"/>
                    <w:jc w:val="center"/>
                    <w:rPr>
                      <w:rFonts w:hint="eastAsia"/>
                      <w:lang w:val="zh-CN" w:eastAsia="zh-CN"/>
                    </w:rPr>
                  </w:pPr>
                  <w:r>
                    <w:t>短小蛇根草苷的衍生物</w:t>
                  </w:r>
                </w:p>
              </w:tc>
              <w:tc>
                <w:tcPr>
                  <w:tcW w:w="545" w:type="pct"/>
                  <w:shd w:val="clear" w:color="auto" w:fill="auto"/>
                  <w:vAlign w:val="center"/>
                </w:tcPr>
                <w:p w14:paraId="4906ABD3">
                  <w:pPr>
                    <w:pStyle w:val="41"/>
                    <w:bidi w:val="0"/>
                    <w:jc w:val="center"/>
                    <w:rPr>
                      <w:rFonts w:hint="eastAsia"/>
                      <w:lang w:val="en-US" w:eastAsia="zh-CN"/>
                    </w:rPr>
                  </w:pPr>
                  <w:r>
                    <w:rPr>
                      <w:rFonts w:hint="eastAsia"/>
                      <w:lang w:val="en-US" w:eastAsia="zh-CN"/>
                    </w:rPr>
                    <w:t>200</w:t>
                  </w:r>
                </w:p>
              </w:tc>
              <w:tc>
                <w:tcPr>
                  <w:tcW w:w="735" w:type="pct"/>
                  <w:shd w:val="clear" w:color="auto" w:fill="auto"/>
                  <w:vAlign w:val="center"/>
                </w:tcPr>
                <w:p w14:paraId="1C671F40">
                  <w:pPr>
                    <w:pStyle w:val="41"/>
                    <w:bidi w:val="0"/>
                    <w:jc w:val="center"/>
                    <w:rPr>
                      <w:rFonts w:hint="default"/>
                      <w:lang w:val="en-US" w:eastAsia="zh-CN"/>
                    </w:rPr>
                  </w:pPr>
                  <w:r>
                    <w:rPr>
                      <w:rFonts w:hint="eastAsia"/>
                      <w:lang w:val="en-US" w:eastAsia="zh-CN"/>
                    </w:rPr>
                    <w:t>0</w:t>
                  </w:r>
                </w:p>
              </w:tc>
              <w:tc>
                <w:tcPr>
                  <w:tcW w:w="696" w:type="pct"/>
                  <w:shd w:val="clear" w:color="auto" w:fill="auto"/>
                  <w:vAlign w:val="center"/>
                </w:tcPr>
                <w:p w14:paraId="78840688">
                  <w:pPr>
                    <w:pStyle w:val="41"/>
                    <w:bidi w:val="0"/>
                    <w:jc w:val="center"/>
                    <w:rPr>
                      <w:rFonts w:hint="default"/>
                      <w:lang w:val="en-US" w:eastAsia="zh-CN"/>
                    </w:rPr>
                  </w:pPr>
                  <w:r>
                    <w:rPr>
                      <w:rFonts w:hint="eastAsia"/>
                      <w:lang w:val="en-US" w:eastAsia="zh-CN"/>
                    </w:rPr>
                    <w:t>-200</w:t>
                  </w:r>
                </w:p>
              </w:tc>
              <w:tc>
                <w:tcPr>
                  <w:tcW w:w="637" w:type="pct"/>
                  <w:shd w:val="clear" w:color="auto" w:fill="auto"/>
                  <w:vAlign w:val="center"/>
                </w:tcPr>
                <w:p w14:paraId="2A04D5A8">
                  <w:pPr>
                    <w:pStyle w:val="41"/>
                    <w:bidi w:val="0"/>
                    <w:jc w:val="center"/>
                    <w:rPr>
                      <w:rFonts w:hint="eastAsia"/>
                      <w:lang w:val="en-US" w:eastAsia="zh-CN"/>
                    </w:rPr>
                  </w:pPr>
                  <w:r>
                    <w:rPr>
                      <w:rFonts w:hint="eastAsia"/>
                      <w:lang w:val="en-US" w:eastAsia="zh-CN"/>
                    </w:rPr>
                    <w:t>2000</w:t>
                  </w:r>
                </w:p>
              </w:tc>
            </w:tr>
            <w:tr w14:paraId="59677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vAlign w:val="center"/>
                </w:tcPr>
                <w:p w14:paraId="3E37DC98">
                  <w:pPr>
                    <w:pStyle w:val="41"/>
                    <w:bidi w:val="0"/>
                    <w:jc w:val="center"/>
                    <w:rPr>
                      <w:rFonts w:hint="eastAsia"/>
                      <w:lang w:val="en-US" w:eastAsia="zh-CN"/>
                    </w:rPr>
                  </w:pPr>
                </w:p>
              </w:tc>
              <w:tc>
                <w:tcPr>
                  <w:tcW w:w="1639" w:type="pct"/>
                  <w:shd w:val="clear" w:color="auto" w:fill="auto"/>
                  <w:vAlign w:val="center"/>
                </w:tcPr>
                <w:p w14:paraId="18E71B03">
                  <w:pPr>
                    <w:pStyle w:val="41"/>
                    <w:bidi w:val="0"/>
                    <w:jc w:val="center"/>
                    <w:rPr>
                      <w:rFonts w:hint="eastAsia"/>
                      <w:lang w:val="zh-CN" w:eastAsia="zh-CN"/>
                    </w:rPr>
                  </w:pPr>
                  <w:r>
                    <w:t>金黄凝胶</w:t>
                  </w:r>
                </w:p>
              </w:tc>
              <w:tc>
                <w:tcPr>
                  <w:tcW w:w="545" w:type="pct"/>
                  <w:shd w:val="clear" w:color="auto" w:fill="auto"/>
                  <w:vAlign w:val="center"/>
                </w:tcPr>
                <w:p w14:paraId="0A9F2EBB">
                  <w:pPr>
                    <w:pStyle w:val="41"/>
                    <w:bidi w:val="0"/>
                    <w:jc w:val="center"/>
                    <w:rPr>
                      <w:rFonts w:hint="eastAsia"/>
                      <w:lang w:val="en-US" w:eastAsia="zh-CN"/>
                    </w:rPr>
                  </w:pPr>
                  <w:r>
                    <w:rPr>
                      <w:rFonts w:hint="eastAsia"/>
                      <w:lang w:val="en-US" w:eastAsia="zh-CN"/>
                    </w:rPr>
                    <w:t>200</w:t>
                  </w:r>
                </w:p>
              </w:tc>
              <w:tc>
                <w:tcPr>
                  <w:tcW w:w="735" w:type="pct"/>
                  <w:shd w:val="clear" w:color="auto" w:fill="auto"/>
                  <w:vAlign w:val="center"/>
                </w:tcPr>
                <w:p w14:paraId="7BB7F75E">
                  <w:pPr>
                    <w:pStyle w:val="41"/>
                    <w:bidi w:val="0"/>
                    <w:jc w:val="center"/>
                    <w:rPr>
                      <w:rFonts w:hint="default"/>
                      <w:lang w:val="en-US" w:eastAsia="zh-CN"/>
                    </w:rPr>
                  </w:pPr>
                  <w:r>
                    <w:rPr>
                      <w:rFonts w:hint="eastAsia"/>
                      <w:lang w:val="en-US" w:eastAsia="zh-CN"/>
                    </w:rPr>
                    <w:t>0</w:t>
                  </w:r>
                </w:p>
              </w:tc>
              <w:tc>
                <w:tcPr>
                  <w:tcW w:w="696" w:type="pct"/>
                  <w:shd w:val="clear" w:color="auto" w:fill="auto"/>
                  <w:vAlign w:val="center"/>
                </w:tcPr>
                <w:p w14:paraId="48B60437">
                  <w:pPr>
                    <w:pStyle w:val="41"/>
                    <w:bidi w:val="0"/>
                    <w:jc w:val="center"/>
                    <w:rPr>
                      <w:rFonts w:hint="default"/>
                      <w:lang w:val="en-US" w:eastAsia="zh-CN"/>
                    </w:rPr>
                  </w:pPr>
                  <w:r>
                    <w:rPr>
                      <w:rFonts w:hint="eastAsia"/>
                      <w:lang w:val="en-US" w:eastAsia="zh-CN"/>
                    </w:rPr>
                    <w:t>-200</w:t>
                  </w:r>
                </w:p>
              </w:tc>
              <w:tc>
                <w:tcPr>
                  <w:tcW w:w="637" w:type="pct"/>
                  <w:shd w:val="clear" w:color="auto" w:fill="auto"/>
                  <w:vAlign w:val="center"/>
                </w:tcPr>
                <w:p w14:paraId="30645766">
                  <w:pPr>
                    <w:pStyle w:val="41"/>
                    <w:bidi w:val="0"/>
                    <w:jc w:val="center"/>
                    <w:rPr>
                      <w:rFonts w:hint="eastAsia"/>
                      <w:lang w:val="en-US" w:eastAsia="zh-CN"/>
                    </w:rPr>
                  </w:pPr>
                  <w:r>
                    <w:rPr>
                      <w:rFonts w:hint="eastAsia"/>
                      <w:lang w:val="en-US" w:eastAsia="zh-CN"/>
                    </w:rPr>
                    <w:t>2000</w:t>
                  </w:r>
                </w:p>
              </w:tc>
            </w:tr>
            <w:tr w14:paraId="11CAB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shd w:val="clear" w:color="auto" w:fill="auto"/>
                  <w:vAlign w:val="center"/>
                </w:tcPr>
                <w:p w14:paraId="7780747A">
                  <w:pPr>
                    <w:pStyle w:val="41"/>
                    <w:bidi w:val="0"/>
                    <w:jc w:val="center"/>
                    <w:rPr>
                      <w:rFonts w:hint="eastAsia"/>
                      <w:b/>
                      <w:bCs/>
                      <w:lang w:val="en-US" w:eastAsia="zh-CN"/>
                    </w:rPr>
                  </w:pPr>
                  <w:r>
                    <w:rPr>
                      <w:rFonts w:hint="eastAsia"/>
                      <w:b/>
                      <w:bCs/>
                      <w:lang w:val="en-US" w:eastAsia="zh-CN"/>
                    </w:rPr>
                    <w:t>合计</w:t>
                  </w:r>
                </w:p>
              </w:tc>
              <w:tc>
                <w:tcPr>
                  <w:tcW w:w="1639" w:type="pct"/>
                  <w:shd w:val="clear" w:color="auto" w:fill="auto"/>
                  <w:vAlign w:val="center"/>
                </w:tcPr>
                <w:p w14:paraId="1E755862">
                  <w:pPr>
                    <w:pStyle w:val="41"/>
                    <w:bidi w:val="0"/>
                    <w:jc w:val="center"/>
                    <w:rPr>
                      <w:rFonts w:hint="eastAsia"/>
                      <w:b/>
                      <w:bCs/>
                      <w:lang w:val="en-US" w:eastAsia="zh-CN"/>
                    </w:rPr>
                  </w:pPr>
                  <w:r>
                    <w:rPr>
                      <w:rFonts w:hint="eastAsia"/>
                      <w:b/>
                      <w:bCs/>
                      <w:lang w:val="en-US" w:eastAsia="zh-CN"/>
                    </w:rPr>
                    <w:t>/</w:t>
                  </w:r>
                </w:p>
              </w:tc>
              <w:tc>
                <w:tcPr>
                  <w:tcW w:w="545" w:type="pct"/>
                  <w:shd w:val="clear" w:color="auto" w:fill="auto"/>
                  <w:vAlign w:val="center"/>
                </w:tcPr>
                <w:p w14:paraId="20BF6E7B">
                  <w:pPr>
                    <w:pStyle w:val="41"/>
                    <w:bidi w:val="0"/>
                    <w:jc w:val="center"/>
                    <w:rPr>
                      <w:rFonts w:hint="default"/>
                      <w:b/>
                      <w:bCs/>
                      <w:lang w:val="en-US" w:eastAsia="zh-CN"/>
                    </w:rPr>
                  </w:pPr>
                  <w:r>
                    <w:rPr>
                      <w:rFonts w:hint="eastAsia"/>
                      <w:b/>
                      <w:bCs/>
                      <w:lang w:val="en-US" w:eastAsia="zh-CN"/>
                    </w:rPr>
                    <w:t>600</w:t>
                  </w:r>
                </w:p>
              </w:tc>
              <w:tc>
                <w:tcPr>
                  <w:tcW w:w="735" w:type="pct"/>
                  <w:shd w:val="clear" w:color="auto" w:fill="auto"/>
                  <w:vAlign w:val="center"/>
                </w:tcPr>
                <w:p w14:paraId="464D4A0F">
                  <w:pPr>
                    <w:pStyle w:val="41"/>
                    <w:bidi w:val="0"/>
                    <w:jc w:val="center"/>
                    <w:rPr>
                      <w:rFonts w:hint="default"/>
                      <w:b/>
                      <w:bCs/>
                      <w:lang w:val="en-US" w:eastAsia="zh-CN"/>
                    </w:rPr>
                  </w:pPr>
                  <w:r>
                    <w:rPr>
                      <w:rFonts w:hint="eastAsia"/>
                      <w:b/>
                      <w:bCs/>
                      <w:lang w:val="en-US" w:eastAsia="zh-CN"/>
                    </w:rPr>
                    <w:t>0</w:t>
                  </w:r>
                </w:p>
              </w:tc>
              <w:tc>
                <w:tcPr>
                  <w:tcW w:w="696" w:type="pct"/>
                  <w:shd w:val="clear" w:color="auto" w:fill="auto"/>
                  <w:vAlign w:val="center"/>
                </w:tcPr>
                <w:p w14:paraId="6736739D">
                  <w:pPr>
                    <w:pStyle w:val="41"/>
                    <w:bidi w:val="0"/>
                    <w:jc w:val="center"/>
                    <w:rPr>
                      <w:rFonts w:hint="default"/>
                      <w:b/>
                      <w:bCs/>
                      <w:lang w:val="en-US" w:eastAsia="zh-CN"/>
                    </w:rPr>
                  </w:pPr>
                  <w:r>
                    <w:rPr>
                      <w:rFonts w:hint="eastAsia"/>
                      <w:b/>
                      <w:bCs/>
                      <w:lang w:val="en-US" w:eastAsia="zh-CN"/>
                    </w:rPr>
                    <w:t>-600</w:t>
                  </w:r>
                </w:p>
              </w:tc>
              <w:tc>
                <w:tcPr>
                  <w:tcW w:w="637" w:type="pct"/>
                  <w:shd w:val="clear" w:color="auto" w:fill="auto"/>
                  <w:vAlign w:val="center"/>
                </w:tcPr>
                <w:p w14:paraId="7EB9C4E5">
                  <w:pPr>
                    <w:pStyle w:val="41"/>
                    <w:bidi w:val="0"/>
                    <w:jc w:val="center"/>
                    <w:rPr>
                      <w:rFonts w:hint="default"/>
                      <w:b/>
                      <w:bCs/>
                      <w:lang w:val="en-US" w:eastAsia="zh-CN"/>
                    </w:rPr>
                  </w:pPr>
                  <w:r>
                    <w:rPr>
                      <w:rFonts w:hint="eastAsia"/>
                      <w:b/>
                      <w:bCs/>
                      <w:lang w:val="en-US" w:eastAsia="zh-CN"/>
                    </w:rPr>
                    <w:t>/</w:t>
                  </w:r>
                </w:p>
              </w:tc>
            </w:tr>
            <w:tr w14:paraId="757EF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restart"/>
                  <w:shd w:val="clear" w:color="auto" w:fill="auto"/>
                  <w:vAlign w:val="center"/>
                </w:tcPr>
                <w:p w14:paraId="4A0722DF">
                  <w:pPr>
                    <w:pStyle w:val="41"/>
                    <w:bidi w:val="0"/>
                    <w:jc w:val="center"/>
                    <w:rPr>
                      <w:rFonts w:hint="eastAsia"/>
                      <w:lang w:val="en-US" w:eastAsia="zh-CN"/>
                    </w:rPr>
                  </w:pPr>
                  <w:r>
                    <w:rPr>
                      <w:rFonts w:hint="eastAsia"/>
                      <w:lang w:val="en-US" w:eastAsia="zh-CN"/>
                    </w:rPr>
                    <w:t>6号楼生物药研发实验室</w:t>
                  </w:r>
                </w:p>
              </w:tc>
              <w:tc>
                <w:tcPr>
                  <w:tcW w:w="1639" w:type="pct"/>
                  <w:shd w:val="clear" w:color="auto" w:fill="auto"/>
                  <w:vAlign w:val="center"/>
                </w:tcPr>
                <w:p w14:paraId="5DAD5797">
                  <w:pPr>
                    <w:pStyle w:val="41"/>
                    <w:bidi w:val="0"/>
                    <w:jc w:val="center"/>
                    <w:rPr>
                      <w:rFonts w:hint="eastAsia"/>
                      <w:lang w:val="en-US" w:eastAsia="zh-CN"/>
                    </w:rPr>
                  </w:pPr>
                  <w:r>
                    <w:rPr>
                      <w:rFonts w:hint="eastAsia"/>
                      <w:lang w:val="en-US" w:eastAsia="zh-CN"/>
                    </w:rPr>
                    <w:t>重组蛋白药物</w:t>
                  </w:r>
                </w:p>
              </w:tc>
              <w:tc>
                <w:tcPr>
                  <w:tcW w:w="545" w:type="pct"/>
                  <w:shd w:val="clear" w:color="auto" w:fill="auto"/>
                  <w:vAlign w:val="center"/>
                </w:tcPr>
                <w:p w14:paraId="114DB7DC">
                  <w:pPr>
                    <w:pStyle w:val="41"/>
                    <w:bidi w:val="0"/>
                    <w:jc w:val="center"/>
                    <w:rPr>
                      <w:rFonts w:hint="eastAsia"/>
                      <w:lang w:val="en-US" w:eastAsia="zh-CN"/>
                    </w:rPr>
                  </w:pPr>
                  <w:r>
                    <w:rPr>
                      <w:rFonts w:hint="eastAsia"/>
                      <w:lang w:val="en-US" w:eastAsia="zh-CN"/>
                    </w:rPr>
                    <w:t>200</w:t>
                  </w:r>
                </w:p>
              </w:tc>
              <w:tc>
                <w:tcPr>
                  <w:tcW w:w="735" w:type="pct"/>
                  <w:shd w:val="clear" w:color="auto" w:fill="auto"/>
                  <w:vAlign w:val="center"/>
                </w:tcPr>
                <w:p w14:paraId="5AECA720">
                  <w:pPr>
                    <w:pStyle w:val="41"/>
                    <w:bidi w:val="0"/>
                    <w:jc w:val="center"/>
                    <w:rPr>
                      <w:rFonts w:hint="default"/>
                      <w:lang w:val="en-US" w:eastAsia="zh-CN"/>
                    </w:rPr>
                  </w:pPr>
                  <w:r>
                    <w:rPr>
                      <w:rFonts w:hint="eastAsia"/>
                      <w:lang w:val="en-US" w:eastAsia="zh-CN"/>
                    </w:rPr>
                    <w:t>200</w:t>
                  </w:r>
                </w:p>
              </w:tc>
              <w:tc>
                <w:tcPr>
                  <w:tcW w:w="696" w:type="pct"/>
                  <w:shd w:val="clear" w:color="auto" w:fill="auto"/>
                  <w:vAlign w:val="center"/>
                </w:tcPr>
                <w:p w14:paraId="53385969">
                  <w:pPr>
                    <w:pStyle w:val="41"/>
                    <w:bidi w:val="0"/>
                    <w:jc w:val="center"/>
                    <w:rPr>
                      <w:rFonts w:hint="default"/>
                      <w:lang w:val="en-US" w:eastAsia="zh-CN"/>
                    </w:rPr>
                  </w:pPr>
                  <w:r>
                    <w:rPr>
                      <w:rFonts w:hint="eastAsia"/>
                      <w:lang w:val="en-US" w:eastAsia="zh-CN"/>
                    </w:rPr>
                    <w:t>0</w:t>
                  </w:r>
                </w:p>
              </w:tc>
              <w:tc>
                <w:tcPr>
                  <w:tcW w:w="637" w:type="pct"/>
                  <w:shd w:val="clear" w:color="auto" w:fill="auto"/>
                  <w:vAlign w:val="center"/>
                </w:tcPr>
                <w:p w14:paraId="2F3191F5">
                  <w:pPr>
                    <w:pStyle w:val="41"/>
                    <w:bidi w:val="0"/>
                    <w:jc w:val="center"/>
                    <w:rPr>
                      <w:rFonts w:hint="eastAsia"/>
                      <w:lang w:val="en-US" w:eastAsia="zh-CN"/>
                    </w:rPr>
                  </w:pPr>
                  <w:r>
                    <w:rPr>
                      <w:rFonts w:hint="eastAsia"/>
                      <w:lang w:val="en-US" w:eastAsia="zh-CN"/>
                    </w:rPr>
                    <w:t>2000</w:t>
                  </w:r>
                </w:p>
              </w:tc>
            </w:tr>
            <w:tr w14:paraId="39018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shd w:val="clear" w:color="auto" w:fill="auto"/>
                  <w:vAlign w:val="center"/>
                </w:tcPr>
                <w:p w14:paraId="22CF3E5E">
                  <w:pPr>
                    <w:pStyle w:val="41"/>
                    <w:bidi w:val="0"/>
                    <w:jc w:val="center"/>
                    <w:rPr>
                      <w:rFonts w:hint="eastAsia"/>
                      <w:lang w:val="en-US" w:eastAsia="zh-CN"/>
                    </w:rPr>
                  </w:pPr>
                </w:p>
              </w:tc>
              <w:tc>
                <w:tcPr>
                  <w:tcW w:w="1639" w:type="pct"/>
                  <w:shd w:val="clear" w:color="auto" w:fill="auto"/>
                  <w:vAlign w:val="center"/>
                </w:tcPr>
                <w:p w14:paraId="48BC1AF3">
                  <w:pPr>
                    <w:pStyle w:val="41"/>
                    <w:bidi w:val="0"/>
                    <w:jc w:val="center"/>
                    <w:rPr>
                      <w:rFonts w:hint="eastAsia"/>
                      <w:lang w:val="en-US" w:eastAsia="zh-CN"/>
                    </w:rPr>
                  </w:pPr>
                  <w:r>
                    <w:rPr>
                      <w:rFonts w:hint="eastAsia"/>
                      <w:lang w:val="en-US" w:eastAsia="zh-CN"/>
                    </w:rPr>
                    <w:t>诊断试剂研发</w:t>
                  </w:r>
                </w:p>
              </w:tc>
              <w:tc>
                <w:tcPr>
                  <w:tcW w:w="545" w:type="pct"/>
                  <w:shd w:val="clear" w:color="auto" w:fill="auto"/>
                  <w:vAlign w:val="center"/>
                </w:tcPr>
                <w:p w14:paraId="239D0337">
                  <w:pPr>
                    <w:pStyle w:val="41"/>
                    <w:bidi w:val="0"/>
                    <w:jc w:val="center"/>
                    <w:rPr>
                      <w:rFonts w:hint="eastAsia"/>
                      <w:lang w:val="en-US" w:eastAsia="zh-CN"/>
                    </w:rPr>
                  </w:pPr>
                  <w:r>
                    <w:rPr>
                      <w:rFonts w:hint="eastAsia"/>
                      <w:lang w:val="en-US" w:eastAsia="zh-CN"/>
                    </w:rPr>
                    <w:t>200</w:t>
                  </w:r>
                </w:p>
              </w:tc>
              <w:tc>
                <w:tcPr>
                  <w:tcW w:w="735" w:type="pct"/>
                  <w:shd w:val="clear" w:color="auto" w:fill="auto"/>
                  <w:vAlign w:val="center"/>
                </w:tcPr>
                <w:p w14:paraId="389E8DD1">
                  <w:pPr>
                    <w:pStyle w:val="41"/>
                    <w:bidi w:val="0"/>
                    <w:jc w:val="center"/>
                    <w:rPr>
                      <w:rFonts w:hint="default"/>
                      <w:lang w:val="en-US" w:eastAsia="zh-CN"/>
                    </w:rPr>
                  </w:pPr>
                  <w:r>
                    <w:rPr>
                      <w:rFonts w:hint="eastAsia"/>
                      <w:lang w:val="en-US" w:eastAsia="zh-CN"/>
                    </w:rPr>
                    <w:t>200</w:t>
                  </w:r>
                </w:p>
              </w:tc>
              <w:tc>
                <w:tcPr>
                  <w:tcW w:w="696" w:type="pct"/>
                  <w:shd w:val="clear" w:color="auto" w:fill="auto"/>
                  <w:vAlign w:val="center"/>
                </w:tcPr>
                <w:p w14:paraId="6A7C571A">
                  <w:pPr>
                    <w:pStyle w:val="41"/>
                    <w:bidi w:val="0"/>
                    <w:jc w:val="center"/>
                    <w:rPr>
                      <w:rFonts w:hint="default"/>
                      <w:lang w:val="en-US" w:eastAsia="zh-CN"/>
                    </w:rPr>
                  </w:pPr>
                  <w:r>
                    <w:rPr>
                      <w:rFonts w:hint="eastAsia"/>
                      <w:lang w:val="en-US" w:eastAsia="zh-CN"/>
                    </w:rPr>
                    <w:t>0</w:t>
                  </w:r>
                </w:p>
              </w:tc>
              <w:tc>
                <w:tcPr>
                  <w:tcW w:w="637" w:type="pct"/>
                  <w:shd w:val="clear" w:color="auto" w:fill="auto"/>
                  <w:vAlign w:val="center"/>
                </w:tcPr>
                <w:p w14:paraId="54A7E2D4">
                  <w:pPr>
                    <w:pStyle w:val="41"/>
                    <w:bidi w:val="0"/>
                    <w:jc w:val="center"/>
                    <w:rPr>
                      <w:rFonts w:hint="eastAsia"/>
                      <w:lang w:val="en-US" w:eastAsia="zh-CN"/>
                    </w:rPr>
                  </w:pPr>
                  <w:r>
                    <w:rPr>
                      <w:rFonts w:hint="eastAsia"/>
                      <w:lang w:val="en-US" w:eastAsia="zh-CN"/>
                    </w:rPr>
                    <w:t>2000</w:t>
                  </w:r>
                </w:p>
              </w:tc>
            </w:tr>
            <w:tr w14:paraId="535F2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shd w:val="clear" w:color="auto" w:fill="auto"/>
                  <w:vAlign w:val="center"/>
                </w:tcPr>
                <w:p w14:paraId="26F39C14">
                  <w:pPr>
                    <w:pStyle w:val="41"/>
                    <w:bidi w:val="0"/>
                    <w:jc w:val="center"/>
                    <w:rPr>
                      <w:rFonts w:hint="default"/>
                      <w:b/>
                      <w:bCs/>
                      <w:lang w:val="en-US" w:eastAsia="zh-CN"/>
                    </w:rPr>
                  </w:pPr>
                  <w:r>
                    <w:rPr>
                      <w:rFonts w:hint="eastAsia"/>
                      <w:b/>
                      <w:bCs/>
                      <w:lang w:val="en-US" w:eastAsia="zh-CN"/>
                    </w:rPr>
                    <w:t>合计</w:t>
                  </w:r>
                </w:p>
              </w:tc>
              <w:tc>
                <w:tcPr>
                  <w:tcW w:w="1639" w:type="pct"/>
                  <w:shd w:val="clear" w:color="auto" w:fill="auto"/>
                  <w:vAlign w:val="center"/>
                </w:tcPr>
                <w:p w14:paraId="347004FC">
                  <w:pPr>
                    <w:pStyle w:val="41"/>
                    <w:bidi w:val="0"/>
                    <w:jc w:val="center"/>
                    <w:rPr>
                      <w:rFonts w:hint="default"/>
                      <w:b/>
                      <w:bCs/>
                      <w:lang w:val="en-US" w:eastAsia="zh-CN"/>
                    </w:rPr>
                  </w:pPr>
                  <w:r>
                    <w:rPr>
                      <w:rFonts w:hint="eastAsia"/>
                      <w:b/>
                      <w:bCs/>
                      <w:lang w:val="en-US" w:eastAsia="zh-CN"/>
                    </w:rPr>
                    <w:t>/</w:t>
                  </w:r>
                </w:p>
              </w:tc>
              <w:tc>
                <w:tcPr>
                  <w:tcW w:w="545" w:type="pct"/>
                  <w:shd w:val="clear" w:color="auto" w:fill="auto"/>
                  <w:vAlign w:val="center"/>
                </w:tcPr>
                <w:p w14:paraId="6290B379">
                  <w:pPr>
                    <w:pStyle w:val="41"/>
                    <w:bidi w:val="0"/>
                    <w:jc w:val="center"/>
                    <w:rPr>
                      <w:rFonts w:hint="default"/>
                      <w:b/>
                      <w:bCs/>
                      <w:lang w:val="en-US" w:eastAsia="zh-CN"/>
                    </w:rPr>
                  </w:pPr>
                  <w:r>
                    <w:rPr>
                      <w:rFonts w:hint="eastAsia"/>
                      <w:b/>
                      <w:bCs/>
                      <w:lang w:val="en-US" w:eastAsia="zh-CN"/>
                    </w:rPr>
                    <w:t>400</w:t>
                  </w:r>
                </w:p>
              </w:tc>
              <w:tc>
                <w:tcPr>
                  <w:tcW w:w="735" w:type="pct"/>
                  <w:shd w:val="clear" w:color="auto" w:fill="auto"/>
                  <w:vAlign w:val="center"/>
                </w:tcPr>
                <w:p w14:paraId="07C8537B">
                  <w:pPr>
                    <w:pStyle w:val="41"/>
                    <w:bidi w:val="0"/>
                    <w:jc w:val="center"/>
                    <w:rPr>
                      <w:rFonts w:hint="default"/>
                      <w:b/>
                      <w:bCs/>
                      <w:lang w:val="en-US" w:eastAsia="zh-CN"/>
                    </w:rPr>
                  </w:pPr>
                  <w:r>
                    <w:rPr>
                      <w:rFonts w:hint="eastAsia"/>
                      <w:b/>
                      <w:bCs/>
                      <w:lang w:val="en-US" w:eastAsia="zh-CN"/>
                    </w:rPr>
                    <w:t>400</w:t>
                  </w:r>
                </w:p>
              </w:tc>
              <w:tc>
                <w:tcPr>
                  <w:tcW w:w="696" w:type="pct"/>
                  <w:shd w:val="clear" w:color="auto" w:fill="auto"/>
                  <w:vAlign w:val="center"/>
                </w:tcPr>
                <w:p w14:paraId="4A6D8439">
                  <w:pPr>
                    <w:pStyle w:val="41"/>
                    <w:bidi w:val="0"/>
                    <w:jc w:val="center"/>
                    <w:rPr>
                      <w:rFonts w:hint="default"/>
                      <w:b/>
                      <w:bCs/>
                      <w:lang w:val="en-US" w:eastAsia="zh-CN"/>
                    </w:rPr>
                  </w:pPr>
                  <w:r>
                    <w:rPr>
                      <w:rFonts w:hint="eastAsia"/>
                      <w:b/>
                      <w:bCs/>
                      <w:lang w:val="en-US" w:eastAsia="zh-CN"/>
                    </w:rPr>
                    <w:t>0</w:t>
                  </w:r>
                </w:p>
              </w:tc>
              <w:tc>
                <w:tcPr>
                  <w:tcW w:w="637" w:type="pct"/>
                  <w:shd w:val="clear" w:color="auto" w:fill="auto"/>
                  <w:vAlign w:val="center"/>
                </w:tcPr>
                <w:p w14:paraId="284C4BBC">
                  <w:pPr>
                    <w:pStyle w:val="41"/>
                    <w:bidi w:val="0"/>
                    <w:jc w:val="center"/>
                    <w:rPr>
                      <w:rFonts w:hint="default"/>
                      <w:b/>
                      <w:bCs/>
                      <w:lang w:val="en-US" w:eastAsia="zh-CN"/>
                    </w:rPr>
                  </w:pPr>
                  <w:r>
                    <w:rPr>
                      <w:rFonts w:hint="eastAsia"/>
                      <w:b/>
                      <w:bCs/>
                      <w:lang w:val="en-US" w:eastAsia="zh-CN"/>
                    </w:rPr>
                    <w:t>/</w:t>
                  </w:r>
                </w:p>
              </w:tc>
            </w:tr>
            <w:tr w14:paraId="796D8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restart"/>
                  <w:shd w:val="clear" w:color="auto" w:fill="auto"/>
                  <w:vAlign w:val="center"/>
                </w:tcPr>
                <w:p w14:paraId="394047F5">
                  <w:pPr>
                    <w:pStyle w:val="41"/>
                    <w:bidi w:val="0"/>
                    <w:jc w:val="center"/>
                    <w:rPr>
                      <w:rFonts w:hint="eastAsia"/>
                      <w:lang w:val="en-US" w:eastAsia="zh-CN"/>
                    </w:rPr>
                  </w:pPr>
                  <w:r>
                    <w:rPr>
                      <w:rFonts w:hint="eastAsia"/>
                      <w:lang w:val="en-US" w:eastAsia="zh-CN"/>
                    </w:rPr>
                    <w:t>7号楼生物药研发实验室</w:t>
                  </w:r>
                </w:p>
              </w:tc>
              <w:tc>
                <w:tcPr>
                  <w:tcW w:w="1639" w:type="pct"/>
                  <w:shd w:val="clear" w:color="auto" w:fill="auto"/>
                  <w:vAlign w:val="center"/>
                </w:tcPr>
                <w:p w14:paraId="6821AD98">
                  <w:pPr>
                    <w:pStyle w:val="41"/>
                    <w:bidi w:val="0"/>
                    <w:jc w:val="center"/>
                    <w:rPr>
                      <w:rFonts w:hint="eastAsia"/>
                      <w:lang w:val="en-US" w:eastAsia="zh-CN"/>
                    </w:rPr>
                  </w:pPr>
                  <w:r>
                    <w:rPr>
                      <w:rFonts w:hint="eastAsia"/>
                      <w:lang w:val="en-US" w:eastAsia="zh-CN"/>
                    </w:rPr>
                    <w:t>重组蛋白类药物</w:t>
                  </w:r>
                </w:p>
              </w:tc>
              <w:tc>
                <w:tcPr>
                  <w:tcW w:w="545" w:type="pct"/>
                  <w:shd w:val="clear" w:color="auto" w:fill="auto"/>
                  <w:vAlign w:val="center"/>
                </w:tcPr>
                <w:p w14:paraId="286F156D">
                  <w:pPr>
                    <w:pStyle w:val="41"/>
                    <w:bidi w:val="0"/>
                    <w:jc w:val="center"/>
                    <w:rPr>
                      <w:rFonts w:hint="eastAsia"/>
                      <w:lang w:val="en-US" w:eastAsia="zh-CN"/>
                    </w:rPr>
                  </w:pPr>
                  <w:r>
                    <w:rPr>
                      <w:rFonts w:hint="eastAsia"/>
                      <w:lang w:val="en-US" w:eastAsia="zh-CN"/>
                    </w:rPr>
                    <w:t>200</w:t>
                  </w:r>
                </w:p>
              </w:tc>
              <w:tc>
                <w:tcPr>
                  <w:tcW w:w="735" w:type="pct"/>
                  <w:shd w:val="clear" w:color="auto" w:fill="auto"/>
                  <w:vAlign w:val="center"/>
                </w:tcPr>
                <w:p w14:paraId="38697456">
                  <w:pPr>
                    <w:pStyle w:val="41"/>
                    <w:bidi w:val="0"/>
                    <w:jc w:val="center"/>
                    <w:rPr>
                      <w:rFonts w:hint="default"/>
                      <w:lang w:val="en-US" w:eastAsia="zh-CN"/>
                    </w:rPr>
                  </w:pPr>
                  <w:r>
                    <w:rPr>
                      <w:rFonts w:hint="eastAsia"/>
                      <w:lang w:val="en-US" w:eastAsia="zh-CN"/>
                    </w:rPr>
                    <w:t>200</w:t>
                  </w:r>
                </w:p>
              </w:tc>
              <w:tc>
                <w:tcPr>
                  <w:tcW w:w="696" w:type="pct"/>
                  <w:shd w:val="clear" w:color="auto" w:fill="auto"/>
                  <w:vAlign w:val="center"/>
                </w:tcPr>
                <w:p w14:paraId="1E5A4CD9">
                  <w:pPr>
                    <w:pStyle w:val="41"/>
                    <w:bidi w:val="0"/>
                    <w:jc w:val="center"/>
                    <w:rPr>
                      <w:rFonts w:hint="default"/>
                      <w:lang w:val="en-US" w:eastAsia="zh-CN"/>
                    </w:rPr>
                  </w:pPr>
                  <w:r>
                    <w:rPr>
                      <w:rFonts w:hint="eastAsia"/>
                      <w:lang w:val="en-US" w:eastAsia="zh-CN"/>
                    </w:rPr>
                    <w:t>0</w:t>
                  </w:r>
                </w:p>
              </w:tc>
              <w:tc>
                <w:tcPr>
                  <w:tcW w:w="637" w:type="pct"/>
                  <w:shd w:val="clear" w:color="auto" w:fill="auto"/>
                  <w:vAlign w:val="center"/>
                </w:tcPr>
                <w:p w14:paraId="1976DFC7">
                  <w:pPr>
                    <w:pStyle w:val="41"/>
                    <w:bidi w:val="0"/>
                    <w:jc w:val="center"/>
                    <w:rPr>
                      <w:rFonts w:hint="eastAsia"/>
                      <w:lang w:val="en-US" w:eastAsia="zh-CN"/>
                    </w:rPr>
                  </w:pPr>
                  <w:r>
                    <w:rPr>
                      <w:rFonts w:hint="eastAsia"/>
                      <w:lang w:val="en-US" w:eastAsia="zh-CN"/>
                    </w:rPr>
                    <w:t>2000</w:t>
                  </w:r>
                </w:p>
              </w:tc>
            </w:tr>
            <w:tr w14:paraId="24B14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shd w:val="clear" w:color="auto" w:fill="auto"/>
                  <w:vAlign w:val="center"/>
                </w:tcPr>
                <w:p w14:paraId="69487557">
                  <w:pPr>
                    <w:pStyle w:val="41"/>
                    <w:bidi w:val="0"/>
                    <w:jc w:val="center"/>
                    <w:rPr>
                      <w:rFonts w:hint="eastAsia"/>
                      <w:lang w:val="en-US" w:eastAsia="zh-CN"/>
                    </w:rPr>
                  </w:pPr>
                </w:p>
              </w:tc>
              <w:tc>
                <w:tcPr>
                  <w:tcW w:w="1639" w:type="pct"/>
                  <w:shd w:val="clear" w:color="auto" w:fill="auto"/>
                  <w:vAlign w:val="center"/>
                </w:tcPr>
                <w:p w14:paraId="40545C61">
                  <w:pPr>
                    <w:pStyle w:val="41"/>
                    <w:bidi w:val="0"/>
                    <w:jc w:val="center"/>
                    <w:rPr>
                      <w:rFonts w:hint="eastAsia"/>
                      <w:lang w:val="en-US" w:eastAsia="zh-CN"/>
                    </w:rPr>
                  </w:pPr>
                  <w:r>
                    <w:rPr>
                      <w:rFonts w:hint="eastAsia"/>
                      <w:lang w:val="en-US" w:eastAsia="zh-CN"/>
                    </w:rPr>
                    <w:t>微生物药敏诊断试剂</w:t>
                  </w:r>
                </w:p>
              </w:tc>
              <w:tc>
                <w:tcPr>
                  <w:tcW w:w="545" w:type="pct"/>
                  <w:shd w:val="clear" w:color="auto" w:fill="auto"/>
                  <w:vAlign w:val="center"/>
                </w:tcPr>
                <w:p w14:paraId="1BF673B6">
                  <w:pPr>
                    <w:pStyle w:val="41"/>
                    <w:bidi w:val="0"/>
                    <w:jc w:val="center"/>
                    <w:rPr>
                      <w:rFonts w:hint="eastAsia"/>
                      <w:lang w:val="en-US" w:eastAsia="zh-CN"/>
                    </w:rPr>
                  </w:pPr>
                  <w:r>
                    <w:rPr>
                      <w:rFonts w:hint="eastAsia"/>
                      <w:lang w:val="en-US" w:eastAsia="zh-CN"/>
                    </w:rPr>
                    <w:t>500</w:t>
                  </w:r>
                </w:p>
              </w:tc>
              <w:tc>
                <w:tcPr>
                  <w:tcW w:w="735" w:type="pct"/>
                  <w:shd w:val="clear" w:color="auto" w:fill="auto"/>
                  <w:vAlign w:val="center"/>
                </w:tcPr>
                <w:p w14:paraId="746E2956">
                  <w:pPr>
                    <w:pStyle w:val="41"/>
                    <w:bidi w:val="0"/>
                    <w:jc w:val="center"/>
                    <w:rPr>
                      <w:rFonts w:hint="default"/>
                      <w:lang w:val="en-US" w:eastAsia="zh-CN"/>
                    </w:rPr>
                  </w:pPr>
                  <w:r>
                    <w:rPr>
                      <w:rFonts w:hint="eastAsia"/>
                      <w:lang w:val="en-US" w:eastAsia="zh-CN"/>
                    </w:rPr>
                    <w:t>500</w:t>
                  </w:r>
                </w:p>
              </w:tc>
              <w:tc>
                <w:tcPr>
                  <w:tcW w:w="696" w:type="pct"/>
                  <w:shd w:val="clear" w:color="auto" w:fill="auto"/>
                  <w:vAlign w:val="center"/>
                </w:tcPr>
                <w:p w14:paraId="1A5DBEBB">
                  <w:pPr>
                    <w:pStyle w:val="41"/>
                    <w:bidi w:val="0"/>
                    <w:jc w:val="center"/>
                    <w:rPr>
                      <w:rFonts w:hint="default"/>
                      <w:lang w:val="en-US" w:eastAsia="zh-CN"/>
                    </w:rPr>
                  </w:pPr>
                  <w:r>
                    <w:rPr>
                      <w:rFonts w:hint="eastAsia"/>
                      <w:lang w:val="en-US" w:eastAsia="zh-CN"/>
                    </w:rPr>
                    <w:t>0</w:t>
                  </w:r>
                </w:p>
              </w:tc>
              <w:tc>
                <w:tcPr>
                  <w:tcW w:w="637" w:type="pct"/>
                  <w:shd w:val="clear" w:color="auto" w:fill="auto"/>
                  <w:vAlign w:val="center"/>
                </w:tcPr>
                <w:p w14:paraId="11D47176">
                  <w:pPr>
                    <w:pStyle w:val="41"/>
                    <w:bidi w:val="0"/>
                    <w:jc w:val="center"/>
                    <w:rPr>
                      <w:rFonts w:hint="eastAsia"/>
                      <w:lang w:val="en-US" w:eastAsia="zh-CN"/>
                    </w:rPr>
                  </w:pPr>
                  <w:r>
                    <w:rPr>
                      <w:rFonts w:hint="eastAsia"/>
                      <w:lang w:val="en-US" w:eastAsia="zh-CN"/>
                    </w:rPr>
                    <w:t>2000</w:t>
                  </w:r>
                </w:p>
              </w:tc>
            </w:tr>
            <w:tr w14:paraId="7F2B6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shd w:val="clear" w:color="auto" w:fill="auto"/>
                  <w:vAlign w:val="center"/>
                </w:tcPr>
                <w:p w14:paraId="2BE7025F">
                  <w:pPr>
                    <w:pStyle w:val="41"/>
                    <w:bidi w:val="0"/>
                    <w:jc w:val="center"/>
                    <w:rPr>
                      <w:rFonts w:hint="default"/>
                      <w:b/>
                      <w:bCs/>
                      <w:lang w:val="en-US" w:eastAsia="zh-CN"/>
                    </w:rPr>
                  </w:pPr>
                  <w:r>
                    <w:rPr>
                      <w:rFonts w:hint="eastAsia"/>
                      <w:b/>
                      <w:bCs/>
                      <w:lang w:val="en-US" w:eastAsia="zh-CN"/>
                    </w:rPr>
                    <w:t>合计</w:t>
                  </w:r>
                </w:p>
              </w:tc>
              <w:tc>
                <w:tcPr>
                  <w:tcW w:w="1639" w:type="pct"/>
                  <w:shd w:val="clear" w:color="auto" w:fill="auto"/>
                  <w:vAlign w:val="center"/>
                </w:tcPr>
                <w:p w14:paraId="0D3F2064">
                  <w:pPr>
                    <w:pStyle w:val="41"/>
                    <w:bidi w:val="0"/>
                    <w:jc w:val="center"/>
                    <w:rPr>
                      <w:rFonts w:hint="default"/>
                      <w:b/>
                      <w:bCs/>
                      <w:lang w:val="en-US" w:eastAsia="zh-CN"/>
                    </w:rPr>
                  </w:pPr>
                  <w:r>
                    <w:rPr>
                      <w:rFonts w:hint="eastAsia"/>
                      <w:b/>
                      <w:bCs/>
                      <w:lang w:val="en-US" w:eastAsia="zh-CN"/>
                    </w:rPr>
                    <w:t>/</w:t>
                  </w:r>
                </w:p>
              </w:tc>
              <w:tc>
                <w:tcPr>
                  <w:tcW w:w="545" w:type="pct"/>
                  <w:shd w:val="clear" w:color="auto" w:fill="auto"/>
                  <w:vAlign w:val="center"/>
                </w:tcPr>
                <w:p w14:paraId="762EDB05">
                  <w:pPr>
                    <w:pStyle w:val="41"/>
                    <w:bidi w:val="0"/>
                    <w:jc w:val="center"/>
                    <w:rPr>
                      <w:rFonts w:hint="default"/>
                      <w:b/>
                      <w:bCs/>
                      <w:lang w:val="en-US" w:eastAsia="zh-CN"/>
                    </w:rPr>
                  </w:pPr>
                  <w:r>
                    <w:rPr>
                      <w:rFonts w:hint="eastAsia"/>
                      <w:b/>
                      <w:bCs/>
                      <w:lang w:val="en-US" w:eastAsia="zh-CN"/>
                    </w:rPr>
                    <w:t>700</w:t>
                  </w:r>
                </w:p>
              </w:tc>
              <w:tc>
                <w:tcPr>
                  <w:tcW w:w="735" w:type="pct"/>
                  <w:shd w:val="clear" w:color="auto" w:fill="auto"/>
                  <w:vAlign w:val="center"/>
                </w:tcPr>
                <w:p w14:paraId="02E48C42">
                  <w:pPr>
                    <w:pStyle w:val="41"/>
                    <w:bidi w:val="0"/>
                    <w:jc w:val="center"/>
                    <w:rPr>
                      <w:rFonts w:hint="default"/>
                      <w:b/>
                      <w:bCs/>
                      <w:lang w:val="en-US" w:eastAsia="zh-CN"/>
                    </w:rPr>
                  </w:pPr>
                  <w:r>
                    <w:rPr>
                      <w:rFonts w:hint="eastAsia"/>
                      <w:b/>
                      <w:bCs/>
                      <w:lang w:val="en-US" w:eastAsia="zh-CN"/>
                    </w:rPr>
                    <w:t>700</w:t>
                  </w:r>
                </w:p>
              </w:tc>
              <w:tc>
                <w:tcPr>
                  <w:tcW w:w="696" w:type="pct"/>
                  <w:shd w:val="clear" w:color="auto" w:fill="auto"/>
                  <w:vAlign w:val="center"/>
                </w:tcPr>
                <w:p w14:paraId="318FA752">
                  <w:pPr>
                    <w:pStyle w:val="41"/>
                    <w:bidi w:val="0"/>
                    <w:jc w:val="center"/>
                    <w:rPr>
                      <w:rFonts w:hint="default"/>
                      <w:b/>
                      <w:bCs/>
                      <w:lang w:val="en-US" w:eastAsia="zh-CN"/>
                    </w:rPr>
                  </w:pPr>
                  <w:r>
                    <w:rPr>
                      <w:rFonts w:hint="eastAsia"/>
                      <w:b/>
                      <w:bCs/>
                      <w:lang w:val="en-US" w:eastAsia="zh-CN"/>
                    </w:rPr>
                    <w:t>0</w:t>
                  </w:r>
                </w:p>
              </w:tc>
              <w:tc>
                <w:tcPr>
                  <w:tcW w:w="637" w:type="pct"/>
                  <w:shd w:val="clear" w:color="auto" w:fill="auto"/>
                  <w:vAlign w:val="center"/>
                </w:tcPr>
                <w:p w14:paraId="54A70A61">
                  <w:pPr>
                    <w:pStyle w:val="41"/>
                    <w:bidi w:val="0"/>
                    <w:jc w:val="center"/>
                    <w:rPr>
                      <w:rFonts w:hint="default"/>
                      <w:b/>
                      <w:bCs/>
                      <w:lang w:val="en-US" w:eastAsia="zh-CN"/>
                    </w:rPr>
                  </w:pPr>
                  <w:r>
                    <w:rPr>
                      <w:rFonts w:hint="eastAsia"/>
                      <w:b/>
                      <w:bCs/>
                      <w:lang w:val="en-US" w:eastAsia="zh-CN"/>
                    </w:rPr>
                    <w:t>/</w:t>
                  </w:r>
                </w:p>
              </w:tc>
            </w:tr>
          </w:tbl>
          <w:p w14:paraId="43B9D668">
            <w:pPr>
              <w:pStyle w:val="41"/>
              <w:bidi w:val="0"/>
              <w:rPr>
                <w:rFonts w:hint="eastAsia"/>
                <w:lang w:eastAsia="zh-CN"/>
              </w:rPr>
            </w:pPr>
          </w:p>
        </w:tc>
      </w:tr>
    </w:tbl>
    <w:p w14:paraId="1AFC5719">
      <w:pPr>
        <w:bidi w:val="0"/>
        <w:rPr>
          <w:color w:val="auto"/>
          <w:highlight w:val="none"/>
        </w:rPr>
        <w:sectPr>
          <w:footerReference r:id="rId7" w:type="default"/>
          <w:pgSz w:w="11907" w:h="16840"/>
          <w:pgMar w:top="1440" w:right="1800" w:bottom="1440" w:left="1800" w:header="851" w:footer="851" w:gutter="0"/>
          <w:pgBorders>
            <w:top w:val="none" w:sz="0" w:space="0"/>
            <w:left w:val="none" w:sz="0" w:space="0"/>
            <w:bottom w:val="none" w:sz="0" w:space="0"/>
            <w:right w:val="none" w:sz="0" w:space="0"/>
          </w:pgBorders>
          <w:pgNumType w:fmt="decimal" w:start="1"/>
          <w:cols w:space="720" w:num="1"/>
          <w:docGrid w:linePitch="312"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3704"/>
      </w:tblGrid>
      <w:tr w14:paraId="3F41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5" w:hRule="atLeast"/>
        </w:trPr>
        <w:tc>
          <w:tcPr>
            <w:tcW w:w="472" w:type="dxa"/>
            <w:vAlign w:val="center"/>
          </w:tcPr>
          <w:p w14:paraId="41A617D3">
            <w:pPr>
              <w:bidi w:val="0"/>
              <w:spacing w:line="240" w:lineRule="auto"/>
              <w:jc w:val="center"/>
              <w:rPr>
                <w:color w:val="auto"/>
                <w:highlight w:val="none"/>
                <w:vertAlign w:val="baseline"/>
              </w:rPr>
            </w:pPr>
            <w:r>
              <w:rPr>
                <w:rFonts w:ascii="Times New Roman" w:hAnsi="Times New Roman"/>
                <w:b/>
                <w:bCs/>
                <w:color w:val="auto"/>
                <w:szCs w:val="24"/>
                <w:highlight w:val="none"/>
              </w:rPr>
              <w:t>建设内容</w:t>
            </w:r>
          </w:p>
        </w:tc>
        <w:tc>
          <w:tcPr>
            <w:tcW w:w="13704" w:type="dxa"/>
          </w:tcPr>
          <w:p w14:paraId="413906BF">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sz w:val="24"/>
                <w:highlight w:val="none"/>
              </w:rPr>
            </w:pPr>
            <w:r>
              <w:rPr>
                <w:b/>
                <w:bCs/>
                <w:color w:val="auto"/>
                <w:sz w:val="24"/>
                <w:highlight w:val="none"/>
              </w:rPr>
              <w:t>4</w:t>
            </w:r>
            <w:r>
              <w:rPr>
                <w:b/>
                <w:bCs/>
                <w:color w:val="auto"/>
                <w:sz w:val="24"/>
                <w:highlight w:val="none"/>
                <w:lang w:val="zh-CN"/>
              </w:rPr>
              <w:t>、</w:t>
            </w:r>
            <w:r>
              <w:rPr>
                <w:b/>
                <w:bCs/>
                <w:color w:val="auto"/>
                <w:sz w:val="24"/>
                <w:highlight w:val="none"/>
              </w:rPr>
              <w:t>建设内容</w:t>
            </w:r>
          </w:p>
          <w:p w14:paraId="38FA71A0">
            <w:pPr>
              <w:pStyle w:val="44"/>
              <w:bidi w:val="0"/>
            </w:pPr>
            <w:r>
              <w:t>主要建设内容</w:t>
            </w:r>
          </w:p>
          <w:tbl>
            <w:tblPr>
              <w:tblStyle w:val="32"/>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554"/>
              <w:gridCol w:w="453"/>
              <w:gridCol w:w="453"/>
              <w:gridCol w:w="585"/>
              <w:gridCol w:w="1280"/>
              <w:gridCol w:w="3979"/>
              <w:gridCol w:w="3845"/>
              <w:gridCol w:w="1472"/>
              <w:gridCol w:w="855"/>
            </w:tblGrid>
            <w:tr w14:paraId="34B3792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1233" w:type="pct"/>
                  <w:gridSpan w:val="5"/>
                  <w:vMerge w:val="restart"/>
                  <w:tcBorders>
                    <w:tl2br w:val="nil"/>
                    <w:tr2bl w:val="nil"/>
                  </w:tcBorders>
                  <w:vAlign w:val="center"/>
                </w:tcPr>
                <w:p w14:paraId="4858943A">
                  <w:pPr>
                    <w:pStyle w:val="41"/>
                    <w:keepNext w:val="0"/>
                    <w:keepLines w:val="0"/>
                    <w:pageBreakBefore w:val="0"/>
                    <w:widowControl w:val="0"/>
                    <w:kinsoku/>
                    <w:wordWrap/>
                    <w:overflowPunct/>
                    <w:topLinePunct w:val="0"/>
                    <w:autoSpaceDE/>
                    <w:autoSpaceDN/>
                    <w:bidi w:val="0"/>
                    <w:adjustRightInd w:val="0"/>
                    <w:snapToGrid w:val="0"/>
                    <w:textAlignment w:val="auto"/>
                    <w:rPr>
                      <w:b/>
                      <w:bCs/>
                      <w:color w:val="auto"/>
                      <w:highlight w:val="none"/>
                    </w:rPr>
                  </w:pPr>
                  <w:r>
                    <w:rPr>
                      <w:b/>
                      <w:bCs/>
                      <w:color w:val="auto"/>
                      <w:highlight w:val="none"/>
                    </w:rPr>
                    <w:t>建设名称</w:t>
                  </w:r>
                </w:p>
              </w:tc>
              <w:tc>
                <w:tcPr>
                  <w:tcW w:w="3449" w:type="pct"/>
                  <w:gridSpan w:val="3"/>
                  <w:tcBorders>
                    <w:tl2br w:val="nil"/>
                    <w:tr2bl w:val="nil"/>
                  </w:tcBorders>
                  <w:vAlign w:val="center"/>
                </w:tcPr>
                <w:p w14:paraId="1B9D56B8">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b/>
                      <w:bCs/>
                      <w:color w:val="auto"/>
                      <w:highlight w:val="none"/>
                      <w:lang w:val="en-US" w:eastAsia="zh-CN"/>
                    </w:rPr>
                  </w:pPr>
                  <w:r>
                    <w:rPr>
                      <w:rFonts w:hint="eastAsia"/>
                      <w:b/>
                      <w:bCs/>
                      <w:color w:val="auto"/>
                      <w:highlight w:val="none"/>
                      <w:lang w:val="en-US" w:eastAsia="zh-CN"/>
                    </w:rPr>
                    <w:t>设计能力</w:t>
                  </w:r>
                </w:p>
              </w:tc>
              <w:tc>
                <w:tcPr>
                  <w:tcW w:w="317" w:type="pct"/>
                  <w:vMerge w:val="restart"/>
                  <w:tcBorders>
                    <w:tl2br w:val="nil"/>
                    <w:tr2bl w:val="nil"/>
                  </w:tcBorders>
                  <w:vAlign w:val="center"/>
                </w:tcPr>
                <w:p w14:paraId="60BC582B">
                  <w:pPr>
                    <w:pStyle w:val="41"/>
                    <w:keepNext w:val="0"/>
                    <w:keepLines w:val="0"/>
                    <w:pageBreakBefore w:val="0"/>
                    <w:widowControl w:val="0"/>
                    <w:kinsoku/>
                    <w:wordWrap/>
                    <w:overflowPunct/>
                    <w:topLinePunct w:val="0"/>
                    <w:autoSpaceDE/>
                    <w:autoSpaceDN/>
                    <w:bidi w:val="0"/>
                    <w:adjustRightInd w:val="0"/>
                    <w:snapToGrid w:val="0"/>
                    <w:textAlignment w:val="auto"/>
                    <w:rPr>
                      <w:b/>
                      <w:bCs/>
                      <w:color w:val="auto"/>
                      <w:highlight w:val="none"/>
                    </w:rPr>
                  </w:pPr>
                  <w:r>
                    <w:rPr>
                      <w:b/>
                      <w:bCs/>
                      <w:color w:val="auto"/>
                      <w:highlight w:val="none"/>
                    </w:rPr>
                    <w:t>备注</w:t>
                  </w:r>
                </w:p>
              </w:tc>
            </w:tr>
            <w:tr w14:paraId="70F05EF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1233" w:type="pct"/>
                  <w:gridSpan w:val="5"/>
                  <w:vMerge w:val="continue"/>
                  <w:tcBorders>
                    <w:tl2br w:val="nil"/>
                    <w:tr2bl w:val="nil"/>
                  </w:tcBorders>
                  <w:vAlign w:val="center"/>
                </w:tcPr>
                <w:p w14:paraId="43B3656F">
                  <w:pPr>
                    <w:pStyle w:val="41"/>
                    <w:keepNext w:val="0"/>
                    <w:keepLines w:val="0"/>
                    <w:pageBreakBefore w:val="0"/>
                    <w:widowControl w:val="0"/>
                    <w:kinsoku/>
                    <w:wordWrap/>
                    <w:overflowPunct/>
                    <w:topLinePunct w:val="0"/>
                    <w:autoSpaceDE/>
                    <w:autoSpaceDN/>
                    <w:bidi w:val="0"/>
                    <w:adjustRightInd w:val="0"/>
                    <w:snapToGrid w:val="0"/>
                    <w:textAlignment w:val="auto"/>
                    <w:rPr>
                      <w:color w:val="auto"/>
                    </w:rPr>
                  </w:pPr>
                </w:p>
              </w:tc>
              <w:tc>
                <w:tcPr>
                  <w:tcW w:w="1476" w:type="pct"/>
                  <w:tcBorders>
                    <w:tl2br w:val="nil"/>
                    <w:tr2bl w:val="nil"/>
                  </w:tcBorders>
                  <w:shd w:val="clear" w:color="auto" w:fill="auto"/>
                  <w:vAlign w:val="center"/>
                </w:tcPr>
                <w:p w14:paraId="73348227">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b/>
                      <w:bCs/>
                      <w:color w:val="auto"/>
                      <w:kern w:val="0"/>
                      <w:sz w:val="21"/>
                      <w:szCs w:val="24"/>
                      <w:highlight w:val="none"/>
                      <w:lang w:val="en-US" w:eastAsia="zh-CN" w:bidi="ar-SA"/>
                    </w:rPr>
                  </w:pPr>
                  <w:r>
                    <w:rPr>
                      <w:rFonts w:hint="eastAsia"/>
                      <w:b/>
                      <w:bCs/>
                      <w:color w:val="auto"/>
                      <w:highlight w:val="none"/>
                      <w:lang w:val="en-US" w:eastAsia="zh-CN"/>
                    </w:rPr>
                    <w:t>改建前</w:t>
                  </w:r>
                </w:p>
              </w:tc>
              <w:tc>
                <w:tcPr>
                  <w:tcW w:w="1426" w:type="pct"/>
                  <w:tcBorders>
                    <w:tl2br w:val="nil"/>
                    <w:tr2bl w:val="nil"/>
                  </w:tcBorders>
                  <w:shd w:val="clear" w:color="auto" w:fill="auto"/>
                  <w:vAlign w:val="center"/>
                </w:tcPr>
                <w:p w14:paraId="6EDA1912">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b/>
                      <w:bCs/>
                      <w:color w:val="auto"/>
                      <w:kern w:val="0"/>
                      <w:sz w:val="21"/>
                      <w:szCs w:val="24"/>
                      <w:highlight w:val="none"/>
                      <w:lang w:val="en-US" w:eastAsia="zh-CN" w:bidi="ar-SA"/>
                    </w:rPr>
                  </w:pPr>
                  <w:r>
                    <w:rPr>
                      <w:rFonts w:hint="eastAsia"/>
                      <w:b/>
                      <w:bCs/>
                      <w:color w:val="auto"/>
                      <w:highlight w:val="none"/>
                      <w:lang w:val="en-US" w:eastAsia="zh-CN"/>
                    </w:rPr>
                    <w:t>改建后</w:t>
                  </w:r>
                </w:p>
              </w:tc>
              <w:tc>
                <w:tcPr>
                  <w:tcW w:w="546" w:type="pct"/>
                  <w:tcBorders>
                    <w:tl2br w:val="nil"/>
                    <w:tr2bl w:val="nil"/>
                  </w:tcBorders>
                  <w:shd w:val="clear" w:color="auto" w:fill="auto"/>
                  <w:vAlign w:val="center"/>
                </w:tcPr>
                <w:p w14:paraId="74443C4A">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b/>
                      <w:bCs/>
                      <w:color w:val="auto"/>
                      <w:kern w:val="0"/>
                      <w:sz w:val="21"/>
                      <w:szCs w:val="24"/>
                      <w:highlight w:val="none"/>
                      <w:lang w:val="en-US" w:eastAsia="zh-CN" w:bidi="ar-SA"/>
                    </w:rPr>
                  </w:pPr>
                  <w:r>
                    <w:rPr>
                      <w:rFonts w:hint="eastAsia"/>
                      <w:b/>
                      <w:bCs/>
                      <w:color w:val="auto"/>
                      <w:highlight w:val="none"/>
                      <w:lang w:val="en-US" w:eastAsia="zh-CN"/>
                    </w:rPr>
                    <w:t>变化情况</w:t>
                  </w:r>
                </w:p>
              </w:tc>
              <w:tc>
                <w:tcPr>
                  <w:tcW w:w="317" w:type="pct"/>
                  <w:vMerge w:val="continue"/>
                  <w:tcBorders>
                    <w:tl2br w:val="nil"/>
                    <w:tr2bl w:val="nil"/>
                  </w:tcBorders>
                  <w:vAlign w:val="center"/>
                </w:tcPr>
                <w:p w14:paraId="34AFD2B0">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b/>
                      <w:bCs/>
                      <w:color w:val="auto"/>
                      <w:highlight w:val="none"/>
                      <w:lang w:val="en-US" w:eastAsia="zh-CN"/>
                    </w:rPr>
                  </w:pPr>
                </w:p>
              </w:tc>
            </w:tr>
            <w:tr w14:paraId="219E638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restart"/>
                  <w:tcBorders>
                    <w:tl2br w:val="nil"/>
                    <w:tr2bl w:val="nil"/>
                  </w:tcBorders>
                  <w:vAlign w:val="center"/>
                </w:tcPr>
                <w:p w14:paraId="4448CFB0">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color w:val="auto"/>
                      <w:highlight w:val="none"/>
                    </w:rPr>
                    <w:t>主体工程</w:t>
                  </w:r>
                </w:p>
              </w:tc>
              <w:tc>
                <w:tcPr>
                  <w:tcW w:w="1028" w:type="pct"/>
                  <w:gridSpan w:val="4"/>
                  <w:tcBorders>
                    <w:tl2br w:val="nil"/>
                    <w:tr2bl w:val="nil"/>
                  </w:tcBorders>
                  <w:vAlign w:val="center"/>
                </w:tcPr>
                <w:p w14:paraId="5CB1FBFB">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1号楼</w:t>
                  </w:r>
                </w:p>
              </w:tc>
              <w:tc>
                <w:tcPr>
                  <w:tcW w:w="1476" w:type="pct"/>
                  <w:tcBorders>
                    <w:tl2br w:val="nil"/>
                    <w:tr2bl w:val="nil"/>
                  </w:tcBorders>
                  <w:vAlign w:val="center"/>
                </w:tcPr>
                <w:p w14:paraId="7C9E4444">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建设中，闲置</w:t>
                  </w:r>
                </w:p>
              </w:tc>
              <w:tc>
                <w:tcPr>
                  <w:tcW w:w="1426" w:type="pct"/>
                  <w:tcBorders>
                    <w:tl2br w:val="nil"/>
                    <w:tr2bl w:val="nil"/>
                  </w:tcBorders>
                  <w:vAlign w:val="center"/>
                </w:tcPr>
                <w:p w14:paraId="4B5C2396">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共19层，主要进行中药研发，研发方向为中药活性筛选与早期评价、免疫组学、代谢组学、肠道微生物组学、结构生物学、基因组学、生物信息学、短小蛇根草苷、短小蛇根草苷的衍生物、金黄凝胶、天然产物结构修饰、七味通痹口服液药物代谢实验、玉女煎成分分析、止痒颗粒，进行实验4000例/年</w:t>
                  </w:r>
                </w:p>
              </w:tc>
              <w:tc>
                <w:tcPr>
                  <w:tcW w:w="546" w:type="pct"/>
                  <w:tcBorders>
                    <w:tl2br w:val="nil"/>
                    <w:tr2bl w:val="nil"/>
                  </w:tcBorders>
                  <w:vAlign w:val="center"/>
                </w:tcPr>
                <w:p w14:paraId="2419289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3号楼、5号楼中药实验室搬迁至1号楼，新增4项研发内容，新增实验2840例/年</w:t>
                  </w:r>
                </w:p>
              </w:tc>
              <w:tc>
                <w:tcPr>
                  <w:tcW w:w="317" w:type="pct"/>
                  <w:tcBorders>
                    <w:tl2br w:val="nil"/>
                    <w:tr2bl w:val="nil"/>
                  </w:tcBorders>
                  <w:vAlign w:val="center"/>
                </w:tcPr>
                <w:p w14:paraId="1E75665A">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highlight w:val="none"/>
                      <w:lang w:eastAsia="zh-CN"/>
                    </w:rPr>
                  </w:pPr>
                  <w:r>
                    <w:rPr>
                      <w:rFonts w:hint="eastAsia"/>
                      <w:color w:val="auto"/>
                      <w:highlight w:val="none"/>
                      <w:lang w:val="en-US" w:eastAsia="zh-CN"/>
                    </w:rPr>
                    <w:t>依托建成后建筑改造</w:t>
                  </w:r>
                </w:p>
              </w:tc>
            </w:tr>
            <w:tr w14:paraId="7C31596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74703ED0">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028" w:type="pct"/>
                  <w:gridSpan w:val="4"/>
                  <w:tcBorders>
                    <w:tl2br w:val="nil"/>
                    <w:tr2bl w:val="nil"/>
                  </w:tcBorders>
                  <w:vAlign w:val="center"/>
                </w:tcPr>
                <w:p w14:paraId="785D6EEB">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rPr>
                  </w:pPr>
                  <w:r>
                    <w:rPr>
                      <w:rFonts w:hint="eastAsia"/>
                      <w:color w:val="auto"/>
                      <w:highlight w:val="none"/>
                      <w:lang w:val="en-US" w:eastAsia="zh-CN"/>
                    </w:rPr>
                    <w:t>3号楼</w:t>
                  </w:r>
                </w:p>
              </w:tc>
              <w:tc>
                <w:tcPr>
                  <w:tcW w:w="1476" w:type="pct"/>
                  <w:tcBorders>
                    <w:tl2br w:val="nil"/>
                    <w:tr2bl w:val="nil"/>
                  </w:tcBorders>
                  <w:vAlign w:val="center"/>
                </w:tcPr>
                <w:p w14:paraId="3338968A">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共4层，主要进行中药研发，研发方向为中药活性筛选与早期评价、免疫组学、代谢组学、肠道微生物组学、结构生物学、基因组学、生物信息学，进行实验560例/年</w:t>
                  </w:r>
                </w:p>
              </w:tc>
              <w:tc>
                <w:tcPr>
                  <w:tcW w:w="1426" w:type="pct"/>
                  <w:tcBorders>
                    <w:tl2br w:val="nil"/>
                    <w:tr2bl w:val="nil"/>
                  </w:tcBorders>
                  <w:vAlign w:val="center"/>
                </w:tcPr>
                <w:p w14:paraId="4D80F8C4">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共4层，暂时闲置</w:t>
                  </w:r>
                </w:p>
              </w:tc>
              <w:tc>
                <w:tcPr>
                  <w:tcW w:w="546" w:type="pct"/>
                  <w:tcBorders>
                    <w:tl2br w:val="nil"/>
                    <w:tr2bl w:val="nil"/>
                  </w:tcBorders>
                  <w:vAlign w:val="center"/>
                </w:tcPr>
                <w:p w14:paraId="4073B1B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搬迁至1号楼</w:t>
                  </w:r>
                </w:p>
              </w:tc>
              <w:tc>
                <w:tcPr>
                  <w:tcW w:w="317" w:type="pct"/>
                  <w:tcBorders>
                    <w:tl2br w:val="nil"/>
                    <w:tr2bl w:val="nil"/>
                  </w:tcBorders>
                  <w:vAlign w:val="center"/>
                </w:tcPr>
                <w:p w14:paraId="067CF1D6">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highlight w:val="none"/>
                      <w:lang w:eastAsia="zh-CN"/>
                    </w:rPr>
                  </w:pPr>
                  <w:r>
                    <w:rPr>
                      <w:rFonts w:hint="eastAsia"/>
                      <w:bCs/>
                      <w:color w:val="auto"/>
                      <w:kern w:val="28"/>
                      <w:sz w:val="21"/>
                      <w:szCs w:val="21"/>
                      <w:highlight w:val="none"/>
                    </w:rPr>
                    <w:t>依托现有</w:t>
                  </w:r>
                  <w:r>
                    <w:rPr>
                      <w:rFonts w:hint="eastAsia"/>
                      <w:bCs/>
                      <w:color w:val="auto"/>
                      <w:kern w:val="28"/>
                      <w:sz w:val="21"/>
                      <w:szCs w:val="21"/>
                      <w:highlight w:val="none"/>
                      <w:lang w:val="en-US" w:eastAsia="zh-CN"/>
                    </w:rPr>
                    <w:t>建筑</w:t>
                  </w:r>
                </w:p>
              </w:tc>
            </w:tr>
            <w:tr w14:paraId="61FB526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1B8821EC">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028" w:type="pct"/>
                  <w:gridSpan w:val="4"/>
                  <w:tcBorders>
                    <w:tl2br w:val="nil"/>
                    <w:tr2bl w:val="nil"/>
                  </w:tcBorders>
                  <w:vAlign w:val="center"/>
                </w:tcPr>
                <w:p w14:paraId="226F4438">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5号楼</w:t>
                  </w:r>
                </w:p>
              </w:tc>
              <w:tc>
                <w:tcPr>
                  <w:tcW w:w="1476" w:type="pct"/>
                  <w:tcBorders>
                    <w:tl2br w:val="nil"/>
                    <w:tr2bl w:val="nil"/>
                  </w:tcBorders>
                  <w:vAlign w:val="center"/>
                </w:tcPr>
                <w:p w14:paraId="1A9DD1D7">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共4层，主要进行中药研发，研发方向为短小蛇根草苷、短小蛇根草苷的衍生物、金黄凝胶，进行实验600例/年</w:t>
                  </w:r>
                </w:p>
              </w:tc>
              <w:tc>
                <w:tcPr>
                  <w:tcW w:w="1426" w:type="pct"/>
                  <w:tcBorders>
                    <w:tl2br w:val="nil"/>
                    <w:tr2bl w:val="nil"/>
                  </w:tcBorders>
                  <w:vAlign w:val="center"/>
                </w:tcPr>
                <w:p w14:paraId="09A08ED8">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共4层，暂时闲置</w:t>
                  </w:r>
                </w:p>
              </w:tc>
              <w:tc>
                <w:tcPr>
                  <w:tcW w:w="546" w:type="pct"/>
                  <w:tcBorders>
                    <w:tl2br w:val="nil"/>
                    <w:tr2bl w:val="nil"/>
                  </w:tcBorders>
                  <w:shd w:val="clear" w:color="auto" w:fill="auto"/>
                  <w:vAlign w:val="center"/>
                </w:tcPr>
                <w:p w14:paraId="29154890">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搬迁至1号楼</w:t>
                  </w:r>
                </w:p>
              </w:tc>
              <w:tc>
                <w:tcPr>
                  <w:tcW w:w="317" w:type="pct"/>
                  <w:tcBorders>
                    <w:tl2br w:val="nil"/>
                    <w:tr2bl w:val="nil"/>
                  </w:tcBorders>
                  <w:shd w:val="clear" w:color="auto" w:fill="auto"/>
                  <w:vAlign w:val="center"/>
                </w:tcPr>
                <w:p w14:paraId="33114E94">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bCs/>
                      <w:color w:val="auto"/>
                      <w:kern w:val="28"/>
                      <w:sz w:val="21"/>
                      <w:szCs w:val="21"/>
                      <w:highlight w:val="none"/>
                    </w:rPr>
                    <w:t>依托现有</w:t>
                  </w:r>
                  <w:r>
                    <w:rPr>
                      <w:rFonts w:hint="eastAsia"/>
                      <w:bCs/>
                      <w:color w:val="auto"/>
                      <w:kern w:val="28"/>
                      <w:sz w:val="21"/>
                      <w:szCs w:val="21"/>
                      <w:highlight w:val="none"/>
                      <w:lang w:val="en-US" w:eastAsia="zh-CN"/>
                    </w:rPr>
                    <w:t>建筑</w:t>
                  </w:r>
                </w:p>
              </w:tc>
            </w:tr>
            <w:tr w14:paraId="36FCB01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3C57319F">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028" w:type="pct"/>
                  <w:gridSpan w:val="4"/>
                  <w:tcBorders>
                    <w:tl2br w:val="nil"/>
                    <w:tr2bl w:val="nil"/>
                  </w:tcBorders>
                  <w:shd w:val="clear" w:color="auto" w:fill="auto"/>
                  <w:vAlign w:val="center"/>
                </w:tcPr>
                <w:p w14:paraId="6ACA084E">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6号楼</w:t>
                  </w:r>
                </w:p>
              </w:tc>
              <w:tc>
                <w:tcPr>
                  <w:tcW w:w="1476" w:type="pct"/>
                  <w:tcBorders>
                    <w:tl2br w:val="nil"/>
                    <w:tr2bl w:val="nil"/>
                  </w:tcBorders>
                  <w:vAlign w:val="center"/>
                </w:tcPr>
                <w:p w14:paraId="55886D23">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共4层，主要进行生物药研发，研发方向为重组蛋白药物、诊断试剂研发，进行实验400例/年</w:t>
                  </w:r>
                </w:p>
              </w:tc>
              <w:tc>
                <w:tcPr>
                  <w:tcW w:w="1426" w:type="pct"/>
                  <w:tcBorders>
                    <w:tl2br w:val="nil"/>
                    <w:tr2bl w:val="nil"/>
                  </w:tcBorders>
                  <w:vAlign w:val="center"/>
                </w:tcPr>
                <w:p w14:paraId="4D5FA234">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共4层，主要进行生物药研发，研发方向为重组蛋白药物、诊断试剂研发，进行实验400例/年</w:t>
                  </w:r>
                </w:p>
              </w:tc>
              <w:tc>
                <w:tcPr>
                  <w:tcW w:w="546" w:type="pct"/>
                  <w:tcBorders>
                    <w:tl2br w:val="nil"/>
                    <w:tr2bl w:val="nil"/>
                  </w:tcBorders>
                  <w:shd w:val="clear" w:color="auto" w:fill="auto"/>
                  <w:vAlign w:val="center"/>
                </w:tcPr>
                <w:p w14:paraId="0997FC9E">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w:t>
                  </w:r>
                </w:p>
              </w:tc>
              <w:tc>
                <w:tcPr>
                  <w:tcW w:w="317" w:type="pct"/>
                  <w:tcBorders>
                    <w:tl2br w:val="nil"/>
                    <w:tr2bl w:val="nil"/>
                  </w:tcBorders>
                  <w:shd w:val="clear" w:color="auto" w:fill="auto"/>
                  <w:vAlign w:val="center"/>
                </w:tcPr>
                <w:p w14:paraId="6E96C69C">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bCs/>
                      <w:color w:val="auto"/>
                      <w:kern w:val="28"/>
                      <w:sz w:val="21"/>
                      <w:szCs w:val="21"/>
                      <w:highlight w:val="none"/>
                    </w:rPr>
                    <w:t>依托现有</w:t>
                  </w:r>
                  <w:r>
                    <w:rPr>
                      <w:rFonts w:hint="eastAsia"/>
                      <w:bCs/>
                      <w:color w:val="auto"/>
                      <w:kern w:val="28"/>
                      <w:sz w:val="21"/>
                      <w:szCs w:val="21"/>
                      <w:highlight w:val="none"/>
                      <w:lang w:val="en-US" w:eastAsia="zh-CN"/>
                    </w:rPr>
                    <w:t>建筑</w:t>
                  </w:r>
                </w:p>
              </w:tc>
            </w:tr>
            <w:tr w14:paraId="7399ED4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1004412F">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028" w:type="pct"/>
                  <w:gridSpan w:val="4"/>
                  <w:tcBorders>
                    <w:tl2br w:val="nil"/>
                    <w:tr2bl w:val="nil"/>
                  </w:tcBorders>
                  <w:shd w:val="clear" w:color="auto" w:fill="auto"/>
                  <w:vAlign w:val="center"/>
                </w:tcPr>
                <w:p w14:paraId="6ACCC9B3">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7号楼</w:t>
                  </w:r>
                </w:p>
              </w:tc>
              <w:tc>
                <w:tcPr>
                  <w:tcW w:w="1476" w:type="pct"/>
                  <w:tcBorders>
                    <w:tl2br w:val="nil"/>
                    <w:tr2bl w:val="nil"/>
                  </w:tcBorders>
                  <w:vAlign w:val="center"/>
                </w:tcPr>
                <w:p w14:paraId="191A76C3">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共4层，主要进行生物药研发，研发方向为重组蛋白类药物、微生物药敏诊断试剂，进行实验700例/年</w:t>
                  </w:r>
                </w:p>
              </w:tc>
              <w:tc>
                <w:tcPr>
                  <w:tcW w:w="1426" w:type="pct"/>
                  <w:tcBorders>
                    <w:tl2br w:val="nil"/>
                    <w:tr2bl w:val="nil"/>
                  </w:tcBorders>
                  <w:vAlign w:val="center"/>
                </w:tcPr>
                <w:p w14:paraId="0861A874">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共4层，主要进行生物药研发，研发方向为重组蛋白类药物、微生物药敏诊断试剂，进行实验700例/年</w:t>
                  </w:r>
                </w:p>
              </w:tc>
              <w:tc>
                <w:tcPr>
                  <w:tcW w:w="546" w:type="pct"/>
                  <w:tcBorders>
                    <w:tl2br w:val="nil"/>
                    <w:tr2bl w:val="nil"/>
                  </w:tcBorders>
                  <w:shd w:val="clear" w:color="auto" w:fill="auto"/>
                  <w:vAlign w:val="center"/>
                </w:tcPr>
                <w:p w14:paraId="45785D65">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w:t>
                  </w:r>
                </w:p>
              </w:tc>
              <w:tc>
                <w:tcPr>
                  <w:tcW w:w="317" w:type="pct"/>
                  <w:tcBorders>
                    <w:tl2br w:val="nil"/>
                    <w:tr2bl w:val="nil"/>
                  </w:tcBorders>
                  <w:shd w:val="clear" w:color="auto" w:fill="auto"/>
                  <w:vAlign w:val="center"/>
                </w:tcPr>
                <w:p w14:paraId="5BC6C247">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bCs/>
                      <w:color w:val="auto"/>
                      <w:kern w:val="28"/>
                      <w:sz w:val="21"/>
                      <w:szCs w:val="21"/>
                      <w:highlight w:val="none"/>
                    </w:rPr>
                    <w:t>依托现有</w:t>
                  </w:r>
                  <w:r>
                    <w:rPr>
                      <w:rFonts w:hint="eastAsia"/>
                      <w:bCs/>
                      <w:color w:val="auto"/>
                      <w:kern w:val="28"/>
                      <w:sz w:val="21"/>
                      <w:szCs w:val="21"/>
                      <w:highlight w:val="none"/>
                      <w:lang w:val="en-US" w:eastAsia="zh-CN"/>
                    </w:rPr>
                    <w:t>建筑</w:t>
                  </w:r>
                </w:p>
              </w:tc>
            </w:tr>
            <w:tr w14:paraId="5588E5C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71A26644">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028" w:type="pct"/>
                  <w:gridSpan w:val="4"/>
                  <w:tcBorders>
                    <w:tl2br w:val="nil"/>
                    <w:tr2bl w:val="nil"/>
                  </w:tcBorders>
                  <w:shd w:val="clear" w:color="auto" w:fill="auto"/>
                  <w:vAlign w:val="center"/>
                </w:tcPr>
                <w:p w14:paraId="0D10D6FD">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highlight w:val="none"/>
                      <w:lang w:val="en-US" w:eastAsia="zh-CN"/>
                    </w:rPr>
                  </w:pPr>
                  <w:r>
                    <w:rPr>
                      <w:rFonts w:hint="eastAsia"/>
                      <w:color w:val="auto"/>
                      <w:highlight w:val="none"/>
                      <w:lang w:val="en-US" w:eastAsia="zh-CN"/>
                    </w:rPr>
                    <w:t>8号楼</w:t>
                  </w:r>
                </w:p>
              </w:tc>
              <w:tc>
                <w:tcPr>
                  <w:tcW w:w="1476" w:type="pct"/>
                  <w:tcBorders>
                    <w:tl2br w:val="nil"/>
                    <w:tr2bl w:val="nil"/>
                  </w:tcBorders>
                  <w:vAlign w:val="center"/>
                </w:tcPr>
                <w:p w14:paraId="4916244E">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办公楼</w:t>
                  </w:r>
                </w:p>
              </w:tc>
              <w:tc>
                <w:tcPr>
                  <w:tcW w:w="1426" w:type="pct"/>
                  <w:tcBorders>
                    <w:tl2br w:val="nil"/>
                    <w:tr2bl w:val="nil"/>
                  </w:tcBorders>
                  <w:vAlign w:val="center"/>
                </w:tcPr>
                <w:p w14:paraId="27C8342E">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办公楼</w:t>
                  </w:r>
                </w:p>
              </w:tc>
              <w:tc>
                <w:tcPr>
                  <w:tcW w:w="546" w:type="pct"/>
                  <w:tcBorders>
                    <w:tl2br w:val="nil"/>
                    <w:tr2bl w:val="nil"/>
                  </w:tcBorders>
                  <w:shd w:val="clear" w:color="auto" w:fill="auto"/>
                  <w:vAlign w:val="center"/>
                </w:tcPr>
                <w:p w14:paraId="17BBE603">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w:t>
                  </w:r>
                </w:p>
              </w:tc>
              <w:tc>
                <w:tcPr>
                  <w:tcW w:w="317" w:type="pct"/>
                  <w:tcBorders>
                    <w:tl2br w:val="nil"/>
                    <w:tr2bl w:val="nil"/>
                  </w:tcBorders>
                  <w:shd w:val="clear" w:color="auto" w:fill="auto"/>
                  <w:vAlign w:val="center"/>
                </w:tcPr>
                <w:p w14:paraId="360F9968">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bCs/>
                      <w:color w:val="auto"/>
                      <w:kern w:val="28"/>
                      <w:sz w:val="21"/>
                      <w:szCs w:val="21"/>
                      <w:highlight w:val="none"/>
                    </w:rPr>
                    <w:t>依托现有</w:t>
                  </w:r>
                  <w:r>
                    <w:rPr>
                      <w:rFonts w:hint="eastAsia"/>
                      <w:bCs/>
                      <w:color w:val="auto"/>
                      <w:kern w:val="28"/>
                      <w:sz w:val="21"/>
                      <w:szCs w:val="21"/>
                      <w:highlight w:val="none"/>
                      <w:lang w:val="en-US" w:eastAsia="zh-CN"/>
                    </w:rPr>
                    <w:t>建筑</w:t>
                  </w:r>
                </w:p>
              </w:tc>
            </w:tr>
            <w:tr w14:paraId="6D45DF3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restart"/>
                  <w:tcBorders>
                    <w:tl2br w:val="nil"/>
                    <w:tr2bl w:val="nil"/>
                  </w:tcBorders>
                  <w:vAlign w:val="center"/>
                </w:tcPr>
                <w:p w14:paraId="295E436A">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color w:val="auto"/>
                      <w:highlight w:val="none"/>
                    </w:rPr>
                    <w:t>公用</w:t>
                  </w:r>
                </w:p>
                <w:p w14:paraId="66BA6F1E">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color w:val="auto"/>
                      <w:highlight w:val="none"/>
                    </w:rPr>
                    <w:t>工程</w:t>
                  </w:r>
                </w:p>
              </w:tc>
              <w:tc>
                <w:tcPr>
                  <w:tcW w:w="1028" w:type="pct"/>
                  <w:gridSpan w:val="4"/>
                  <w:tcBorders>
                    <w:tl2br w:val="nil"/>
                    <w:tr2bl w:val="nil"/>
                  </w:tcBorders>
                  <w:vAlign w:val="center"/>
                </w:tcPr>
                <w:p w14:paraId="52B2D83B">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color w:val="auto"/>
                      <w:highlight w:val="none"/>
                    </w:rPr>
                    <w:t>给水</w:t>
                  </w:r>
                </w:p>
              </w:tc>
              <w:tc>
                <w:tcPr>
                  <w:tcW w:w="1476" w:type="pct"/>
                  <w:tcBorders>
                    <w:tl2br w:val="nil"/>
                    <w:tr2bl w:val="nil"/>
                  </w:tcBorders>
                  <w:vAlign w:val="center"/>
                </w:tcPr>
                <w:p w14:paraId="444B9BDA">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33627.55</w:t>
                  </w:r>
                  <w:r>
                    <w:rPr>
                      <w:rFonts w:hint="eastAsia"/>
                      <w:color w:val="auto"/>
                      <w:highlight w:val="none"/>
                    </w:rPr>
                    <w:t>t/a</w:t>
                  </w:r>
                </w:p>
              </w:tc>
              <w:tc>
                <w:tcPr>
                  <w:tcW w:w="1426" w:type="pct"/>
                  <w:tcBorders>
                    <w:tl2br w:val="nil"/>
                    <w:tr2bl w:val="nil"/>
                  </w:tcBorders>
                  <w:vAlign w:val="center"/>
                </w:tcPr>
                <w:p w14:paraId="43E5A8A8">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lang w:val="en-US" w:eastAsia="zh-CN"/>
                    </w:rPr>
                    <w:t>24864.9</w:t>
                  </w:r>
                  <w:r>
                    <w:rPr>
                      <w:rFonts w:hint="eastAsia"/>
                      <w:color w:val="auto"/>
                      <w:highlight w:val="none"/>
                    </w:rPr>
                    <w:t>t/a</w:t>
                  </w:r>
                </w:p>
              </w:tc>
              <w:tc>
                <w:tcPr>
                  <w:tcW w:w="546" w:type="pct"/>
                  <w:tcBorders>
                    <w:tl2br w:val="nil"/>
                    <w:tr2bl w:val="nil"/>
                  </w:tcBorders>
                  <w:shd w:val="clear" w:color="auto" w:fill="auto"/>
                  <w:vAlign w:val="center"/>
                </w:tcPr>
                <w:p w14:paraId="122DE72E">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-8762.65t/a</w:t>
                  </w:r>
                </w:p>
              </w:tc>
              <w:tc>
                <w:tcPr>
                  <w:tcW w:w="317" w:type="pct"/>
                  <w:tcBorders>
                    <w:tl2br w:val="nil"/>
                    <w:tr2bl w:val="nil"/>
                  </w:tcBorders>
                  <w:shd w:val="clear" w:color="auto" w:fill="auto"/>
                  <w:vAlign w:val="center"/>
                </w:tcPr>
                <w:p w14:paraId="0673A064">
                  <w:pPr>
                    <w:pStyle w:val="41"/>
                    <w:bidi w:val="0"/>
                    <w:rPr>
                      <w:rFonts w:hint="default"/>
                      <w:color w:val="auto"/>
                      <w:lang w:val="en-US" w:eastAsia="zh-CN"/>
                    </w:rPr>
                  </w:pPr>
                  <w:r>
                    <w:rPr>
                      <w:rFonts w:hint="eastAsia"/>
                      <w:color w:val="auto"/>
                    </w:rPr>
                    <w:t>依托现有</w:t>
                  </w:r>
                </w:p>
              </w:tc>
            </w:tr>
            <w:tr w14:paraId="437ECFA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72686A16">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028" w:type="pct"/>
                  <w:gridSpan w:val="4"/>
                  <w:tcBorders>
                    <w:tl2br w:val="nil"/>
                    <w:tr2bl w:val="nil"/>
                  </w:tcBorders>
                  <w:vAlign w:val="center"/>
                </w:tcPr>
                <w:p w14:paraId="5D6061A0">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color w:val="auto"/>
                      <w:highlight w:val="none"/>
                    </w:rPr>
                    <w:t>排水</w:t>
                  </w:r>
                </w:p>
              </w:tc>
              <w:tc>
                <w:tcPr>
                  <w:tcW w:w="1476" w:type="pct"/>
                  <w:tcBorders>
                    <w:tl2br w:val="nil"/>
                    <w:tr2bl w:val="nil"/>
                  </w:tcBorders>
                  <w:shd w:val="clear" w:color="auto" w:fill="auto"/>
                  <w:vAlign w:val="center"/>
                </w:tcPr>
                <w:p w14:paraId="262F2E65">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29225.05</w:t>
                  </w:r>
                  <w:r>
                    <w:rPr>
                      <w:rFonts w:hint="eastAsia"/>
                      <w:color w:val="auto"/>
                      <w:highlight w:val="none"/>
                    </w:rPr>
                    <w:t>t/a</w:t>
                  </w:r>
                </w:p>
              </w:tc>
              <w:tc>
                <w:tcPr>
                  <w:tcW w:w="1426" w:type="pct"/>
                  <w:tcBorders>
                    <w:tl2br w:val="nil"/>
                    <w:tr2bl w:val="nil"/>
                  </w:tcBorders>
                  <w:shd w:val="clear" w:color="auto" w:fill="auto"/>
                  <w:vAlign w:val="center"/>
                </w:tcPr>
                <w:p w14:paraId="7E535BCF">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19785.2</w:t>
                  </w:r>
                  <w:r>
                    <w:rPr>
                      <w:rFonts w:hint="eastAsia"/>
                      <w:color w:val="auto"/>
                      <w:highlight w:val="none"/>
                    </w:rPr>
                    <w:t>t/a</w:t>
                  </w:r>
                </w:p>
              </w:tc>
              <w:tc>
                <w:tcPr>
                  <w:tcW w:w="546" w:type="pct"/>
                  <w:tcBorders>
                    <w:tl2br w:val="nil"/>
                    <w:tr2bl w:val="nil"/>
                  </w:tcBorders>
                  <w:shd w:val="clear" w:color="auto" w:fill="auto"/>
                  <w:vAlign w:val="center"/>
                </w:tcPr>
                <w:p w14:paraId="2B6D6977">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-9439.85t/a</w:t>
                  </w:r>
                </w:p>
              </w:tc>
              <w:tc>
                <w:tcPr>
                  <w:tcW w:w="317" w:type="pct"/>
                  <w:tcBorders>
                    <w:tl2br w:val="nil"/>
                    <w:tr2bl w:val="nil"/>
                  </w:tcBorders>
                  <w:shd w:val="clear" w:color="auto" w:fill="auto"/>
                  <w:vAlign w:val="center"/>
                </w:tcPr>
                <w:p w14:paraId="16021CA8">
                  <w:pPr>
                    <w:pStyle w:val="41"/>
                    <w:bidi w:val="0"/>
                    <w:rPr>
                      <w:rFonts w:hint="default"/>
                      <w:color w:val="auto"/>
                      <w:lang w:val="en-US" w:eastAsia="zh-CN"/>
                    </w:rPr>
                  </w:pPr>
                  <w:r>
                    <w:rPr>
                      <w:rFonts w:hint="eastAsia"/>
                      <w:color w:val="auto"/>
                    </w:rPr>
                    <w:t>依托现有</w:t>
                  </w:r>
                </w:p>
              </w:tc>
            </w:tr>
            <w:tr w14:paraId="0FB133C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76A433C1">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028" w:type="pct"/>
                  <w:gridSpan w:val="4"/>
                  <w:tcBorders>
                    <w:tl2br w:val="nil"/>
                    <w:tr2bl w:val="nil"/>
                  </w:tcBorders>
                  <w:vAlign w:val="center"/>
                </w:tcPr>
                <w:p w14:paraId="3D1969BB">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color w:val="auto"/>
                      <w:highlight w:val="none"/>
                    </w:rPr>
                    <w:t>供电</w:t>
                  </w:r>
                </w:p>
              </w:tc>
              <w:tc>
                <w:tcPr>
                  <w:tcW w:w="1476" w:type="pct"/>
                  <w:tcBorders>
                    <w:tl2br w:val="nil"/>
                    <w:tr2bl w:val="nil"/>
                  </w:tcBorders>
                  <w:vAlign w:val="center"/>
                </w:tcPr>
                <w:p w14:paraId="27AEBD4C">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200万度/a</w:t>
                  </w:r>
                </w:p>
              </w:tc>
              <w:tc>
                <w:tcPr>
                  <w:tcW w:w="1426" w:type="pct"/>
                  <w:tcBorders>
                    <w:tl2br w:val="nil"/>
                    <w:tr2bl w:val="nil"/>
                  </w:tcBorders>
                  <w:vAlign w:val="center"/>
                </w:tcPr>
                <w:p w14:paraId="3785CA04">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highlight w:val="none"/>
                      <w:lang w:val="en-US" w:eastAsia="zh-CN"/>
                    </w:rPr>
                  </w:pPr>
                  <w:r>
                    <w:rPr>
                      <w:rFonts w:hint="eastAsia"/>
                      <w:color w:val="auto"/>
                      <w:highlight w:val="none"/>
                      <w:lang w:val="en-US" w:eastAsia="zh-CN"/>
                    </w:rPr>
                    <w:t>260万度/a</w:t>
                  </w:r>
                </w:p>
              </w:tc>
              <w:tc>
                <w:tcPr>
                  <w:tcW w:w="546" w:type="pct"/>
                  <w:tcBorders>
                    <w:tl2br w:val="nil"/>
                    <w:tr2bl w:val="nil"/>
                  </w:tcBorders>
                  <w:vAlign w:val="center"/>
                </w:tcPr>
                <w:p w14:paraId="628CBB9C">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+60万度/a</w:t>
                  </w:r>
                </w:p>
              </w:tc>
              <w:tc>
                <w:tcPr>
                  <w:tcW w:w="317" w:type="pct"/>
                  <w:tcBorders>
                    <w:tl2br w:val="nil"/>
                    <w:tr2bl w:val="nil"/>
                  </w:tcBorders>
                  <w:vAlign w:val="center"/>
                </w:tcPr>
                <w:p w14:paraId="374520AA">
                  <w:pPr>
                    <w:pStyle w:val="41"/>
                    <w:bidi w:val="0"/>
                    <w:rPr>
                      <w:rFonts w:hint="default"/>
                      <w:color w:val="auto"/>
                      <w:lang w:val="en-US" w:eastAsia="zh-CN"/>
                    </w:rPr>
                  </w:pPr>
                  <w:r>
                    <w:rPr>
                      <w:rFonts w:hint="eastAsia"/>
                      <w:color w:val="auto"/>
                    </w:rPr>
                    <w:t>依托现有</w:t>
                  </w:r>
                </w:p>
              </w:tc>
            </w:tr>
            <w:tr w14:paraId="67657F6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76752342">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028" w:type="pct"/>
                  <w:gridSpan w:val="4"/>
                  <w:tcBorders>
                    <w:tl2br w:val="nil"/>
                    <w:tr2bl w:val="nil"/>
                  </w:tcBorders>
                  <w:vAlign w:val="center"/>
                </w:tcPr>
                <w:p w14:paraId="332E887E">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供气</w:t>
                  </w:r>
                </w:p>
              </w:tc>
              <w:tc>
                <w:tcPr>
                  <w:tcW w:w="1476" w:type="pct"/>
                  <w:tcBorders>
                    <w:tl2br w:val="nil"/>
                    <w:tr2bl w:val="nil"/>
                  </w:tcBorders>
                  <w:vAlign w:val="center"/>
                </w:tcPr>
                <w:p w14:paraId="38ED6E8C">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天然气用量41万m</w:t>
                  </w:r>
                  <w:r>
                    <w:rPr>
                      <w:rFonts w:hint="eastAsia"/>
                      <w:color w:val="auto"/>
                      <w:highlight w:val="none"/>
                      <w:vertAlign w:val="superscript"/>
                      <w:lang w:val="en-US" w:eastAsia="zh-CN"/>
                    </w:rPr>
                    <w:t>3</w:t>
                  </w:r>
                  <w:r>
                    <w:rPr>
                      <w:rFonts w:hint="eastAsia"/>
                      <w:color w:val="auto"/>
                      <w:highlight w:val="none"/>
                      <w:lang w:val="en-US" w:eastAsia="zh-CN"/>
                    </w:rPr>
                    <w:t>/a</w:t>
                  </w:r>
                </w:p>
              </w:tc>
              <w:tc>
                <w:tcPr>
                  <w:tcW w:w="1426" w:type="pct"/>
                  <w:tcBorders>
                    <w:tl2br w:val="nil"/>
                    <w:tr2bl w:val="nil"/>
                  </w:tcBorders>
                  <w:vAlign w:val="center"/>
                </w:tcPr>
                <w:p w14:paraId="4F08F300">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天然气用量41万m</w:t>
                  </w:r>
                  <w:r>
                    <w:rPr>
                      <w:rFonts w:hint="eastAsia"/>
                      <w:color w:val="auto"/>
                      <w:highlight w:val="none"/>
                      <w:vertAlign w:val="superscript"/>
                      <w:lang w:val="en-US" w:eastAsia="zh-CN"/>
                    </w:rPr>
                    <w:t>3</w:t>
                  </w:r>
                  <w:r>
                    <w:rPr>
                      <w:rFonts w:hint="eastAsia"/>
                      <w:color w:val="auto"/>
                      <w:highlight w:val="none"/>
                      <w:lang w:val="en-US" w:eastAsia="zh-CN"/>
                    </w:rPr>
                    <w:t>/a</w:t>
                  </w:r>
                </w:p>
              </w:tc>
              <w:tc>
                <w:tcPr>
                  <w:tcW w:w="546" w:type="pct"/>
                  <w:tcBorders>
                    <w:tl2br w:val="nil"/>
                    <w:tr2bl w:val="nil"/>
                  </w:tcBorders>
                  <w:vAlign w:val="center"/>
                </w:tcPr>
                <w:p w14:paraId="0EA7BA94">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无</w:t>
                  </w:r>
                </w:p>
              </w:tc>
              <w:tc>
                <w:tcPr>
                  <w:tcW w:w="317" w:type="pct"/>
                  <w:tcBorders>
                    <w:tl2br w:val="nil"/>
                    <w:tr2bl w:val="nil"/>
                  </w:tcBorders>
                  <w:vAlign w:val="center"/>
                </w:tcPr>
                <w:p w14:paraId="2710E05E">
                  <w:pPr>
                    <w:pStyle w:val="41"/>
                    <w:bidi w:val="0"/>
                    <w:rPr>
                      <w:rFonts w:hint="eastAsia"/>
                      <w:color w:val="auto"/>
                    </w:rPr>
                  </w:pPr>
                  <w:r>
                    <w:rPr>
                      <w:rFonts w:hint="eastAsia"/>
                      <w:color w:val="auto"/>
                    </w:rPr>
                    <w:t>依托现有</w:t>
                  </w:r>
                </w:p>
              </w:tc>
            </w:tr>
            <w:tr w14:paraId="01ABA00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4C7216B6">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028" w:type="pct"/>
                  <w:gridSpan w:val="4"/>
                  <w:tcBorders>
                    <w:tl2br w:val="nil"/>
                    <w:tr2bl w:val="nil"/>
                  </w:tcBorders>
                  <w:vAlign w:val="center"/>
                </w:tcPr>
                <w:p w14:paraId="505BB689">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锅炉</w:t>
                  </w:r>
                </w:p>
              </w:tc>
              <w:tc>
                <w:tcPr>
                  <w:tcW w:w="1476" w:type="pct"/>
                  <w:tcBorders>
                    <w:tl2br w:val="nil"/>
                    <w:tr2bl w:val="nil"/>
                  </w:tcBorders>
                  <w:vAlign w:val="center"/>
                </w:tcPr>
                <w:p w14:paraId="469C6289">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锅炉规模为3t/h，用于制备蒸汽，蒸汽用量4000t/a。</w:t>
                  </w:r>
                </w:p>
              </w:tc>
              <w:tc>
                <w:tcPr>
                  <w:tcW w:w="1426" w:type="pct"/>
                  <w:tcBorders>
                    <w:tl2br w:val="nil"/>
                    <w:tr2bl w:val="nil"/>
                  </w:tcBorders>
                  <w:vAlign w:val="center"/>
                </w:tcPr>
                <w:p w14:paraId="2AB9AA82">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锅炉规模为3t/h，用于制备蒸汽，蒸汽用量4000t/a。</w:t>
                  </w:r>
                </w:p>
              </w:tc>
              <w:tc>
                <w:tcPr>
                  <w:tcW w:w="546" w:type="pct"/>
                  <w:tcBorders>
                    <w:tl2br w:val="nil"/>
                    <w:tr2bl w:val="nil"/>
                  </w:tcBorders>
                  <w:shd w:val="clear" w:color="auto" w:fill="auto"/>
                  <w:vAlign w:val="center"/>
                </w:tcPr>
                <w:p w14:paraId="166BC05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无</w:t>
                  </w:r>
                </w:p>
              </w:tc>
              <w:tc>
                <w:tcPr>
                  <w:tcW w:w="317" w:type="pct"/>
                  <w:tcBorders>
                    <w:tl2br w:val="nil"/>
                    <w:tr2bl w:val="nil"/>
                  </w:tcBorders>
                  <w:shd w:val="clear" w:color="auto" w:fill="auto"/>
                  <w:vAlign w:val="center"/>
                </w:tcPr>
                <w:p w14:paraId="30D77F41">
                  <w:pPr>
                    <w:pStyle w:val="41"/>
                    <w:bidi w:val="0"/>
                    <w:rPr>
                      <w:rFonts w:hint="eastAsia"/>
                      <w:color w:val="auto"/>
                      <w:lang w:val="en-US" w:eastAsia="zh-CN"/>
                    </w:rPr>
                  </w:pPr>
                  <w:r>
                    <w:rPr>
                      <w:rFonts w:hint="eastAsia"/>
                      <w:color w:val="auto"/>
                    </w:rPr>
                    <w:t>依托现有</w:t>
                  </w:r>
                </w:p>
              </w:tc>
            </w:tr>
            <w:tr w14:paraId="792481B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restart"/>
                  <w:tcBorders>
                    <w:tl2br w:val="nil"/>
                    <w:tr2bl w:val="nil"/>
                  </w:tcBorders>
                  <w:vAlign w:val="center"/>
                </w:tcPr>
                <w:p w14:paraId="07F2F04F">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color w:val="auto"/>
                      <w:highlight w:val="none"/>
                    </w:rPr>
                    <w:t>环保</w:t>
                  </w:r>
                </w:p>
                <w:p w14:paraId="5A7EBAE3">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color w:val="auto"/>
                      <w:highlight w:val="none"/>
                    </w:rPr>
                    <w:t>工程</w:t>
                  </w:r>
                </w:p>
              </w:tc>
              <w:tc>
                <w:tcPr>
                  <w:tcW w:w="168" w:type="pct"/>
                  <w:vMerge w:val="restart"/>
                  <w:tcBorders>
                    <w:tl2br w:val="nil"/>
                    <w:tr2bl w:val="nil"/>
                  </w:tcBorders>
                  <w:vAlign w:val="center"/>
                </w:tcPr>
                <w:p w14:paraId="33EC8C36">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color w:val="auto"/>
                      <w:highlight w:val="none"/>
                    </w:rPr>
                    <w:t>废水</w:t>
                  </w:r>
                </w:p>
              </w:tc>
              <w:tc>
                <w:tcPr>
                  <w:tcW w:w="385" w:type="pct"/>
                  <w:gridSpan w:val="2"/>
                  <w:vMerge w:val="restart"/>
                  <w:tcBorders>
                    <w:tl2br w:val="nil"/>
                    <w:tr2bl w:val="nil"/>
                  </w:tcBorders>
                  <w:shd w:val="clear" w:color="auto" w:fill="auto"/>
                  <w:vAlign w:val="center"/>
                </w:tcPr>
                <w:p w14:paraId="370DBACA">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1号楼</w:t>
                  </w:r>
                </w:p>
              </w:tc>
              <w:tc>
                <w:tcPr>
                  <w:tcW w:w="474" w:type="pct"/>
                  <w:tcBorders>
                    <w:tl2br w:val="nil"/>
                    <w:tr2bl w:val="nil"/>
                  </w:tcBorders>
                  <w:shd w:val="clear" w:color="auto" w:fill="auto"/>
                  <w:vAlign w:val="center"/>
                </w:tcPr>
                <w:p w14:paraId="53CB2F66">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生活污水</w:t>
                  </w:r>
                </w:p>
              </w:tc>
              <w:tc>
                <w:tcPr>
                  <w:tcW w:w="1476" w:type="pct"/>
                  <w:tcBorders>
                    <w:tl2br w:val="nil"/>
                    <w:tr2bl w:val="nil"/>
                  </w:tcBorders>
                  <w:shd w:val="clear" w:color="auto" w:fill="auto"/>
                  <w:vAlign w:val="center"/>
                </w:tcPr>
                <w:p w14:paraId="4134E86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w:t>
                  </w:r>
                </w:p>
              </w:tc>
              <w:tc>
                <w:tcPr>
                  <w:tcW w:w="1426" w:type="pct"/>
                  <w:tcBorders>
                    <w:tl2br w:val="nil"/>
                    <w:tr2bl w:val="nil"/>
                  </w:tcBorders>
                  <w:shd w:val="clear" w:color="auto" w:fill="auto"/>
                  <w:vAlign w:val="center"/>
                </w:tcPr>
                <w:p w14:paraId="26641898">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highlight w:val="none"/>
                      <w:lang w:val="en-US" w:eastAsia="zh-CN"/>
                    </w:rPr>
                  </w:pPr>
                  <w:r>
                    <w:rPr>
                      <w:rFonts w:hint="eastAsia"/>
                      <w:color w:val="auto"/>
                      <w:highlight w:val="none"/>
                      <w:lang w:val="en-US" w:eastAsia="zh-CN"/>
                    </w:rPr>
                    <w:t>30m</w:t>
                  </w:r>
                  <w:r>
                    <w:rPr>
                      <w:rFonts w:hint="eastAsia"/>
                      <w:color w:val="auto"/>
                      <w:highlight w:val="none"/>
                      <w:vertAlign w:val="superscript"/>
                      <w:lang w:val="en-US" w:eastAsia="zh-CN"/>
                    </w:rPr>
                    <w:t>3</w:t>
                  </w:r>
                  <w:r>
                    <w:rPr>
                      <w:rFonts w:hint="eastAsia"/>
                      <w:color w:val="auto"/>
                      <w:highlight w:val="none"/>
                      <w:lang w:val="en-US" w:eastAsia="zh-CN"/>
                    </w:rPr>
                    <w:t>化粪池TW001</w:t>
                  </w:r>
                </w:p>
              </w:tc>
              <w:tc>
                <w:tcPr>
                  <w:tcW w:w="546" w:type="pct"/>
                  <w:tcBorders>
                    <w:tl2br w:val="nil"/>
                    <w:tr2bl w:val="nil"/>
                  </w:tcBorders>
                  <w:vAlign w:val="center"/>
                </w:tcPr>
                <w:p w14:paraId="6153FF0D">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新增生活污水</w:t>
                  </w:r>
                </w:p>
              </w:tc>
              <w:tc>
                <w:tcPr>
                  <w:tcW w:w="317" w:type="pct"/>
                  <w:tcBorders>
                    <w:tl2br w:val="nil"/>
                    <w:tr2bl w:val="nil"/>
                  </w:tcBorders>
                  <w:vAlign w:val="center"/>
                </w:tcPr>
                <w:p w14:paraId="77387CF6">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rPr>
                    <w:t>依托现有</w:t>
                  </w:r>
                </w:p>
              </w:tc>
            </w:tr>
            <w:tr w14:paraId="070AEDD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76895A5E">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65E53138">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385" w:type="pct"/>
                  <w:gridSpan w:val="2"/>
                  <w:vMerge w:val="continue"/>
                  <w:tcBorders>
                    <w:tl2br w:val="nil"/>
                    <w:tr2bl w:val="nil"/>
                  </w:tcBorders>
                  <w:shd w:val="clear" w:color="auto" w:fill="auto"/>
                  <w:vAlign w:val="center"/>
                </w:tcPr>
                <w:p w14:paraId="39584B02">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p>
              </w:tc>
              <w:tc>
                <w:tcPr>
                  <w:tcW w:w="474" w:type="pct"/>
                  <w:tcBorders>
                    <w:tl2br w:val="nil"/>
                    <w:tr2bl w:val="nil"/>
                  </w:tcBorders>
                  <w:shd w:val="clear" w:color="auto" w:fill="auto"/>
                  <w:vAlign w:val="center"/>
                </w:tcPr>
                <w:p w14:paraId="435C9D1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研发废水</w:t>
                  </w:r>
                </w:p>
              </w:tc>
              <w:tc>
                <w:tcPr>
                  <w:tcW w:w="1476" w:type="pct"/>
                  <w:tcBorders>
                    <w:tl2br w:val="nil"/>
                    <w:tr2bl w:val="nil"/>
                  </w:tcBorders>
                  <w:shd w:val="clear" w:color="auto" w:fill="auto"/>
                  <w:vAlign w:val="center"/>
                </w:tcPr>
                <w:p w14:paraId="4446D144">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w:t>
                  </w:r>
                </w:p>
              </w:tc>
              <w:tc>
                <w:tcPr>
                  <w:tcW w:w="1426" w:type="pct"/>
                  <w:tcBorders>
                    <w:tl2br w:val="nil"/>
                    <w:tr2bl w:val="nil"/>
                  </w:tcBorders>
                  <w:shd w:val="clear" w:color="auto" w:fill="auto"/>
                  <w:vAlign w:val="center"/>
                </w:tcPr>
                <w:p w14:paraId="2330A01E">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25t/d污水处理站TW003，处理工艺：调节+中和+混凝沉淀+水解酸化+AO</w:t>
                  </w:r>
                </w:p>
              </w:tc>
              <w:tc>
                <w:tcPr>
                  <w:tcW w:w="546" w:type="pct"/>
                  <w:tcBorders>
                    <w:tl2br w:val="nil"/>
                    <w:tr2bl w:val="nil"/>
                  </w:tcBorders>
                  <w:vAlign w:val="center"/>
                </w:tcPr>
                <w:p w14:paraId="30ED8E3A">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新增研发废水，新增污水处理站</w:t>
                  </w:r>
                </w:p>
              </w:tc>
              <w:tc>
                <w:tcPr>
                  <w:tcW w:w="317" w:type="pct"/>
                  <w:tcBorders>
                    <w:tl2br w:val="nil"/>
                    <w:tr2bl w:val="nil"/>
                  </w:tcBorders>
                  <w:shd w:val="clear" w:color="auto" w:fill="auto"/>
                  <w:vAlign w:val="center"/>
                </w:tcPr>
                <w:p w14:paraId="0BD9BAE9">
                  <w:pPr>
                    <w:pStyle w:val="41"/>
                    <w:bidi w:val="0"/>
                    <w:ind w:firstLine="0" w:firstLineChars="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新建</w:t>
                  </w:r>
                </w:p>
              </w:tc>
            </w:tr>
            <w:tr w14:paraId="0419234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343A2CDF">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08BD89B8">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385" w:type="pct"/>
                  <w:gridSpan w:val="2"/>
                  <w:vMerge w:val="restart"/>
                  <w:tcBorders>
                    <w:tl2br w:val="nil"/>
                    <w:tr2bl w:val="nil"/>
                  </w:tcBorders>
                  <w:vAlign w:val="center"/>
                </w:tcPr>
                <w:p w14:paraId="57EE89FE">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3号楼</w:t>
                  </w:r>
                </w:p>
              </w:tc>
              <w:tc>
                <w:tcPr>
                  <w:tcW w:w="474" w:type="pct"/>
                  <w:tcBorders>
                    <w:tl2br w:val="nil"/>
                    <w:tr2bl w:val="nil"/>
                  </w:tcBorders>
                  <w:shd w:val="clear" w:color="auto" w:fill="auto"/>
                  <w:vAlign w:val="center"/>
                </w:tcPr>
                <w:p w14:paraId="50E5516C">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生活污水</w:t>
                  </w:r>
                </w:p>
              </w:tc>
              <w:tc>
                <w:tcPr>
                  <w:tcW w:w="1476" w:type="pct"/>
                  <w:tcBorders>
                    <w:tl2br w:val="nil"/>
                    <w:tr2bl w:val="nil"/>
                  </w:tcBorders>
                  <w:vAlign w:val="center"/>
                </w:tcPr>
                <w:p w14:paraId="5282DF26">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30m</w:t>
                  </w:r>
                  <w:r>
                    <w:rPr>
                      <w:rFonts w:hint="eastAsia"/>
                      <w:color w:val="auto"/>
                      <w:highlight w:val="none"/>
                      <w:vertAlign w:val="superscript"/>
                      <w:lang w:val="en-US" w:eastAsia="zh-CN"/>
                    </w:rPr>
                    <w:t>3</w:t>
                  </w:r>
                  <w:r>
                    <w:rPr>
                      <w:rFonts w:hint="eastAsia"/>
                      <w:color w:val="auto"/>
                      <w:highlight w:val="none"/>
                      <w:lang w:val="en-US" w:eastAsia="zh-CN"/>
                    </w:rPr>
                    <w:t>化粪池TW001</w:t>
                  </w:r>
                </w:p>
              </w:tc>
              <w:tc>
                <w:tcPr>
                  <w:tcW w:w="1426" w:type="pct"/>
                  <w:tcBorders>
                    <w:tl2br w:val="nil"/>
                    <w:tr2bl w:val="nil"/>
                  </w:tcBorders>
                  <w:vAlign w:val="center"/>
                </w:tcPr>
                <w:p w14:paraId="5B8340DC">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w:t>
                  </w:r>
                </w:p>
              </w:tc>
              <w:tc>
                <w:tcPr>
                  <w:tcW w:w="546" w:type="pct"/>
                  <w:tcBorders>
                    <w:tl2br w:val="nil"/>
                    <w:tr2bl w:val="nil"/>
                  </w:tcBorders>
                  <w:vAlign w:val="center"/>
                </w:tcPr>
                <w:p w14:paraId="040018DE">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搬迁至1号楼</w:t>
                  </w:r>
                </w:p>
              </w:tc>
              <w:tc>
                <w:tcPr>
                  <w:tcW w:w="317" w:type="pct"/>
                  <w:tcBorders>
                    <w:tl2br w:val="nil"/>
                    <w:tr2bl w:val="nil"/>
                  </w:tcBorders>
                  <w:shd w:val="clear" w:color="auto" w:fill="auto"/>
                  <w:vAlign w:val="center"/>
                </w:tcPr>
                <w:p w14:paraId="3D3599C3">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lang w:val="en-US" w:eastAsia="zh-CN"/>
                    </w:rPr>
                    <w:t>/</w:t>
                  </w:r>
                </w:p>
              </w:tc>
            </w:tr>
            <w:tr w14:paraId="482CCD7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205" w:type="pct"/>
                  <w:vMerge w:val="continue"/>
                  <w:tcBorders>
                    <w:tl2br w:val="nil"/>
                    <w:tr2bl w:val="nil"/>
                  </w:tcBorders>
                  <w:vAlign w:val="center"/>
                </w:tcPr>
                <w:p w14:paraId="6BEE38B4">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3C92BFAB">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385" w:type="pct"/>
                  <w:gridSpan w:val="2"/>
                  <w:vMerge w:val="continue"/>
                  <w:tcBorders>
                    <w:tl2br w:val="nil"/>
                    <w:tr2bl w:val="nil"/>
                  </w:tcBorders>
                  <w:vAlign w:val="center"/>
                </w:tcPr>
                <w:p w14:paraId="0E32D6FA">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p>
              </w:tc>
              <w:tc>
                <w:tcPr>
                  <w:tcW w:w="474" w:type="pct"/>
                  <w:tcBorders>
                    <w:tl2br w:val="nil"/>
                    <w:tr2bl w:val="nil"/>
                  </w:tcBorders>
                  <w:shd w:val="clear" w:color="auto" w:fill="auto"/>
                  <w:vAlign w:val="center"/>
                </w:tcPr>
                <w:p w14:paraId="232E0A1B">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研发废水</w:t>
                  </w:r>
                </w:p>
              </w:tc>
              <w:tc>
                <w:tcPr>
                  <w:tcW w:w="1476" w:type="pct"/>
                  <w:tcBorders>
                    <w:tl2br w:val="nil"/>
                    <w:tr2bl w:val="nil"/>
                  </w:tcBorders>
                  <w:vAlign w:val="center"/>
                </w:tcPr>
                <w:p w14:paraId="234C6E56">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15t/d污水处理站TW002，处理工艺：灭活+絮凝+水解酸化+接触氧化+除磷反应池</w:t>
                  </w:r>
                </w:p>
              </w:tc>
              <w:tc>
                <w:tcPr>
                  <w:tcW w:w="1426" w:type="pct"/>
                  <w:tcBorders>
                    <w:tl2br w:val="nil"/>
                    <w:tr2bl w:val="nil"/>
                  </w:tcBorders>
                  <w:vAlign w:val="center"/>
                </w:tcPr>
                <w:p w14:paraId="5C3B9E86">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w:t>
                  </w:r>
                </w:p>
              </w:tc>
              <w:tc>
                <w:tcPr>
                  <w:tcW w:w="546" w:type="pct"/>
                  <w:tcBorders>
                    <w:tl2br w:val="nil"/>
                    <w:tr2bl w:val="nil"/>
                  </w:tcBorders>
                  <w:vAlign w:val="center"/>
                </w:tcPr>
                <w:p w14:paraId="755F86A3">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搬迁至1号楼</w:t>
                  </w:r>
                </w:p>
              </w:tc>
              <w:tc>
                <w:tcPr>
                  <w:tcW w:w="317" w:type="pct"/>
                  <w:tcBorders>
                    <w:tl2br w:val="nil"/>
                    <w:tr2bl w:val="nil"/>
                  </w:tcBorders>
                  <w:shd w:val="clear" w:color="auto" w:fill="auto"/>
                  <w:vAlign w:val="center"/>
                </w:tcPr>
                <w:p w14:paraId="11A8C5AF">
                  <w:pPr>
                    <w:pStyle w:val="41"/>
                    <w:bidi w:val="0"/>
                    <w:ind w:firstLine="0" w:firstLineChars="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w:t>
                  </w:r>
                </w:p>
              </w:tc>
            </w:tr>
            <w:tr w14:paraId="212C137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6FF5D04D">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5048E704">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385" w:type="pct"/>
                  <w:gridSpan w:val="2"/>
                  <w:vMerge w:val="restart"/>
                  <w:tcBorders>
                    <w:tl2br w:val="nil"/>
                    <w:tr2bl w:val="nil"/>
                  </w:tcBorders>
                  <w:shd w:val="clear" w:color="auto" w:fill="auto"/>
                  <w:vAlign w:val="center"/>
                </w:tcPr>
                <w:p w14:paraId="0D0CA4BC">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5号楼</w:t>
                  </w:r>
                </w:p>
              </w:tc>
              <w:tc>
                <w:tcPr>
                  <w:tcW w:w="474" w:type="pct"/>
                  <w:tcBorders>
                    <w:tl2br w:val="nil"/>
                    <w:tr2bl w:val="nil"/>
                  </w:tcBorders>
                  <w:shd w:val="clear" w:color="auto" w:fill="auto"/>
                  <w:vAlign w:val="center"/>
                </w:tcPr>
                <w:p w14:paraId="4A0AA20A">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生活污水</w:t>
                  </w:r>
                </w:p>
              </w:tc>
              <w:tc>
                <w:tcPr>
                  <w:tcW w:w="1476" w:type="pct"/>
                  <w:tcBorders>
                    <w:tl2br w:val="nil"/>
                    <w:tr2bl w:val="nil"/>
                  </w:tcBorders>
                  <w:shd w:val="clear" w:color="auto" w:fill="auto"/>
                  <w:vAlign w:val="center"/>
                </w:tcPr>
                <w:p w14:paraId="354B0B9A">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30m</w:t>
                  </w:r>
                  <w:r>
                    <w:rPr>
                      <w:rFonts w:hint="eastAsia"/>
                      <w:color w:val="auto"/>
                      <w:highlight w:val="none"/>
                      <w:vertAlign w:val="superscript"/>
                      <w:lang w:val="en-US" w:eastAsia="zh-CN"/>
                    </w:rPr>
                    <w:t>3</w:t>
                  </w:r>
                  <w:r>
                    <w:rPr>
                      <w:rFonts w:hint="eastAsia"/>
                      <w:color w:val="auto"/>
                      <w:highlight w:val="none"/>
                      <w:lang w:val="en-US" w:eastAsia="zh-CN"/>
                    </w:rPr>
                    <w:t>化粪池TW001</w:t>
                  </w:r>
                </w:p>
              </w:tc>
              <w:tc>
                <w:tcPr>
                  <w:tcW w:w="1426" w:type="pct"/>
                  <w:tcBorders>
                    <w:tl2br w:val="nil"/>
                    <w:tr2bl w:val="nil"/>
                  </w:tcBorders>
                  <w:vAlign w:val="center"/>
                </w:tcPr>
                <w:p w14:paraId="6EC360A3">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w:t>
                  </w:r>
                </w:p>
              </w:tc>
              <w:tc>
                <w:tcPr>
                  <w:tcW w:w="546" w:type="pct"/>
                  <w:tcBorders>
                    <w:tl2br w:val="nil"/>
                    <w:tr2bl w:val="nil"/>
                  </w:tcBorders>
                  <w:shd w:val="clear" w:color="auto" w:fill="auto"/>
                  <w:vAlign w:val="center"/>
                </w:tcPr>
                <w:p w14:paraId="142DE0FE">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搬迁至1号楼</w:t>
                  </w:r>
                </w:p>
              </w:tc>
              <w:tc>
                <w:tcPr>
                  <w:tcW w:w="317" w:type="pct"/>
                  <w:tcBorders>
                    <w:tl2br w:val="nil"/>
                    <w:tr2bl w:val="nil"/>
                  </w:tcBorders>
                  <w:shd w:val="clear" w:color="auto" w:fill="auto"/>
                  <w:vAlign w:val="center"/>
                </w:tcPr>
                <w:p w14:paraId="1BA32DBD">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lang w:val="en-US" w:eastAsia="zh-CN"/>
                    </w:rPr>
                    <w:t>/</w:t>
                  </w:r>
                </w:p>
              </w:tc>
            </w:tr>
            <w:tr w14:paraId="417EA24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75ADD030">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28365501">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385" w:type="pct"/>
                  <w:gridSpan w:val="2"/>
                  <w:vMerge w:val="continue"/>
                  <w:tcBorders>
                    <w:tl2br w:val="nil"/>
                    <w:tr2bl w:val="nil"/>
                  </w:tcBorders>
                  <w:shd w:val="clear" w:color="auto" w:fill="auto"/>
                  <w:vAlign w:val="center"/>
                </w:tcPr>
                <w:p w14:paraId="29507309">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p>
              </w:tc>
              <w:tc>
                <w:tcPr>
                  <w:tcW w:w="474" w:type="pct"/>
                  <w:tcBorders>
                    <w:tl2br w:val="nil"/>
                    <w:tr2bl w:val="nil"/>
                  </w:tcBorders>
                  <w:shd w:val="clear" w:color="auto" w:fill="auto"/>
                  <w:vAlign w:val="center"/>
                </w:tcPr>
                <w:p w14:paraId="28A41944">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研发废水</w:t>
                  </w:r>
                </w:p>
              </w:tc>
              <w:tc>
                <w:tcPr>
                  <w:tcW w:w="1476" w:type="pct"/>
                  <w:tcBorders>
                    <w:tl2br w:val="nil"/>
                    <w:tr2bl w:val="nil"/>
                  </w:tcBorders>
                  <w:shd w:val="clear" w:color="auto" w:fill="auto"/>
                  <w:vAlign w:val="center"/>
                </w:tcPr>
                <w:p w14:paraId="2C3A64F9">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15t/d污水处理站TW002，处理工艺：灭活+絮凝+水解酸化+接触氧化+除磷反应池</w:t>
                  </w:r>
                </w:p>
              </w:tc>
              <w:tc>
                <w:tcPr>
                  <w:tcW w:w="1426" w:type="pct"/>
                  <w:tcBorders>
                    <w:tl2br w:val="nil"/>
                    <w:tr2bl w:val="nil"/>
                  </w:tcBorders>
                  <w:vAlign w:val="center"/>
                </w:tcPr>
                <w:p w14:paraId="3A134BDB">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w:t>
                  </w:r>
                </w:p>
              </w:tc>
              <w:tc>
                <w:tcPr>
                  <w:tcW w:w="546" w:type="pct"/>
                  <w:tcBorders>
                    <w:tl2br w:val="nil"/>
                    <w:tr2bl w:val="nil"/>
                  </w:tcBorders>
                  <w:shd w:val="clear" w:color="auto" w:fill="auto"/>
                  <w:vAlign w:val="center"/>
                </w:tcPr>
                <w:p w14:paraId="69C47388">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搬迁至1号楼</w:t>
                  </w:r>
                </w:p>
              </w:tc>
              <w:tc>
                <w:tcPr>
                  <w:tcW w:w="317" w:type="pct"/>
                  <w:tcBorders>
                    <w:tl2br w:val="nil"/>
                    <w:tr2bl w:val="nil"/>
                  </w:tcBorders>
                  <w:shd w:val="clear" w:color="auto" w:fill="auto"/>
                  <w:vAlign w:val="center"/>
                </w:tcPr>
                <w:p w14:paraId="2399933F">
                  <w:pPr>
                    <w:pStyle w:val="41"/>
                    <w:bidi w:val="0"/>
                    <w:ind w:firstLine="0" w:firstLineChars="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w:t>
                  </w:r>
                </w:p>
              </w:tc>
            </w:tr>
            <w:tr w14:paraId="00FA688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554359B8">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4F20952D">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385" w:type="pct"/>
                  <w:gridSpan w:val="2"/>
                  <w:vMerge w:val="restart"/>
                  <w:tcBorders>
                    <w:tl2br w:val="nil"/>
                    <w:tr2bl w:val="nil"/>
                  </w:tcBorders>
                  <w:shd w:val="clear" w:color="auto" w:fill="auto"/>
                  <w:vAlign w:val="center"/>
                </w:tcPr>
                <w:p w14:paraId="192A8981">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6号楼</w:t>
                  </w:r>
                </w:p>
              </w:tc>
              <w:tc>
                <w:tcPr>
                  <w:tcW w:w="474" w:type="pct"/>
                  <w:tcBorders>
                    <w:tl2br w:val="nil"/>
                    <w:tr2bl w:val="nil"/>
                  </w:tcBorders>
                  <w:shd w:val="clear" w:color="auto" w:fill="auto"/>
                  <w:vAlign w:val="center"/>
                </w:tcPr>
                <w:p w14:paraId="1A5241B8">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生活污水</w:t>
                  </w:r>
                </w:p>
              </w:tc>
              <w:tc>
                <w:tcPr>
                  <w:tcW w:w="1476" w:type="pct"/>
                  <w:tcBorders>
                    <w:tl2br w:val="nil"/>
                    <w:tr2bl w:val="nil"/>
                  </w:tcBorders>
                  <w:shd w:val="clear" w:color="auto" w:fill="auto"/>
                  <w:vAlign w:val="center"/>
                </w:tcPr>
                <w:p w14:paraId="5CE73AF0">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30m</w:t>
                  </w:r>
                  <w:r>
                    <w:rPr>
                      <w:rFonts w:hint="eastAsia"/>
                      <w:color w:val="auto"/>
                      <w:highlight w:val="none"/>
                      <w:vertAlign w:val="superscript"/>
                      <w:lang w:val="en-US" w:eastAsia="zh-CN"/>
                    </w:rPr>
                    <w:t>3</w:t>
                  </w:r>
                  <w:r>
                    <w:rPr>
                      <w:rFonts w:hint="eastAsia"/>
                      <w:color w:val="auto"/>
                      <w:highlight w:val="none"/>
                      <w:lang w:val="en-US" w:eastAsia="zh-CN"/>
                    </w:rPr>
                    <w:t>化粪池TW001</w:t>
                  </w:r>
                </w:p>
              </w:tc>
              <w:tc>
                <w:tcPr>
                  <w:tcW w:w="1426" w:type="pct"/>
                  <w:tcBorders>
                    <w:tl2br w:val="nil"/>
                    <w:tr2bl w:val="nil"/>
                  </w:tcBorders>
                  <w:shd w:val="clear" w:color="auto" w:fill="auto"/>
                  <w:vAlign w:val="center"/>
                </w:tcPr>
                <w:p w14:paraId="25178DBD">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30m</w:t>
                  </w:r>
                  <w:r>
                    <w:rPr>
                      <w:rFonts w:hint="eastAsia"/>
                      <w:color w:val="auto"/>
                      <w:highlight w:val="none"/>
                      <w:vertAlign w:val="superscript"/>
                      <w:lang w:val="en-US" w:eastAsia="zh-CN"/>
                    </w:rPr>
                    <w:t>3</w:t>
                  </w:r>
                  <w:r>
                    <w:rPr>
                      <w:rFonts w:hint="eastAsia"/>
                      <w:color w:val="auto"/>
                      <w:highlight w:val="none"/>
                      <w:lang w:val="en-US" w:eastAsia="zh-CN"/>
                    </w:rPr>
                    <w:t>化粪池TW001</w:t>
                  </w:r>
                </w:p>
              </w:tc>
              <w:tc>
                <w:tcPr>
                  <w:tcW w:w="546" w:type="pct"/>
                  <w:tcBorders>
                    <w:tl2br w:val="nil"/>
                    <w:tr2bl w:val="nil"/>
                  </w:tcBorders>
                  <w:vAlign w:val="center"/>
                </w:tcPr>
                <w:p w14:paraId="76606B83">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无</w:t>
                  </w:r>
                </w:p>
              </w:tc>
              <w:tc>
                <w:tcPr>
                  <w:tcW w:w="317" w:type="pct"/>
                  <w:tcBorders>
                    <w:tl2br w:val="nil"/>
                    <w:tr2bl w:val="nil"/>
                  </w:tcBorders>
                  <w:shd w:val="clear" w:color="auto" w:fill="auto"/>
                  <w:vAlign w:val="center"/>
                </w:tcPr>
                <w:p w14:paraId="65732625">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rPr>
                    <w:t>依托现有</w:t>
                  </w:r>
                </w:p>
              </w:tc>
            </w:tr>
            <w:tr w14:paraId="786561B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01DDB198">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21B85476">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385" w:type="pct"/>
                  <w:gridSpan w:val="2"/>
                  <w:vMerge w:val="continue"/>
                  <w:tcBorders>
                    <w:tl2br w:val="nil"/>
                    <w:tr2bl w:val="nil"/>
                  </w:tcBorders>
                  <w:shd w:val="clear" w:color="auto" w:fill="auto"/>
                  <w:vAlign w:val="center"/>
                </w:tcPr>
                <w:p w14:paraId="708B899C">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p>
              </w:tc>
              <w:tc>
                <w:tcPr>
                  <w:tcW w:w="474" w:type="pct"/>
                  <w:tcBorders>
                    <w:tl2br w:val="nil"/>
                    <w:tr2bl w:val="nil"/>
                  </w:tcBorders>
                  <w:shd w:val="clear" w:color="auto" w:fill="auto"/>
                  <w:vAlign w:val="center"/>
                </w:tcPr>
                <w:p w14:paraId="204F0135">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研发废水</w:t>
                  </w:r>
                </w:p>
              </w:tc>
              <w:tc>
                <w:tcPr>
                  <w:tcW w:w="1476" w:type="pct"/>
                  <w:tcBorders>
                    <w:tl2br w:val="nil"/>
                    <w:tr2bl w:val="nil"/>
                  </w:tcBorders>
                  <w:shd w:val="clear" w:color="auto" w:fill="auto"/>
                  <w:vAlign w:val="center"/>
                </w:tcPr>
                <w:p w14:paraId="6254794B">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15t/d污水处理站TW003，处理工艺：灭活+絮凝+水解酸化+接触氧化+除磷反应池</w:t>
                  </w:r>
                </w:p>
              </w:tc>
              <w:tc>
                <w:tcPr>
                  <w:tcW w:w="1426" w:type="pct"/>
                  <w:tcBorders>
                    <w:tl2br w:val="nil"/>
                    <w:tr2bl w:val="nil"/>
                  </w:tcBorders>
                  <w:shd w:val="clear" w:color="auto" w:fill="auto"/>
                  <w:vAlign w:val="center"/>
                </w:tcPr>
                <w:p w14:paraId="3336D41A">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15t/d污水处理站TW003，处理工艺：灭活+絮凝+水解酸化+接触氧化+除磷反应池</w:t>
                  </w:r>
                </w:p>
              </w:tc>
              <w:tc>
                <w:tcPr>
                  <w:tcW w:w="546" w:type="pct"/>
                  <w:tcBorders>
                    <w:tl2br w:val="nil"/>
                    <w:tr2bl w:val="nil"/>
                  </w:tcBorders>
                  <w:vAlign w:val="center"/>
                </w:tcPr>
                <w:p w14:paraId="23539703">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无</w:t>
                  </w:r>
                </w:p>
              </w:tc>
              <w:tc>
                <w:tcPr>
                  <w:tcW w:w="317" w:type="pct"/>
                  <w:tcBorders>
                    <w:tl2br w:val="nil"/>
                    <w:tr2bl w:val="nil"/>
                  </w:tcBorders>
                  <w:shd w:val="clear" w:color="auto" w:fill="auto"/>
                  <w:vAlign w:val="center"/>
                </w:tcPr>
                <w:p w14:paraId="08780D59">
                  <w:pPr>
                    <w:pStyle w:val="41"/>
                    <w:bidi w:val="0"/>
                    <w:ind w:firstLine="0" w:firstLineChars="0"/>
                    <w:rPr>
                      <w:rFonts w:hint="eastAsia" w:ascii="Times New Roman" w:hAnsi="Times New Roman" w:eastAsia="宋体" w:cs="Times New Roman"/>
                      <w:color w:val="auto"/>
                      <w:kern w:val="0"/>
                      <w:sz w:val="21"/>
                      <w:szCs w:val="24"/>
                      <w:lang w:val="en-US" w:eastAsia="zh-CN" w:bidi="ar-SA"/>
                    </w:rPr>
                  </w:pPr>
                  <w:r>
                    <w:rPr>
                      <w:rFonts w:hint="eastAsia"/>
                      <w:color w:val="auto"/>
                    </w:rPr>
                    <w:t>依托现有</w:t>
                  </w:r>
                </w:p>
              </w:tc>
            </w:tr>
            <w:tr w14:paraId="704A01F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01C25CDD">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46E62A4D">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385" w:type="pct"/>
                  <w:gridSpan w:val="2"/>
                  <w:vMerge w:val="restart"/>
                  <w:tcBorders>
                    <w:tl2br w:val="nil"/>
                    <w:tr2bl w:val="nil"/>
                  </w:tcBorders>
                  <w:shd w:val="clear" w:color="auto" w:fill="auto"/>
                  <w:vAlign w:val="center"/>
                </w:tcPr>
                <w:p w14:paraId="3466569A">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7号楼</w:t>
                  </w:r>
                </w:p>
              </w:tc>
              <w:tc>
                <w:tcPr>
                  <w:tcW w:w="474" w:type="pct"/>
                  <w:tcBorders>
                    <w:tl2br w:val="nil"/>
                    <w:tr2bl w:val="nil"/>
                  </w:tcBorders>
                  <w:shd w:val="clear" w:color="auto" w:fill="auto"/>
                  <w:vAlign w:val="center"/>
                </w:tcPr>
                <w:p w14:paraId="4B229FC0">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生活污水</w:t>
                  </w:r>
                </w:p>
              </w:tc>
              <w:tc>
                <w:tcPr>
                  <w:tcW w:w="1476" w:type="pct"/>
                  <w:tcBorders>
                    <w:tl2br w:val="nil"/>
                    <w:tr2bl w:val="nil"/>
                  </w:tcBorders>
                  <w:shd w:val="clear" w:color="auto" w:fill="auto"/>
                  <w:vAlign w:val="center"/>
                </w:tcPr>
                <w:p w14:paraId="7757520F">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30m</w:t>
                  </w:r>
                  <w:r>
                    <w:rPr>
                      <w:rFonts w:hint="eastAsia"/>
                      <w:color w:val="auto"/>
                      <w:highlight w:val="none"/>
                      <w:vertAlign w:val="superscript"/>
                      <w:lang w:val="en-US" w:eastAsia="zh-CN"/>
                    </w:rPr>
                    <w:t>3</w:t>
                  </w:r>
                  <w:r>
                    <w:rPr>
                      <w:rFonts w:hint="eastAsia"/>
                      <w:color w:val="auto"/>
                      <w:highlight w:val="none"/>
                      <w:lang w:val="en-US" w:eastAsia="zh-CN"/>
                    </w:rPr>
                    <w:t>化粪池TW001</w:t>
                  </w:r>
                </w:p>
              </w:tc>
              <w:tc>
                <w:tcPr>
                  <w:tcW w:w="1426" w:type="pct"/>
                  <w:tcBorders>
                    <w:tl2br w:val="nil"/>
                    <w:tr2bl w:val="nil"/>
                  </w:tcBorders>
                  <w:shd w:val="clear" w:color="auto" w:fill="auto"/>
                  <w:vAlign w:val="center"/>
                </w:tcPr>
                <w:p w14:paraId="42AF1ED4">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30m</w:t>
                  </w:r>
                  <w:r>
                    <w:rPr>
                      <w:rFonts w:hint="eastAsia"/>
                      <w:color w:val="auto"/>
                      <w:highlight w:val="none"/>
                      <w:vertAlign w:val="superscript"/>
                      <w:lang w:val="en-US" w:eastAsia="zh-CN"/>
                    </w:rPr>
                    <w:t>3</w:t>
                  </w:r>
                  <w:r>
                    <w:rPr>
                      <w:rFonts w:hint="eastAsia"/>
                      <w:color w:val="auto"/>
                      <w:highlight w:val="none"/>
                      <w:lang w:val="en-US" w:eastAsia="zh-CN"/>
                    </w:rPr>
                    <w:t>化粪池TW001</w:t>
                  </w:r>
                </w:p>
              </w:tc>
              <w:tc>
                <w:tcPr>
                  <w:tcW w:w="546" w:type="pct"/>
                  <w:tcBorders>
                    <w:tl2br w:val="nil"/>
                    <w:tr2bl w:val="nil"/>
                  </w:tcBorders>
                  <w:vAlign w:val="center"/>
                </w:tcPr>
                <w:p w14:paraId="4A6DF282">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无</w:t>
                  </w:r>
                </w:p>
              </w:tc>
              <w:tc>
                <w:tcPr>
                  <w:tcW w:w="317" w:type="pct"/>
                  <w:tcBorders>
                    <w:tl2br w:val="nil"/>
                    <w:tr2bl w:val="nil"/>
                  </w:tcBorders>
                  <w:shd w:val="clear" w:color="auto" w:fill="auto"/>
                  <w:vAlign w:val="center"/>
                </w:tcPr>
                <w:p w14:paraId="6C9CDED5">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rPr>
                    <w:t>依托现有</w:t>
                  </w:r>
                </w:p>
              </w:tc>
            </w:tr>
            <w:tr w14:paraId="740117E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2D1C7DB1">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7795391E">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385" w:type="pct"/>
                  <w:gridSpan w:val="2"/>
                  <w:vMerge w:val="continue"/>
                  <w:tcBorders>
                    <w:tl2br w:val="nil"/>
                    <w:tr2bl w:val="nil"/>
                  </w:tcBorders>
                  <w:shd w:val="clear" w:color="auto" w:fill="auto"/>
                  <w:vAlign w:val="center"/>
                </w:tcPr>
                <w:p w14:paraId="087EA52E">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highlight w:val="none"/>
                      <w:lang w:val="en-US" w:eastAsia="zh-CN"/>
                    </w:rPr>
                  </w:pPr>
                </w:p>
              </w:tc>
              <w:tc>
                <w:tcPr>
                  <w:tcW w:w="474" w:type="pct"/>
                  <w:tcBorders>
                    <w:tl2br w:val="nil"/>
                    <w:tr2bl w:val="nil"/>
                  </w:tcBorders>
                  <w:shd w:val="clear" w:color="auto" w:fill="auto"/>
                  <w:vAlign w:val="center"/>
                </w:tcPr>
                <w:p w14:paraId="2CEF0431">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highlight w:val="none"/>
                      <w:lang w:val="en-US" w:eastAsia="zh-CN"/>
                    </w:rPr>
                  </w:pPr>
                  <w:r>
                    <w:rPr>
                      <w:rFonts w:hint="eastAsia"/>
                      <w:color w:val="auto"/>
                      <w:highlight w:val="none"/>
                      <w:lang w:val="en-US" w:eastAsia="zh-CN"/>
                    </w:rPr>
                    <w:t>蒸汽冷凝水</w:t>
                  </w:r>
                </w:p>
              </w:tc>
              <w:tc>
                <w:tcPr>
                  <w:tcW w:w="1476" w:type="pct"/>
                  <w:tcBorders>
                    <w:tl2br w:val="nil"/>
                    <w:tr2bl w:val="nil"/>
                  </w:tcBorders>
                  <w:shd w:val="clear" w:color="auto" w:fill="auto"/>
                  <w:vAlign w:val="center"/>
                </w:tcPr>
                <w:p w14:paraId="08ABC3BB">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highlight w:val="none"/>
                      <w:lang w:val="en-US" w:eastAsia="zh-CN"/>
                    </w:rPr>
                  </w:pPr>
                  <w:r>
                    <w:rPr>
                      <w:rFonts w:hint="eastAsia"/>
                      <w:color w:val="auto"/>
                      <w:highlight w:val="none"/>
                      <w:lang w:val="en-US" w:eastAsia="zh-CN"/>
                    </w:rPr>
                    <w:t>/</w:t>
                  </w:r>
                </w:p>
              </w:tc>
              <w:tc>
                <w:tcPr>
                  <w:tcW w:w="1426" w:type="pct"/>
                  <w:tcBorders>
                    <w:tl2br w:val="nil"/>
                    <w:tr2bl w:val="nil"/>
                  </w:tcBorders>
                  <w:shd w:val="clear" w:color="auto" w:fill="auto"/>
                  <w:vAlign w:val="center"/>
                </w:tcPr>
                <w:p w14:paraId="24C2E7CE">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highlight w:val="none"/>
                      <w:lang w:val="en-US" w:eastAsia="zh-CN"/>
                    </w:rPr>
                  </w:pPr>
                  <w:r>
                    <w:rPr>
                      <w:rFonts w:hint="eastAsia"/>
                      <w:color w:val="auto"/>
                      <w:highlight w:val="none"/>
                      <w:lang w:val="en-US" w:eastAsia="zh-CN"/>
                    </w:rPr>
                    <w:t>/</w:t>
                  </w:r>
                </w:p>
              </w:tc>
              <w:tc>
                <w:tcPr>
                  <w:tcW w:w="546" w:type="pct"/>
                  <w:tcBorders>
                    <w:tl2br w:val="nil"/>
                    <w:tr2bl w:val="nil"/>
                  </w:tcBorders>
                  <w:shd w:val="clear" w:color="auto" w:fill="auto"/>
                  <w:vAlign w:val="center"/>
                </w:tcPr>
                <w:p w14:paraId="003B6512">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w:t>
                  </w:r>
                </w:p>
              </w:tc>
              <w:tc>
                <w:tcPr>
                  <w:tcW w:w="317" w:type="pct"/>
                  <w:tcBorders>
                    <w:tl2br w:val="nil"/>
                    <w:tr2bl w:val="nil"/>
                  </w:tcBorders>
                  <w:shd w:val="clear" w:color="auto" w:fill="auto"/>
                  <w:vAlign w:val="center"/>
                </w:tcPr>
                <w:p w14:paraId="2ECCA4F0">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rPr>
                    <w:t>依托现有</w:t>
                  </w:r>
                </w:p>
              </w:tc>
            </w:tr>
            <w:tr w14:paraId="4506DE5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5777AD7E">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4705CC3D">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385" w:type="pct"/>
                  <w:gridSpan w:val="2"/>
                  <w:vMerge w:val="continue"/>
                  <w:tcBorders>
                    <w:tl2br w:val="nil"/>
                    <w:tr2bl w:val="nil"/>
                  </w:tcBorders>
                  <w:shd w:val="clear" w:color="auto" w:fill="auto"/>
                  <w:vAlign w:val="center"/>
                </w:tcPr>
                <w:p w14:paraId="1ABD2E4F">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p>
              </w:tc>
              <w:tc>
                <w:tcPr>
                  <w:tcW w:w="474" w:type="pct"/>
                  <w:tcBorders>
                    <w:tl2br w:val="nil"/>
                    <w:tr2bl w:val="nil"/>
                  </w:tcBorders>
                  <w:shd w:val="clear" w:color="auto" w:fill="auto"/>
                  <w:vAlign w:val="center"/>
                </w:tcPr>
                <w:p w14:paraId="0C06A1AF">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研发废水</w:t>
                  </w:r>
                </w:p>
              </w:tc>
              <w:tc>
                <w:tcPr>
                  <w:tcW w:w="1476" w:type="pct"/>
                  <w:tcBorders>
                    <w:tl2br w:val="nil"/>
                    <w:tr2bl w:val="nil"/>
                  </w:tcBorders>
                  <w:shd w:val="clear" w:color="auto" w:fill="auto"/>
                  <w:vAlign w:val="center"/>
                </w:tcPr>
                <w:p w14:paraId="55372474">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15t/d污水处理站TW002，处理工艺：灭活+絮凝+水解酸化+接触氧化+除磷反应池</w:t>
                  </w:r>
                </w:p>
              </w:tc>
              <w:tc>
                <w:tcPr>
                  <w:tcW w:w="1426" w:type="pct"/>
                  <w:tcBorders>
                    <w:tl2br w:val="nil"/>
                    <w:tr2bl w:val="nil"/>
                  </w:tcBorders>
                  <w:shd w:val="clear" w:color="auto" w:fill="auto"/>
                  <w:vAlign w:val="center"/>
                </w:tcPr>
                <w:p w14:paraId="13FE103B">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15t/d污水处理站TW002，处理工艺：灭活+絮凝+水解酸化+接触氧化+除磷反应池</w:t>
                  </w:r>
                </w:p>
              </w:tc>
              <w:tc>
                <w:tcPr>
                  <w:tcW w:w="546" w:type="pct"/>
                  <w:tcBorders>
                    <w:tl2br w:val="nil"/>
                    <w:tr2bl w:val="nil"/>
                  </w:tcBorders>
                  <w:vAlign w:val="center"/>
                </w:tcPr>
                <w:p w14:paraId="79D8CA11">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无</w:t>
                  </w:r>
                </w:p>
              </w:tc>
              <w:tc>
                <w:tcPr>
                  <w:tcW w:w="317" w:type="pct"/>
                  <w:tcBorders>
                    <w:tl2br w:val="nil"/>
                    <w:tr2bl w:val="nil"/>
                  </w:tcBorders>
                  <w:shd w:val="clear" w:color="auto" w:fill="auto"/>
                  <w:vAlign w:val="center"/>
                </w:tcPr>
                <w:p w14:paraId="2CD5BC9F">
                  <w:pPr>
                    <w:pStyle w:val="41"/>
                    <w:bidi w:val="0"/>
                    <w:ind w:firstLine="0" w:firstLineChars="0"/>
                    <w:rPr>
                      <w:rFonts w:hint="eastAsia" w:ascii="Times New Roman" w:hAnsi="Times New Roman" w:eastAsia="宋体" w:cs="Times New Roman"/>
                      <w:color w:val="auto"/>
                      <w:kern w:val="0"/>
                      <w:sz w:val="21"/>
                      <w:szCs w:val="24"/>
                      <w:lang w:val="en-US" w:eastAsia="zh-CN" w:bidi="ar-SA"/>
                    </w:rPr>
                  </w:pPr>
                  <w:r>
                    <w:rPr>
                      <w:rFonts w:hint="eastAsia"/>
                      <w:color w:val="auto"/>
                    </w:rPr>
                    <w:t>依托现有</w:t>
                  </w:r>
                </w:p>
              </w:tc>
            </w:tr>
            <w:tr w14:paraId="587B5EC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0EE5169B">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5F8C3749">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385" w:type="pct"/>
                  <w:gridSpan w:val="2"/>
                  <w:tcBorders>
                    <w:tl2br w:val="nil"/>
                    <w:tr2bl w:val="nil"/>
                  </w:tcBorders>
                  <w:shd w:val="clear" w:color="auto" w:fill="auto"/>
                  <w:vAlign w:val="center"/>
                </w:tcPr>
                <w:p w14:paraId="6E652F0F">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8号楼</w:t>
                  </w:r>
                </w:p>
              </w:tc>
              <w:tc>
                <w:tcPr>
                  <w:tcW w:w="474" w:type="pct"/>
                  <w:tcBorders>
                    <w:tl2br w:val="nil"/>
                    <w:tr2bl w:val="nil"/>
                  </w:tcBorders>
                  <w:shd w:val="clear" w:color="auto" w:fill="auto"/>
                  <w:vAlign w:val="center"/>
                </w:tcPr>
                <w:p w14:paraId="1CCF4027">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生活污水</w:t>
                  </w:r>
                </w:p>
              </w:tc>
              <w:tc>
                <w:tcPr>
                  <w:tcW w:w="1476" w:type="pct"/>
                  <w:tcBorders>
                    <w:tl2br w:val="nil"/>
                    <w:tr2bl w:val="nil"/>
                  </w:tcBorders>
                  <w:vAlign w:val="center"/>
                </w:tcPr>
                <w:p w14:paraId="2107172D">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30m</w:t>
                  </w:r>
                  <w:r>
                    <w:rPr>
                      <w:rFonts w:hint="eastAsia"/>
                      <w:color w:val="auto"/>
                      <w:highlight w:val="none"/>
                      <w:vertAlign w:val="superscript"/>
                      <w:lang w:val="en-US" w:eastAsia="zh-CN"/>
                    </w:rPr>
                    <w:t>3</w:t>
                  </w:r>
                  <w:r>
                    <w:rPr>
                      <w:rFonts w:hint="eastAsia"/>
                      <w:color w:val="auto"/>
                      <w:highlight w:val="none"/>
                      <w:lang w:val="en-US" w:eastAsia="zh-CN"/>
                    </w:rPr>
                    <w:t>化粪池TW001</w:t>
                  </w:r>
                </w:p>
              </w:tc>
              <w:tc>
                <w:tcPr>
                  <w:tcW w:w="1426" w:type="pct"/>
                  <w:tcBorders>
                    <w:tl2br w:val="nil"/>
                    <w:tr2bl w:val="nil"/>
                  </w:tcBorders>
                  <w:vAlign w:val="center"/>
                </w:tcPr>
                <w:p w14:paraId="06C6B4FA">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30m</w:t>
                  </w:r>
                  <w:r>
                    <w:rPr>
                      <w:rFonts w:hint="eastAsia"/>
                      <w:color w:val="auto"/>
                      <w:highlight w:val="none"/>
                      <w:vertAlign w:val="superscript"/>
                      <w:lang w:val="en-US" w:eastAsia="zh-CN"/>
                    </w:rPr>
                    <w:t>3</w:t>
                  </w:r>
                  <w:r>
                    <w:rPr>
                      <w:rFonts w:hint="eastAsia"/>
                      <w:color w:val="auto"/>
                      <w:highlight w:val="none"/>
                      <w:lang w:val="en-US" w:eastAsia="zh-CN"/>
                    </w:rPr>
                    <w:t>化粪池TW001</w:t>
                  </w:r>
                </w:p>
              </w:tc>
              <w:tc>
                <w:tcPr>
                  <w:tcW w:w="546" w:type="pct"/>
                  <w:tcBorders>
                    <w:tl2br w:val="nil"/>
                    <w:tr2bl w:val="nil"/>
                  </w:tcBorders>
                  <w:vAlign w:val="center"/>
                </w:tcPr>
                <w:p w14:paraId="6C7381D0">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无</w:t>
                  </w:r>
                </w:p>
              </w:tc>
              <w:tc>
                <w:tcPr>
                  <w:tcW w:w="317" w:type="pct"/>
                  <w:tcBorders>
                    <w:tl2br w:val="nil"/>
                    <w:tr2bl w:val="nil"/>
                  </w:tcBorders>
                  <w:shd w:val="clear" w:color="auto" w:fill="auto"/>
                  <w:vAlign w:val="center"/>
                </w:tcPr>
                <w:p w14:paraId="60DEE9D3">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rPr>
                    <w:t>依托现有</w:t>
                  </w:r>
                </w:p>
              </w:tc>
            </w:tr>
            <w:tr w14:paraId="1BB2499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205" w:type="pct"/>
                  <w:vMerge w:val="continue"/>
                  <w:tcBorders>
                    <w:tl2br w:val="nil"/>
                    <w:tr2bl w:val="nil"/>
                  </w:tcBorders>
                  <w:vAlign w:val="center"/>
                </w:tcPr>
                <w:p w14:paraId="52F992E6">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restart"/>
                  <w:tcBorders>
                    <w:tl2br w:val="nil"/>
                    <w:tr2bl w:val="nil"/>
                  </w:tcBorders>
                  <w:vAlign w:val="center"/>
                </w:tcPr>
                <w:p w14:paraId="4C40B160">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color w:val="auto"/>
                      <w:highlight w:val="none"/>
                    </w:rPr>
                    <w:t>废气</w:t>
                  </w:r>
                </w:p>
              </w:tc>
              <w:tc>
                <w:tcPr>
                  <w:tcW w:w="168" w:type="pct"/>
                  <w:vMerge w:val="restart"/>
                  <w:tcBorders>
                    <w:tl2br w:val="nil"/>
                    <w:tr2bl w:val="nil"/>
                  </w:tcBorders>
                  <w:vAlign w:val="center"/>
                </w:tcPr>
                <w:p w14:paraId="677C773B">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有组织</w:t>
                  </w:r>
                </w:p>
              </w:tc>
              <w:tc>
                <w:tcPr>
                  <w:tcW w:w="217" w:type="pct"/>
                  <w:vMerge w:val="restart"/>
                  <w:tcBorders>
                    <w:tl2br w:val="nil"/>
                    <w:tr2bl w:val="nil"/>
                  </w:tcBorders>
                  <w:vAlign w:val="center"/>
                </w:tcPr>
                <w:p w14:paraId="2CF5DA46">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1号楼</w:t>
                  </w:r>
                </w:p>
              </w:tc>
              <w:tc>
                <w:tcPr>
                  <w:tcW w:w="474" w:type="pct"/>
                  <w:tcBorders>
                    <w:tl2br w:val="nil"/>
                    <w:tr2bl w:val="nil"/>
                  </w:tcBorders>
                  <w:vAlign w:val="center"/>
                </w:tcPr>
                <w:p w14:paraId="25B773D7">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7F-12F研发废气、危化品库废气</w:t>
                  </w:r>
                </w:p>
              </w:tc>
              <w:tc>
                <w:tcPr>
                  <w:tcW w:w="1476" w:type="pct"/>
                  <w:tcBorders>
                    <w:tl2br w:val="nil"/>
                    <w:tr2bl w:val="nil"/>
                  </w:tcBorders>
                  <w:vAlign w:val="center"/>
                </w:tcPr>
                <w:p w14:paraId="4642002C">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w:t>
                  </w:r>
                </w:p>
              </w:tc>
              <w:tc>
                <w:tcPr>
                  <w:tcW w:w="1426" w:type="pct"/>
                  <w:tcBorders>
                    <w:tl2br w:val="nil"/>
                    <w:tr2bl w:val="nil"/>
                  </w:tcBorders>
                  <w:vAlign w:val="center"/>
                </w:tcPr>
                <w:p w14:paraId="0C2D2D85">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二级活性炭吸附装置TA005+楼顶70m排气筒DA005</w:t>
                  </w:r>
                </w:p>
              </w:tc>
              <w:tc>
                <w:tcPr>
                  <w:tcW w:w="546" w:type="pct"/>
                  <w:tcBorders>
                    <w:tl2br w:val="nil"/>
                    <w:tr2bl w:val="nil"/>
                  </w:tcBorders>
                  <w:vAlign w:val="center"/>
                </w:tcPr>
                <w:p w14:paraId="7A34DD3B">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新增废气治理设施</w:t>
                  </w:r>
                </w:p>
              </w:tc>
              <w:tc>
                <w:tcPr>
                  <w:tcW w:w="317" w:type="pct"/>
                  <w:tcBorders>
                    <w:tl2br w:val="nil"/>
                    <w:tr2bl w:val="nil"/>
                  </w:tcBorders>
                  <w:vAlign w:val="center"/>
                </w:tcPr>
                <w:p w14:paraId="07812087">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新建</w:t>
                  </w:r>
                </w:p>
              </w:tc>
            </w:tr>
            <w:tr w14:paraId="576B2C9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5" w:type="pct"/>
                  <w:vMerge w:val="continue"/>
                  <w:tcBorders>
                    <w:tl2br w:val="nil"/>
                    <w:tr2bl w:val="nil"/>
                  </w:tcBorders>
                  <w:vAlign w:val="center"/>
                </w:tcPr>
                <w:p w14:paraId="68BF3A2A">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0251CD15">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57645C2D">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217" w:type="pct"/>
                  <w:vMerge w:val="continue"/>
                  <w:tcBorders>
                    <w:tl2br w:val="nil"/>
                    <w:tr2bl w:val="nil"/>
                  </w:tcBorders>
                  <w:vAlign w:val="center"/>
                </w:tcPr>
                <w:p w14:paraId="49BC5D6B">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p>
              </w:tc>
              <w:tc>
                <w:tcPr>
                  <w:tcW w:w="474" w:type="pct"/>
                  <w:tcBorders>
                    <w:tl2br w:val="nil"/>
                    <w:tr2bl w:val="nil"/>
                  </w:tcBorders>
                  <w:vAlign w:val="center"/>
                </w:tcPr>
                <w:p w14:paraId="7865A660">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12F-17F研发废气、危化品库废气</w:t>
                  </w:r>
                </w:p>
              </w:tc>
              <w:tc>
                <w:tcPr>
                  <w:tcW w:w="1476" w:type="pct"/>
                  <w:tcBorders>
                    <w:tl2br w:val="nil"/>
                    <w:tr2bl w:val="nil"/>
                  </w:tcBorders>
                  <w:vAlign w:val="center"/>
                </w:tcPr>
                <w:p w14:paraId="043D75C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w:t>
                  </w:r>
                </w:p>
              </w:tc>
              <w:tc>
                <w:tcPr>
                  <w:tcW w:w="1426" w:type="pct"/>
                  <w:tcBorders>
                    <w:tl2br w:val="nil"/>
                    <w:tr2bl w:val="nil"/>
                  </w:tcBorders>
                  <w:vAlign w:val="center"/>
                </w:tcPr>
                <w:p w14:paraId="6E79FF2C">
                  <w:pPr>
                    <w:pStyle w:val="41"/>
                    <w:bidi w:val="0"/>
                    <w:rPr>
                      <w:rFonts w:hint="default"/>
                      <w:color w:val="auto"/>
                      <w:lang w:val="en-US" w:eastAsia="zh-CN"/>
                    </w:rPr>
                  </w:pPr>
                  <w:r>
                    <w:rPr>
                      <w:rFonts w:hint="eastAsia"/>
                      <w:color w:val="auto"/>
                      <w:lang w:val="en-US" w:eastAsia="zh-CN"/>
                    </w:rPr>
                    <w:t>二级活性炭吸附装置TA006+楼顶70m排气筒DA006</w:t>
                  </w:r>
                </w:p>
              </w:tc>
              <w:tc>
                <w:tcPr>
                  <w:tcW w:w="546" w:type="pct"/>
                  <w:tcBorders>
                    <w:tl2br w:val="nil"/>
                    <w:tr2bl w:val="nil"/>
                  </w:tcBorders>
                  <w:vAlign w:val="center"/>
                </w:tcPr>
                <w:p w14:paraId="7E6B44B3">
                  <w:pPr>
                    <w:pStyle w:val="41"/>
                    <w:bidi w:val="0"/>
                    <w:rPr>
                      <w:rFonts w:hint="eastAsia"/>
                      <w:color w:val="auto"/>
                      <w:lang w:val="en-US" w:eastAsia="zh-CN"/>
                    </w:rPr>
                  </w:pPr>
                  <w:r>
                    <w:rPr>
                      <w:rFonts w:hint="eastAsia"/>
                      <w:color w:val="auto"/>
                      <w:lang w:val="en-US" w:eastAsia="zh-CN"/>
                    </w:rPr>
                    <w:t>新增废气治理设施</w:t>
                  </w:r>
                </w:p>
              </w:tc>
              <w:tc>
                <w:tcPr>
                  <w:tcW w:w="317" w:type="pct"/>
                  <w:tcBorders>
                    <w:tl2br w:val="nil"/>
                    <w:tr2bl w:val="nil"/>
                  </w:tcBorders>
                  <w:vAlign w:val="center"/>
                </w:tcPr>
                <w:p w14:paraId="49EBA4EB">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新建</w:t>
                  </w:r>
                </w:p>
              </w:tc>
            </w:tr>
            <w:tr w14:paraId="17EEE05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5" w:type="pct"/>
                  <w:vMerge w:val="continue"/>
                  <w:tcBorders>
                    <w:tl2br w:val="nil"/>
                    <w:tr2bl w:val="nil"/>
                  </w:tcBorders>
                  <w:vAlign w:val="center"/>
                </w:tcPr>
                <w:p w14:paraId="72C3752E">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02E4C902">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61D5CFDA">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217" w:type="pct"/>
                  <w:tcBorders>
                    <w:tl2br w:val="nil"/>
                    <w:tr2bl w:val="nil"/>
                  </w:tcBorders>
                  <w:shd w:val="clear" w:color="auto" w:fill="auto"/>
                  <w:vAlign w:val="center"/>
                </w:tcPr>
                <w:p w14:paraId="1B077FF6">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5号楼</w:t>
                  </w:r>
                </w:p>
              </w:tc>
              <w:tc>
                <w:tcPr>
                  <w:tcW w:w="474" w:type="pct"/>
                  <w:tcBorders>
                    <w:tl2br w:val="nil"/>
                    <w:tr2bl w:val="nil"/>
                  </w:tcBorders>
                  <w:shd w:val="clear" w:color="auto" w:fill="auto"/>
                  <w:vAlign w:val="center"/>
                </w:tcPr>
                <w:p w14:paraId="00F3A885">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研发废气</w:t>
                  </w:r>
                </w:p>
              </w:tc>
              <w:tc>
                <w:tcPr>
                  <w:tcW w:w="1476" w:type="pct"/>
                  <w:tcBorders>
                    <w:tl2br w:val="nil"/>
                    <w:tr2bl w:val="nil"/>
                  </w:tcBorders>
                  <w:shd w:val="clear" w:color="auto" w:fill="auto"/>
                  <w:vAlign w:val="center"/>
                </w:tcPr>
                <w:p w14:paraId="486D875F">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UV光解+活性炭吸附装置”</w:t>
                  </w:r>
                  <w:r>
                    <w:rPr>
                      <w:rFonts w:hint="eastAsia"/>
                      <w:color w:val="auto"/>
                      <w:highlight w:val="none"/>
                      <w:lang w:val="en-US" w:eastAsia="zh-CN"/>
                    </w:rPr>
                    <w:t>T</w:t>
                  </w:r>
                  <w:r>
                    <w:rPr>
                      <w:rFonts w:hint="eastAsia"/>
                      <w:color w:val="auto"/>
                      <w:highlight w:val="none"/>
                    </w:rPr>
                    <w:t>A001</w:t>
                  </w:r>
                  <w:r>
                    <w:rPr>
                      <w:rFonts w:hint="eastAsia"/>
                      <w:color w:val="auto"/>
                      <w:highlight w:val="none"/>
                      <w:lang w:val="en-US" w:eastAsia="zh-CN"/>
                    </w:rPr>
                    <w:t>+楼顶</w:t>
                  </w:r>
                  <w:r>
                    <w:rPr>
                      <w:rFonts w:hint="eastAsia"/>
                      <w:color w:val="auto"/>
                      <w:highlight w:val="none"/>
                    </w:rPr>
                    <w:t>30m排气筒DA001</w:t>
                  </w:r>
                </w:p>
              </w:tc>
              <w:tc>
                <w:tcPr>
                  <w:tcW w:w="1426" w:type="pct"/>
                  <w:tcBorders>
                    <w:tl2br w:val="nil"/>
                    <w:tr2bl w:val="nil"/>
                  </w:tcBorders>
                  <w:shd w:val="clear" w:color="auto" w:fill="auto"/>
                  <w:vAlign w:val="center"/>
                </w:tcPr>
                <w:p w14:paraId="1F2FEE4E">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546" w:type="pct"/>
                  <w:tcBorders>
                    <w:tl2br w:val="nil"/>
                    <w:tr2bl w:val="nil"/>
                  </w:tcBorders>
                  <w:shd w:val="clear" w:color="auto" w:fill="auto"/>
                  <w:vAlign w:val="center"/>
                </w:tcPr>
                <w:p w14:paraId="543C48AD">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拆除</w:t>
                  </w:r>
                </w:p>
              </w:tc>
              <w:tc>
                <w:tcPr>
                  <w:tcW w:w="317" w:type="pct"/>
                  <w:tcBorders>
                    <w:tl2br w:val="nil"/>
                    <w:tr2bl w:val="nil"/>
                  </w:tcBorders>
                  <w:shd w:val="clear" w:color="auto" w:fill="auto"/>
                  <w:vAlign w:val="center"/>
                </w:tcPr>
                <w:p w14:paraId="33F8B4A9">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r>
            <w:tr w14:paraId="561F410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5" w:type="pct"/>
                  <w:vMerge w:val="continue"/>
                  <w:tcBorders>
                    <w:tl2br w:val="nil"/>
                    <w:tr2bl w:val="nil"/>
                  </w:tcBorders>
                  <w:vAlign w:val="center"/>
                </w:tcPr>
                <w:p w14:paraId="1E452008">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6C0B8F3A">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4C7BB3D0">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217" w:type="pct"/>
                  <w:vMerge w:val="restart"/>
                  <w:tcBorders>
                    <w:tl2br w:val="nil"/>
                    <w:tr2bl w:val="nil"/>
                  </w:tcBorders>
                  <w:shd w:val="clear" w:color="auto" w:fill="auto"/>
                  <w:vAlign w:val="center"/>
                </w:tcPr>
                <w:p w14:paraId="4956A2EC">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highlight w:val="none"/>
                      <w:lang w:val="en-US" w:eastAsia="zh-CN"/>
                    </w:rPr>
                  </w:pPr>
                  <w:r>
                    <w:rPr>
                      <w:rFonts w:hint="eastAsia"/>
                      <w:color w:val="auto"/>
                      <w:highlight w:val="none"/>
                      <w:lang w:val="en-US" w:eastAsia="zh-CN"/>
                    </w:rPr>
                    <w:t>7号楼</w:t>
                  </w:r>
                </w:p>
              </w:tc>
              <w:tc>
                <w:tcPr>
                  <w:tcW w:w="474" w:type="pct"/>
                  <w:tcBorders>
                    <w:tl2br w:val="nil"/>
                    <w:tr2bl w:val="nil"/>
                  </w:tcBorders>
                  <w:shd w:val="clear" w:color="auto" w:fill="auto"/>
                  <w:vAlign w:val="center"/>
                </w:tcPr>
                <w:p w14:paraId="137755C4">
                  <w:pPr>
                    <w:pStyle w:val="41"/>
                    <w:bidi w:val="0"/>
                    <w:rPr>
                      <w:rFonts w:hint="eastAsia"/>
                      <w:color w:val="auto"/>
                      <w:lang w:val="en-US" w:eastAsia="zh-CN"/>
                    </w:rPr>
                  </w:pPr>
                  <w:r>
                    <w:rPr>
                      <w:rFonts w:hint="eastAsia"/>
                      <w:color w:val="auto"/>
                      <w:lang w:val="en-US" w:eastAsia="zh-CN"/>
                    </w:rPr>
                    <w:t>研发废气</w:t>
                  </w:r>
                </w:p>
              </w:tc>
              <w:tc>
                <w:tcPr>
                  <w:tcW w:w="1476" w:type="pct"/>
                  <w:tcBorders>
                    <w:tl2br w:val="nil"/>
                    <w:tr2bl w:val="nil"/>
                  </w:tcBorders>
                  <w:shd w:val="clear" w:color="auto" w:fill="auto"/>
                  <w:vAlign w:val="center"/>
                </w:tcPr>
                <w:p w14:paraId="75BF064F">
                  <w:pPr>
                    <w:pStyle w:val="41"/>
                    <w:bidi w:val="0"/>
                    <w:rPr>
                      <w:rFonts w:hint="eastAsia"/>
                      <w:color w:val="auto"/>
                      <w:lang w:val="en-US" w:eastAsia="zh-CN"/>
                    </w:rPr>
                  </w:pPr>
                  <w:r>
                    <w:rPr>
                      <w:rFonts w:hint="eastAsia"/>
                      <w:color w:val="auto"/>
                      <w:lang w:val="en-US" w:eastAsia="zh-CN"/>
                    </w:rPr>
                    <w:t>活性炭吸附装置TA002+楼顶30m排气筒DA002</w:t>
                  </w:r>
                </w:p>
              </w:tc>
              <w:tc>
                <w:tcPr>
                  <w:tcW w:w="1426" w:type="pct"/>
                  <w:tcBorders>
                    <w:tl2br w:val="nil"/>
                    <w:tr2bl w:val="nil"/>
                  </w:tcBorders>
                  <w:shd w:val="clear" w:color="auto" w:fill="auto"/>
                  <w:vAlign w:val="center"/>
                </w:tcPr>
                <w:p w14:paraId="4D02E10A">
                  <w:pPr>
                    <w:pStyle w:val="41"/>
                    <w:bidi w:val="0"/>
                    <w:ind w:firstLine="0" w:firstLineChars="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活性炭吸附装置TA002+楼顶30m排气筒DA002</w:t>
                  </w:r>
                </w:p>
              </w:tc>
              <w:tc>
                <w:tcPr>
                  <w:tcW w:w="546" w:type="pct"/>
                  <w:tcBorders>
                    <w:tl2br w:val="nil"/>
                    <w:tr2bl w:val="nil"/>
                  </w:tcBorders>
                  <w:shd w:val="clear" w:color="auto" w:fill="auto"/>
                  <w:vAlign w:val="center"/>
                </w:tcPr>
                <w:p w14:paraId="7F0A3008">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w:t>
                  </w:r>
                </w:p>
              </w:tc>
              <w:tc>
                <w:tcPr>
                  <w:tcW w:w="317" w:type="pct"/>
                  <w:tcBorders>
                    <w:tl2br w:val="nil"/>
                    <w:tr2bl w:val="nil"/>
                  </w:tcBorders>
                  <w:shd w:val="clear" w:color="auto" w:fill="auto"/>
                  <w:vAlign w:val="center"/>
                </w:tcPr>
                <w:p w14:paraId="24B5CF78">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rPr>
                    <w:t>依托现有</w:t>
                  </w:r>
                </w:p>
              </w:tc>
            </w:tr>
            <w:tr w14:paraId="6C3841D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5" w:type="pct"/>
                  <w:vMerge w:val="continue"/>
                  <w:tcBorders>
                    <w:tl2br w:val="nil"/>
                    <w:tr2bl w:val="nil"/>
                  </w:tcBorders>
                  <w:vAlign w:val="center"/>
                </w:tcPr>
                <w:p w14:paraId="49B9E3F5">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2C112E06">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1B0D74D2">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217" w:type="pct"/>
                  <w:vMerge w:val="continue"/>
                  <w:tcBorders>
                    <w:tl2br w:val="nil"/>
                    <w:tr2bl w:val="nil"/>
                  </w:tcBorders>
                  <w:shd w:val="clear" w:color="auto" w:fill="auto"/>
                  <w:vAlign w:val="center"/>
                </w:tcPr>
                <w:p w14:paraId="4DA8E0C7">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highlight w:val="none"/>
                      <w:lang w:val="en-US" w:eastAsia="zh-CN"/>
                    </w:rPr>
                  </w:pPr>
                </w:p>
              </w:tc>
              <w:tc>
                <w:tcPr>
                  <w:tcW w:w="474" w:type="pct"/>
                  <w:tcBorders>
                    <w:tl2br w:val="nil"/>
                    <w:tr2bl w:val="nil"/>
                  </w:tcBorders>
                  <w:shd w:val="clear" w:color="auto" w:fill="auto"/>
                  <w:vAlign w:val="center"/>
                </w:tcPr>
                <w:p w14:paraId="36123D17">
                  <w:pPr>
                    <w:pStyle w:val="41"/>
                    <w:bidi w:val="0"/>
                    <w:rPr>
                      <w:rFonts w:hint="default"/>
                      <w:color w:val="auto"/>
                      <w:lang w:val="en-US" w:eastAsia="zh-CN"/>
                    </w:rPr>
                  </w:pPr>
                  <w:r>
                    <w:rPr>
                      <w:rFonts w:hint="eastAsia"/>
                      <w:color w:val="auto"/>
                      <w:lang w:val="en-US" w:eastAsia="zh-CN"/>
                    </w:rPr>
                    <w:t>发酵废气</w:t>
                  </w:r>
                </w:p>
              </w:tc>
              <w:tc>
                <w:tcPr>
                  <w:tcW w:w="1476" w:type="pct"/>
                  <w:tcBorders>
                    <w:tl2br w:val="nil"/>
                    <w:tr2bl w:val="nil"/>
                  </w:tcBorders>
                  <w:shd w:val="clear" w:color="auto" w:fill="auto"/>
                  <w:vAlign w:val="center"/>
                </w:tcPr>
                <w:p w14:paraId="0B4FCFCB">
                  <w:pPr>
                    <w:pStyle w:val="41"/>
                    <w:bidi w:val="0"/>
                    <w:rPr>
                      <w:rFonts w:hint="eastAsia"/>
                      <w:color w:val="auto"/>
                      <w:lang w:val="en-US" w:eastAsia="zh-CN"/>
                    </w:rPr>
                  </w:pPr>
                  <w:r>
                    <w:rPr>
                      <w:rFonts w:hint="eastAsia"/>
                      <w:color w:val="auto"/>
                      <w:lang w:val="en-US" w:eastAsia="zh-CN"/>
                    </w:rPr>
                    <w:t>25m排气筒DA003</w:t>
                  </w:r>
                </w:p>
              </w:tc>
              <w:tc>
                <w:tcPr>
                  <w:tcW w:w="1426" w:type="pct"/>
                  <w:tcBorders>
                    <w:tl2br w:val="nil"/>
                    <w:tr2bl w:val="nil"/>
                  </w:tcBorders>
                  <w:shd w:val="clear" w:color="auto" w:fill="auto"/>
                  <w:vAlign w:val="center"/>
                </w:tcPr>
                <w:p w14:paraId="0A291C42">
                  <w:pPr>
                    <w:pStyle w:val="41"/>
                    <w:bidi w:val="0"/>
                    <w:ind w:firstLine="0" w:firstLineChars="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25m排气筒DA003</w:t>
                  </w:r>
                </w:p>
              </w:tc>
              <w:tc>
                <w:tcPr>
                  <w:tcW w:w="546" w:type="pct"/>
                  <w:tcBorders>
                    <w:tl2br w:val="nil"/>
                    <w:tr2bl w:val="nil"/>
                  </w:tcBorders>
                  <w:shd w:val="clear" w:color="auto" w:fill="auto"/>
                  <w:vAlign w:val="center"/>
                </w:tcPr>
                <w:p w14:paraId="66EA7E03">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w:t>
                  </w:r>
                </w:p>
              </w:tc>
              <w:tc>
                <w:tcPr>
                  <w:tcW w:w="317" w:type="pct"/>
                  <w:tcBorders>
                    <w:tl2br w:val="nil"/>
                    <w:tr2bl w:val="nil"/>
                  </w:tcBorders>
                  <w:shd w:val="clear" w:color="auto" w:fill="auto"/>
                  <w:vAlign w:val="center"/>
                </w:tcPr>
                <w:p w14:paraId="63F8C6D9">
                  <w:pPr>
                    <w:pStyle w:val="41"/>
                    <w:bidi w:val="0"/>
                    <w:ind w:firstLine="0" w:firstLineChars="0"/>
                    <w:rPr>
                      <w:rFonts w:hint="default" w:ascii="Times New Roman" w:hAnsi="Times New Roman" w:eastAsia="宋体" w:cs="Times New Roman"/>
                      <w:color w:val="auto"/>
                      <w:kern w:val="0"/>
                      <w:sz w:val="21"/>
                      <w:szCs w:val="24"/>
                      <w:lang w:val="en-US" w:eastAsia="zh-CN" w:bidi="ar-SA"/>
                    </w:rPr>
                  </w:pPr>
                  <w:r>
                    <w:rPr>
                      <w:rFonts w:hint="eastAsia"/>
                      <w:color w:val="auto"/>
                    </w:rPr>
                    <w:t>依托现有</w:t>
                  </w:r>
                </w:p>
              </w:tc>
            </w:tr>
            <w:tr w14:paraId="6AF82DB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5" w:type="pct"/>
                  <w:vMerge w:val="continue"/>
                  <w:tcBorders>
                    <w:tl2br w:val="nil"/>
                    <w:tr2bl w:val="nil"/>
                  </w:tcBorders>
                  <w:vAlign w:val="center"/>
                </w:tcPr>
                <w:p w14:paraId="27DE2175">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46C5D07F">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4F5D90FD">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217" w:type="pct"/>
                  <w:vMerge w:val="continue"/>
                  <w:tcBorders>
                    <w:tl2br w:val="nil"/>
                    <w:tr2bl w:val="nil"/>
                  </w:tcBorders>
                  <w:shd w:val="clear" w:color="auto" w:fill="auto"/>
                  <w:vAlign w:val="center"/>
                </w:tcPr>
                <w:p w14:paraId="6E825DE7">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highlight w:val="none"/>
                      <w:lang w:val="en-US" w:eastAsia="zh-CN"/>
                    </w:rPr>
                  </w:pPr>
                </w:p>
              </w:tc>
              <w:tc>
                <w:tcPr>
                  <w:tcW w:w="474" w:type="pct"/>
                  <w:tcBorders>
                    <w:tl2br w:val="nil"/>
                    <w:tr2bl w:val="nil"/>
                  </w:tcBorders>
                  <w:shd w:val="clear" w:color="auto" w:fill="auto"/>
                  <w:vAlign w:val="center"/>
                </w:tcPr>
                <w:p w14:paraId="7D5A0464">
                  <w:pPr>
                    <w:pStyle w:val="41"/>
                    <w:bidi w:val="0"/>
                    <w:rPr>
                      <w:rFonts w:hint="default"/>
                      <w:color w:val="auto"/>
                      <w:lang w:val="en-US" w:eastAsia="zh-CN"/>
                    </w:rPr>
                  </w:pPr>
                  <w:r>
                    <w:rPr>
                      <w:rFonts w:hint="eastAsia"/>
                      <w:color w:val="auto"/>
                      <w:lang w:val="en-US" w:eastAsia="zh-CN"/>
                    </w:rPr>
                    <w:t>锅炉燃烧废气</w:t>
                  </w:r>
                </w:p>
              </w:tc>
              <w:tc>
                <w:tcPr>
                  <w:tcW w:w="1476" w:type="pct"/>
                  <w:tcBorders>
                    <w:tl2br w:val="nil"/>
                    <w:tr2bl w:val="nil"/>
                  </w:tcBorders>
                  <w:shd w:val="clear" w:color="auto" w:fill="auto"/>
                  <w:vAlign w:val="center"/>
                </w:tcPr>
                <w:p w14:paraId="0ADCF094">
                  <w:pPr>
                    <w:pStyle w:val="41"/>
                    <w:bidi w:val="0"/>
                    <w:rPr>
                      <w:rFonts w:hint="eastAsia"/>
                      <w:color w:val="auto"/>
                      <w:lang w:val="en-US" w:eastAsia="zh-CN"/>
                    </w:rPr>
                  </w:pPr>
                  <w:r>
                    <w:rPr>
                      <w:rFonts w:hint="eastAsia"/>
                      <w:color w:val="auto"/>
                      <w:lang w:val="en-US" w:eastAsia="zh-CN"/>
                    </w:rPr>
                    <w:t>30m排气筒DA004</w:t>
                  </w:r>
                </w:p>
              </w:tc>
              <w:tc>
                <w:tcPr>
                  <w:tcW w:w="1426" w:type="pct"/>
                  <w:tcBorders>
                    <w:tl2br w:val="nil"/>
                    <w:tr2bl w:val="nil"/>
                  </w:tcBorders>
                  <w:shd w:val="clear" w:color="auto" w:fill="auto"/>
                  <w:vAlign w:val="center"/>
                </w:tcPr>
                <w:p w14:paraId="1D0F4977">
                  <w:pPr>
                    <w:pStyle w:val="41"/>
                    <w:bidi w:val="0"/>
                    <w:ind w:firstLine="0" w:firstLineChars="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30m排气筒DA004</w:t>
                  </w:r>
                </w:p>
              </w:tc>
              <w:tc>
                <w:tcPr>
                  <w:tcW w:w="546" w:type="pct"/>
                  <w:tcBorders>
                    <w:tl2br w:val="nil"/>
                    <w:tr2bl w:val="nil"/>
                  </w:tcBorders>
                  <w:shd w:val="clear" w:color="auto" w:fill="auto"/>
                  <w:vAlign w:val="center"/>
                </w:tcPr>
                <w:p w14:paraId="39F3C235">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w:t>
                  </w:r>
                </w:p>
              </w:tc>
              <w:tc>
                <w:tcPr>
                  <w:tcW w:w="317" w:type="pct"/>
                  <w:tcBorders>
                    <w:tl2br w:val="nil"/>
                    <w:tr2bl w:val="nil"/>
                  </w:tcBorders>
                  <w:shd w:val="clear" w:color="auto" w:fill="auto"/>
                  <w:vAlign w:val="center"/>
                </w:tcPr>
                <w:p w14:paraId="3DA0772F">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rPr>
                    <w:t>依托现有</w:t>
                  </w:r>
                </w:p>
              </w:tc>
            </w:tr>
            <w:tr w14:paraId="52528A0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56105B74">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41CF7977">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restart"/>
                  <w:tcBorders>
                    <w:tl2br w:val="nil"/>
                    <w:tr2bl w:val="nil"/>
                  </w:tcBorders>
                  <w:vAlign w:val="center"/>
                </w:tcPr>
                <w:p w14:paraId="7008DF8D">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无组织</w:t>
                  </w:r>
                </w:p>
              </w:tc>
              <w:tc>
                <w:tcPr>
                  <w:tcW w:w="217" w:type="pct"/>
                  <w:vMerge w:val="restart"/>
                  <w:tcBorders>
                    <w:tl2br w:val="nil"/>
                    <w:tr2bl w:val="nil"/>
                  </w:tcBorders>
                  <w:vAlign w:val="center"/>
                </w:tcPr>
                <w:p w14:paraId="48583190">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1号楼</w:t>
                  </w:r>
                </w:p>
              </w:tc>
              <w:tc>
                <w:tcPr>
                  <w:tcW w:w="474" w:type="pct"/>
                  <w:tcBorders>
                    <w:tl2br w:val="nil"/>
                    <w:tr2bl w:val="nil"/>
                  </w:tcBorders>
                  <w:shd w:val="clear" w:color="auto" w:fill="auto"/>
                  <w:vAlign w:val="center"/>
                </w:tcPr>
                <w:p w14:paraId="07F0C765">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细胞培养废气</w:t>
                  </w:r>
                </w:p>
              </w:tc>
              <w:tc>
                <w:tcPr>
                  <w:tcW w:w="1476" w:type="pct"/>
                  <w:tcBorders>
                    <w:tl2br w:val="nil"/>
                    <w:tr2bl w:val="nil"/>
                  </w:tcBorders>
                  <w:shd w:val="clear" w:color="auto" w:fill="auto"/>
                  <w:vAlign w:val="center"/>
                </w:tcPr>
                <w:p w14:paraId="7DF021E8">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1426" w:type="pct"/>
                  <w:tcBorders>
                    <w:tl2br w:val="nil"/>
                    <w:tr2bl w:val="nil"/>
                  </w:tcBorders>
                  <w:shd w:val="clear" w:color="auto" w:fill="auto"/>
                  <w:vAlign w:val="center"/>
                </w:tcPr>
                <w:p w14:paraId="5FB5D7C1">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经过生物安全柜配备的ULPA过滤器处理后无组织排放</w:t>
                  </w:r>
                </w:p>
              </w:tc>
              <w:tc>
                <w:tcPr>
                  <w:tcW w:w="546" w:type="pct"/>
                  <w:tcBorders>
                    <w:tl2br w:val="nil"/>
                    <w:tr2bl w:val="nil"/>
                  </w:tcBorders>
                  <w:vAlign w:val="center"/>
                </w:tcPr>
                <w:p w14:paraId="68DAF9F2">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由3号楼搬迁</w:t>
                  </w:r>
                </w:p>
              </w:tc>
              <w:tc>
                <w:tcPr>
                  <w:tcW w:w="317" w:type="pct"/>
                  <w:tcBorders>
                    <w:tl2br w:val="nil"/>
                    <w:tr2bl w:val="nil"/>
                  </w:tcBorders>
                  <w:vAlign w:val="center"/>
                </w:tcPr>
                <w:p w14:paraId="1B4D9039">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依托现有</w:t>
                  </w:r>
                </w:p>
              </w:tc>
            </w:tr>
            <w:tr w14:paraId="2154E1E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4FEDF024">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6F5B3C5F">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72425A5E">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rPr>
                  </w:pPr>
                </w:p>
              </w:tc>
              <w:tc>
                <w:tcPr>
                  <w:tcW w:w="217" w:type="pct"/>
                  <w:vMerge w:val="continue"/>
                  <w:tcBorders>
                    <w:tl2br w:val="nil"/>
                    <w:tr2bl w:val="nil"/>
                  </w:tcBorders>
                  <w:vAlign w:val="center"/>
                </w:tcPr>
                <w:p w14:paraId="1CCEEA08">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p>
              </w:tc>
              <w:tc>
                <w:tcPr>
                  <w:tcW w:w="474" w:type="pct"/>
                  <w:tcBorders>
                    <w:tl2br w:val="nil"/>
                    <w:tr2bl w:val="nil"/>
                  </w:tcBorders>
                  <w:shd w:val="clear" w:color="auto" w:fill="auto"/>
                  <w:vAlign w:val="center"/>
                </w:tcPr>
                <w:p w14:paraId="01A40AEC">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污水站废气</w:t>
                  </w:r>
                </w:p>
              </w:tc>
              <w:tc>
                <w:tcPr>
                  <w:tcW w:w="1476" w:type="pct"/>
                  <w:tcBorders>
                    <w:tl2br w:val="nil"/>
                    <w:tr2bl w:val="nil"/>
                  </w:tcBorders>
                  <w:shd w:val="clear" w:color="auto" w:fill="auto"/>
                  <w:vAlign w:val="center"/>
                </w:tcPr>
                <w:p w14:paraId="64CF8465">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1426" w:type="pct"/>
                  <w:tcBorders>
                    <w:tl2br w:val="nil"/>
                    <w:tr2bl w:val="nil"/>
                  </w:tcBorders>
                  <w:shd w:val="clear" w:color="auto" w:fill="auto"/>
                  <w:vAlign w:val="center"/>
                </w:tcPr>
                <w:p w14:paraId="0238E122">
                  <w:pPr>
                    <w:pStyle w:val="41"/>
                    <w:bidi w:val="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池体加盖密封，少量逸散废气无组织排放</w:t>
                  </w:r>
                </w:p>
              </w:tc>
              <w:tc>
                <w:tcPr>
                  <w:tcW w:w="546" w:type="pct"/>
                  <w:tcBorders>
                    <w:tl2br w:val="nil"/>
                    <w:tr2bl w:val="nil"/>
                  </w:tcBorders>
                  <w:shd w:val="clear" w:color="auto" w:fill="auto"/>
                  <w:vAlign w:val="center"/>
                </w:tcPr>
                <w:p w14:paraId="38A1516B">
                  <w:pPr>
                    <w:pStyle w:val="41"/>
                    <w:bidi w:val="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w:t>
                  </w:r>
                </w:p>
              </w:tc>
              <w:tc>
                <w:tcPr>
                  <w:tcW w:w="317" w:type="pct"/>
                  <w:tcBorders>
                    <w:tl2br w:val="nil"/>
                    <w:tr2bl w:val="nil"/>
                  </w:tcBorders>
                  <w:shd w:val="clear" w:color="auto" w:fill="auto"/>
                  <w:vAlign w:val="center"/>
                </w:tcPr>
                <w:p w14:paraId="10A63752">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r>
            <w:tr w14:paraId="700A745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75C23276">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4CC0AB4A">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4FD51965">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217" w:type="pct"/>
                  <w:tcBorders>
                    <w:tl2br w:val="nil"/>
                    <w:tr2bl w:val="nil"/>
                  </w:tcBorders>
                  <w:vAlign w:val="center"/>
                </w:tcPr>
                <w:p w14:paraId="6960BAAE">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3号楼</w:t>
                  </w:r>
                </w:p>
              </w:tc>
              <w:tc>
                <w:tcPr>
                  <w:tcW w:w="474" w:type="pct"/>
                  <w:tcBorders>
                    <w:tl2br w:val="nil"/>
                    <w:tr2bl w:val="nil"/>
                  </w:tcBorders>
                  <w:vAlign w:val="center"/>
                </w:tcPr>
                <w:p w14:paraId="071263C1">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细胞培养废气</w:t>
                  </w:r>
                </w:p>
              </w:tc>
              <w:tc>
                <w:tcPr>
                  <w:tcW w:w="1476" w:type="pct"/>
                  <w:tcBorders>
                    <w:tl2br w:val="nil"/>
                    <w:tr2bl w:val="nil"/>
                  </w:tcBorders>
                  <w:vAlign w:val="center"/>
                </w:tcPr>
                <w:p w14:paraId="2BA5A8C0">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经过生物安全柜配备的ULPA过滤器处理后无组织排放</w:t>
                  </w:r>
                </w:p>
              </w:tc>
              <w:tc>
                <w:tcPr>
                  <w:tcW w:w="1426" w:type="pct"/>
                  <w:tcBorders>
                    <w:tl2br w:val="nil"/>
                    <w:tr2bl w:val="nil"/>
                  </w:tcBorders>
                  <w:vAlign w:val="center"/>
                </w:tcPr>
                <w:p w14:paraId="4BBC998B">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w:t>
                  </w:r>
                </w:p>
              </w:tc>
              <w:tc>
                <w:tcPr>
                  <w:tcW w:w="546" w:type="pct"/>
                  <w:tcBorders>
                    <w:tl2br w:val="nil"/>
                    <w:tr2bl w:val="nil"/>
                  </w:tcBorders>
                  <w:vAlign w:val="center"/>
                </w:tcPr>
                <w:p w14:paraId="67F79142">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搬迁至1号楼</w:t>
                  </w:r>
                </w:p>
              </w:tc>
              <w:tc>
                <w:tcPr>
                  <w:tcW w:w="317" w:type="pct"/>
                  <w:tcBorders>
                    <w:tl2br w:val="nil"/>
                    <w:tr2bl w:val="nil"/>
                  </w:tcBorders>
                  <w:vAlign w:val="center"/>
                </w:tcPr>
                <w:p w14:paraId="10B23B9F">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highlight w:val="none"/>
                      <w:lang w:eastAsia="zh-CN"/>
                    </w:rPr>
                  </w:pPr>
                  <w:r>
                    <w:rPr>
                      <w:rFonts w:hint="eastAsia"/>
                      <w:color w:val="auto"/>
                      <w:highlight w:val="none"/>
                      <w:lang w:val="en-US" w:eastAsia="zh-CN"/>
                    </w:rPr>
                    <w:t>/</w:t>
                  </w:r>
                </w:p>
              </w:tc>
            </w:tr>
            <w:tr w14:paraId="6EF6A49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5A0C1EFC">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5DAD8A38">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vMerge w:val="continue"/>
                  <w:tcBorders>
                    <w:tl2br w:val="nil"/>
                    <w:tr2bl w:val="nil"/>
                  </w:tcBorders>
                  <w:vAlign w:val="center"/>
                </w:tcPr>
                <w:p w14:paraId="51139091">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217" w:type="pct"/>
                  <w:tcBorders>
                    <w:tl2br w:val="nil"/>
                    <w:tr2bl w:val="nil"/>
                  </w:tcBorders>
                  <w:shd w:val="clear" w:color="auto" w:fill="auto"/>
                  <w:vAlign w:val="center"/>
                </w:tcPr>
                <w:p w14:paraId="14B40BA3">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6号楼</w:t>
                  </w:r>
                </w:p>
              </w:tc>
              <w:tc>
                <w:tcPr>
                  <w:tcW w:w="474" w:type="pct"/>
                  <w:tcBorders>
                    <w:tl2br w:val="nil"/>
                    <w:tr2bl w:val="nil"/>
                  </w:tcBorders>
                  <w:shd w:val="clear" w:color="auto" w:fill="auto"/>
                  <w:vAlign w:val="center"/>
                </w:tcPr>
                <w:p w14:paraId="28E01072">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细胞培养废气</w:t>
                  </w:r>
                </w:p>
              </w:tc>
              <w:tc>
                <w:tcPr>
                  <w:tcW w:w="1476" w:type="pct"/>
                  <w:tcBorders>
                    <w:tl2br w:val="nil"/>
                    <w:tr2bl w:val="nil"/>
                  </w:tcBorders>
                  <w:shd w:val="clear" w:color="auto" w:fill="auto"/>
                  <w:vAlign w:val="center"/>
                </w:tcPr>
                <w:p w14:paraId="451A72D9">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经过生物安全柜配备的ULPA过滤器处理后无组织排放</w:t>
                  </w:r>
                </w:p>
              </w:tc>
              <w:tc>
                <w:tcPr>
                  <w:tcW w:w="1426" w:type="pct"/>
                  <w:tcBorders>
                    <w:tl2br w:val="nil"/>
                    <w:tr2bl w:val="nil"/>
                  </w:tcBorders>
                  <w:vAlign w:val="center"/>
                </w:tcPr>
                <w:p w14:paraId="5B751DE8">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rPr>
                  </w:pPr>
                  <w:r>
                    <w:rPr>
                      <w:rFonts w:hint="eastAsia"/>
                      <w:color w:val="auto"/>
                      <w:highlight w:val="none"/>
                      <w:lang w:val="en-US" w:eastAsia="zh-CN"/>
                    </w:rPr>
                    <w:t>经过生物安全柜配备的ULPA过滤器处理后无组织排放</w:t>
                  </w:r>
                </w:p>
              </w:tc>
              <w:tc>
                <w:tcPr>
                  <w:tcW w:w="546" w:type="pct"/>
                  <w:tcBorders>
                    <w:tl2br w:val="nil"/>
                    <w:tr2bl w:val="nil"/>
                  </w:tcBorders>
                  <w:shd w:val="clear" w:color="auto" w:fill="auto"/>
                  <w:vAlign w:val="center"/>
                </w:tcPr>
                <w:p w14:paraId="1C3E70E4">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w:t>
                  </w:r>
                </w:p>
              </w:tc>
              <w:tc>
                <w:tcPr>
                  <w:tcW w:w="317" w:type="pct"/>
                  <w:tcBorders>
                    <w:tl2br w:val="nil"/>
                    <w:tr2bl w:val="nil"/>
                  </w:tcBorders>
                  <w:shd w:val="clear" w:color="auto" w:fill="auto"/>
                  <w:vAlign w:val="center"/>
                </w:tcPr>
                <w:p w14:paraId="32F102AB">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rPr>
                    <w:t>依托现有</w:t>
                  </w:r>
                </w:p>
              </w:tc>
            </w:tr>
            <w:tr w14:paraId="37C25B7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4778D329">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028" w:type="pct"/>
                  <w:gridSpan w:val="4"/>
                  <w:tcBorders>
                    <w:tl2br w:val="nil"/>
                    <w:tr2bl w:val="nil"/>
                  </w:tcBorders>
                  <w:vAlign w:val="center"/>
                </w:tcPr>
                <w:p w14:paraId="3A6ACC34">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color w:val="auto"/>
                      <w:highlight w:val="none"/>
                    </w:rPr>
                    <w:t>噪声治理</w:t>
                  </w:r>
                </w:p>
              </w:tc>
              <w:tc>
                <w:tcPr>
                  <w:tcW w:w="1476" w:type="pct"/>
                  <w:tcBorders>
                    <w:tl2br w:val="nil"/>
                    <w:tr2bl w:val="nil"/>
                  </w:tcBorders>
                  <w:vAlign w:val="center"/>
                </w:tcPr>
                <w:p w14:paraId="2A211C80">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rPr>
                  </w:pPr>
                  <w:r>
                    <w:rPr>
                      <w:rFonts w:hint="eastAsia"/>
                      <w:color w:val="auto"/>
                      <w:highlight w:val="none"/>
                    </w:rPr>
                    <w:t>选用低噪声设备，合理布局，增强建筑隔声等措施等</w:t>
                  </w:r>
                </w:p>
              </w:tc>
              <w:tc>
                <w:tcPr>
                  <w:tcW w:w="1426" w:type="pct"/>
                  <w:tcBorders>
                    <w:tl2br w:val="nil"/>
                    <w:tr2bl w:val="nil"/>
                  </w:tcBorders>
                  <w:vAlign w:val="center"/>
                </w:tcPr>
                <w:p w14:paraId="4DC5C06D">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eastAsia="zh-CN"/>
                    </w:rPr>
                  </w:pPr>
                  <w:r>
                    <w:rPr>
                      <w:rFonts w:hint="eastAsia"/>
                      <w:color w:val="auto"/>
                      <w:highlight w:val="none"/>
                    </w:rPr>
                    <w:t>选用低噪声设备，合理布局，增强建筑隔声等措施等</w:t>
                  </w:r>
                </w:p>
              </w:tc>
              <w:tc>
                <w:tcPr>
                  <w:tcW w:w="546" w:type="pct"/>
                  <w:tcBorders>
                    <w:tl2br w:val="nil"/>
                    <w:tr2bl w:val="nil"/>
                  </w:tcBorders>
                  <w:vAlign w:val="center"/>
                </w:tcPr>
                <w:p w14:paraId="3B89ECD2">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highlight w:val="none"/>
                      <w:lang w:val="en-US" w:eastAsia="zh-CN"/>
                    </w:rPr>
                  </w:pPr>
                  <w:r>
                    <w:rPr>
                      <w:rFonts w:hint="eastAsia"/>
                      <w:color w:val="auto"/>
                      <w:highlight w:val="none"/>
                      <w:lang w:val="en-US" w:eastAsia="zh-CN"/>
                    </w:rPr>
                    <w:t>无</w:t>
                  </w:r>
                </w:p>
              </w:tc>
              <w:tc>
                <w:tcPr>
                  <w:tcW w:w="317" w:type="pct"/>
                  <w:tcBorders>
                    <w:tl2br w:val="nil"/>
                    <w:tr2bl w:val="nil"/>
                  </w:tcBorders>
                  <w:vAlign w:val="center"/>
                </w:tcPr>
                <w:p w14:paraId="27477D23">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rPr>
                    <w:t>依托现有</w:t>
                  </w:r>
                </w:p>
              </w:tc>
            </w:tr>
            <w:tr w14:paraId="08BF33C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5305FD2B">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68" w:type="pct"/>
                  <w:tcBorders>
                    <w:tl2br w:val="nil"/>
                    <w:tr2bl w:val="nil"/>
                  </w:tcBorders>
                  <w:vAlign w:val="center"/>
                </w:tcPr>
                <w:p w14:paraId="033A40A0">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color w:val="auto"/>
                      <w:highlight w:val="none"/>
                    </w:rPr>
                    <w:t>固废</w:t>
                  </w:r>
                </w:p>
              </w:tc>
              <w:tc>
                <w:tcPr>
                  <w:tcW w:w="860" w:type="pct"/>
                  <w:gridSpan w:val="3"/>
                  <w:tcBorders>
                    <w:tl2br w:val="nil"/>
                    <w:tr2bl w:val="nil"/>
                  </w:tcBorders>
                  <w:vAlign w:val="center"/>
                </w:tcPr>
                <w:p w14:paraId="70647009">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危废暂存点</w:t>
                  </w:r>
                </w:p>
              </w:tc>
              <w:tc>
                <w:tcPr>
                  <w:tcW w:w="1476" w:type="pct"/>
                  <w:tcBorders>
                    <w:tl2br w:val="nil"/>
                    <w:tr2bl w:val="nil"/>
                  </w:tcBorders>
                  <w:vAlign w:val="center"/>
                </w:tcPr>
                <w:p w14:paraId="288138C7">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highlight w:val="none"/>
                      <w:lang w:val="en-US" w:eastAsia="zh-CN"/>
                    </w:rPr>
                  </w:pPr>
                  <w:r>
                    <w:rPr>
                      <w:rFonts w:hint="eastAsia"/>
                      <w:color w:val="auto"/>
                      <w:highlight w:val="none"/>
                      <w:lang w:val="en-US" w:eastAsia="zh-CN"/>
                    </w:rPr>
                    <w:t>位于各个实验室</w:t>
                  </w:r>
                </w:p>
              </w:tc>
              <w:tc>
                <w:tcPr>
                  <w:tcW w:w="1426" w:type="pct"/>
                  <w:tcBorders>
                    <w:tl2br w:val="nil"/>
                    <w:tr2bl w:val="nil"/>
                  </w:tcBorders>
                  <w:vAlign w:val="center"/>
                </w:tcPr>
                <w:p w14:paraId="3D987DF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highlight w:val="none"/>
                      <w:lang w:val="en-US" w:eastAsia="zh-CN"/>
                    </w:rPr>
                  </w:pPr>
                  <w:r>
                    <w:rPr>
                      <w:rFonts w:hint="eastAsia"/>
                      <w:color w:val="auto"/>
                      <w:highlight w:val="none"/>
                      <w:lang w:val="en-US" w:eastAsia="zh-CN"/>
                    </w:rPr>
                    <w:t>位于各个实验室</w:t>
                  </w:r>
                </w:p>
              </w:tc>
              <w:tc>
                <w:tcPr>
                  <w:tcW w:w="546" w:type="pct"/>
                  <w:tcBorders>
                    <w:tl2br w:val="nil"/>
                    <w:tr2bl w:val="nil"/>
                  </w:tcBorders>
                  <w:vAlign w:val="center"/>
                </w:tcPr>
                <w:p w14:paraId="6ED0266A">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highlight w:val="none"/>
                      <w:lang w:val="en-US" w:eastAsia="zh-CN"/>
                    </w:rPr>
                  </w:pPr>
                  <w:r>
                    <w:rPr>
                      <w:rFonts w:hint="eastAsia"/>
                      <w:color w:val="auto"/>
                      <w:highlight w:val="none"/>
                      <w:lang w:val="en-US" w:eastAsia="zh-CN"/>
                    </w:rPr>
                    <w:t>/</w:t>
                  </w:r>
                </w:p>
              </w:tc>
              <w:tc>
                <w:tcPr>
                  <w:tcW w:w="317" w:type="pct"/>
                  <w:tcBorders>
                    <w:tl2br w:val="nil"/>
                    <w:tr2bl w:val="nil"/>
                  </w:tcBorders>
                  <w:vAlign w:val="center"/>
                </w:tcPr>
                <w:p w14:paraId="3239C8A1">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w:t>
                  </w:r>
                </w:p>
              </w:tc>
            </w:tr>
            <w:tr w14:paraId="5258D6C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205" w:type="pct"/>
                  <w:vMerge w:val="continue"/>
                  <w:tcBorders>
                    <w:tl2br w:val="nil"/>
                    <w:tr2bl w:val="nil"/>
                  </w:tcBorders>
                  <w:vAlign w:val="center"/>
                </w:tcPr>
                <w:p w14:paraId="3A9383CB">
                  <w:pPr>
                    <w:pStyle w:val="4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p>
              </w:tc>
              <w:tc>
                <w:tcPr>
                  <w:tcW w:w="1028" w:type="pct"/>
                  <w:gridSpan w:val="4"/>
                  <w:tcBorders>
                    <w:tl2br w:val="nil"/>
                    <w:tr2bl w:val="nil"/>
                  </w:tcBorders>
                  <w:vAlign w:val="center"/>
                </w:tcPr>
                <w:p w14:paraId="76EFBFA4">
                  <w:pPr>
                    <w:pStyle w:val="41"/>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highlight w:val="none"/>
                      <w:lang w:val="en-US" w:eastAsia="zh-CN"/>
                    </w:rPr>
                  </w:pPr>
                  <w:r>
                    <w:rPr>
                      <w:rFonts w:hint="eastAsia"/>
                      <w:color w:val="auto"/>
                      <w:highlight w:val="none"/>
                      <w:lang w:val="en-US" w:eastAsia="zh-CN"/>
                    </w:rPr>
                    <w:t>风险防控</w:t>
                  </w:r>
                </w:p>
              </w:tc>
              <w:tc>
                <w:tcPr>
                  <w:tcW w:w="1476" w:type="pct"/>
                  <w:tcBorders>
                    <w:tl2br w:val="nil"/>
                    <w:tr2bl w:val="nil"/>
                  </w:tcBorders>
                  <w:vAlign w:val="center"/>
                </w:tcPr>
                <w:p w14:paraId="450D00D4">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雨污排口设置截止阀，配备200m</w:t>
                  </w:r>
                  <w:r>
                    <w:rPr>
                      <w:rFonts w:hint="eastAsia"/>
                      <w:color w:val="auto"/>
                      <w:highlight w:val="none"/>
                      <w:vertAlign w:val="superscript"/>
                      <w:lang w:val="en-US" w:eastAsia="zh-CN"/>
                    </w:rPr>
                    <w:t>3</w:t>
                  </w:r>
                  <w:r>
                    <w:rPr>
                      <w:rFonts w:hint="eastAsia"/>
                      <w:color w:val="auto"/>
                      <w:highlight w:val="none"/>
                      <w:lang w:val="en-US" w:eastAsia="zh-CN"/>
                    </w:rPr>
                    <w:t>应急事故水囊</w:t>
                  </w:r>
                </w:p>
              </w:tc>
              <w:tc>
                <w:tcPr>
                  <w:tcW w:w="1426" w:type="pct"/>
                  <w:tcBorders>
                    <w:tl2br w:val="nil"/>
                    <w:tr2bl w:val="nil"/>
                  </w:tcBorders>
                  <w:vAlign w:val="center"/>
                </w:tcPr>
                <w:p w14:paraId="26D0DB85">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highlight w:val="none"/>
                      <w:lang w:val="en-US" w:eastAsia="zh-CN"/>
                    </w:rPr>
                  </w:pPr>
                  <w:r>
                    <w:rPr>
                      <w:rFonts w:hint="eastAsia"/>
                      <w:color w:val="auto"/>
                      <w:highlight w:val="none"/>
                      <w:lang w:val="en-US" w:eastAsia="zh-CN"/>
                    </w:rPr>
                    <w:t>雨污排口设置截止阀，配备200m</w:t>
                  </w:r>
                  <w:r>
                    <w:rPr>
                      <w:rFonts w:hint="eastAsia"/>
                      <w:color w:val="auto"/>
                      <w:highlight w:val="none"/>
                      <w:vertAlign w:val="superscript"/>
                      <w:lang w:val="en-US" w:eastAsia="zh-CN"/>
                    </w:rPr>
                    <w:t>3</w:t>
                  </w:r>
                  <w:r>
                    <w:rPr>
                      <w:rFonts w:hint="eastAsia"/>
                      <w:color w:val="auto"/>
                      <w:highlight w:val="none"/>
                      <w:lang w:val="en-US" w:eastAsia="zh-CN"/>
                    </w:rPr>
                    <w:t>应急事故水囊</w:t>
                  </w:r>
                </w:p>
              </w:tc>
              <w:tc>
                <w:tcPr>
                  <w:tcW w:w="546" w:type="pct"/>
                  <w:tcBorders>
                    <w:tl2br w:val="nil"/>
                    <w:tr2bl w:val="nil"/>
                  </w:tcBorders>
                  <w:shd w:val="clear" w:color="auto" w:fill="auto"/>
                  <w:vAlign w:val="center"/>
                </w:tcPr>
                <w:p w14:paraId="33670133">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w:t>
                  </w:r>
                </w:p>
              </w:tc>
              <w:tc>
                <w:tcPr>
                  <w:tcW w:w="317" w:type="pct"/>
                  <w:tcBorders>
                    <w:tl2br w:val="nil"/>
                    <w:tr2bl w:val="nil"/>
                  </w:tcBorders>
                  <w:shd w:val="clear" w:color="auto" w:fill="auto"/>
                  <w:vAlign w:val="center"/>
                </w:tcPr>
                <w:p w14:paraId="0A5CD6FB">
                  <w:pPr>
                    <w:pStyle w:val="4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rPr>
                    <w:t>依托现有</w:t>
                  </w:r>
                </w:p>
              </w:tc>
            </w:tr>
          </w:tbl>
          <w:p w14:paraId="474D0B55">
            <w:pPr>
              <w:bidi w:val="0"/>
              <w:rPr>
                <w:color w:val="auto"/>
                <w:highlight w:val="none"/>
                <w:vertAlign w:val="baseline"/>
              </w:rPr>
            </w:pPr>
          </w:p>
        </w:tc>
      </w:tr>
    </w:tbl>
    <w:p w14:paraId="5D432B40">
      <w:pPr>
        <w:bidi w:val="0"/>
        <w:rPr>
          <w:color w:val="auto"/>
          <w:highlight w:val="none"/>
        </w:rPr>
        <w:sectPr>
          <w:pgSz w:w="16840" w:h="11907" w:orient="landscape"/>
          <w:pgMar w:top="1800" w:right="1440" w:bottom="1800" w:left="1440" w:header="851" w:footer="851" w:gutter="0"/>
          <w:pgBorders>
            <w:top w:val="none" w:sz="0" w:space="0"/>
            <w:left w:val="none" w:sz="0" w:space="0"/>
            <w:bottom w:val="none" w:sz="0" w:space="0"/>
            <w:right w:val="none" w:sz="0" w:space="0"/>
          </w:pgBorders>
          <w:pgNumType w:fmt="decimal" w:start="1"/>
          <w:cols w:space="720" w:num="1"/>
          <w:docGrid w:linePitch="312" w:charSpace="0"/>
        </w:sectPr>
      </w:pP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8023"/>
      </w:tblGrid>
      <w:tr w14:paraId="613B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66C866E3">
            <w:pPr>
              <w:bidi w:val="0"/>
              <w:spacing w:line="240" w:lineRule="auto"/>
              <w:jc w:val="center"/>
              <w:rPr>
                <w:color w:val="auto"/>
                <w:highlight w:val="none"/>
                <w:vertAlign w:val="baseline"/>
              </w:rPr>
            </w:pPr>
            <w:r>
              <w:rPr>
                <w:rFonts w:ascii="Times New Roman" w:hAnsi="Times New Roman"/>
                <w:b/>
                <w:bCs/>
                <w:color w:val="auto"/>
                <w:szCs w:val="24"/>
                <w:highlight w:val="none"/>
              </w:rPr>
              <w:t>建设内容</w:t>
            </w:r>
          </w:p>
        </w:tc>
        <w:tc>
          <w:tcPr>
            <w:tcW w:w="4707" w:type="pct"/>
          </w:tcPr>
          <w:p w14:paraId="59772A8E">
            <w:pPr>
              <w:ind w:firstLine="482" w:firstLineChars="200"/>
              <w:rPr>
                <w:b/>
                <w:bCs/>
                <w:color w:val="auto"/>
                <w:highlight w:val="none"/>
              </w:rPr>
            </w:pPr>
            <w:r>
              <w:rPr>
                <w:rFonts w:hint="eastAsia"/>
                <w:b/>
                <w:bCs/>
                <w:color w:val="auto"/>
                <w:highlight w:val="none"/>
                <w:lang w:val="en-US" w:eastAsia="zh-CN"/>
              </w:rPr>
              <w:t>5</w:t>
            </w:r>
            <w:r>
              <w:rPr>
                <w:b/>
                <w:bCs/>
                <w:color w:val="auto"/>
                <w:highlight w:val="none"/>
              </w:rPr>
              <w:t>、主要原辅材料</w:t>
            </w:r>
          </w:p>
          <w:p w14:paraId="3531A9D4">
            <w:pPr>
              <w:pStyle w:val="44"/>
              <w:rPr>
                <w:color w:val="auto"/>
                <w:highlight w:val="none"/>
              </w:rPr>
            </w:pPr>
            <w:r>
              <w:rPr>
                <w:rFonts w:hint="eastAsia"/>
                <w:color w:val="auto"/>
                <w:highlight w:val="none"/>
                <w:lang w:val="en-US" w:eastAsia="zh-CN"/>
              </w:rPr>
              <w:t>全厂</w:t>
            </w:r>
            <w:r>
              <w:rPr>
                <w:color w:val="auto"/>
                <w:highlight w:val="none"/>
              </w:rPr>
              <w:t>主要原辅料消耗表</w:t>
            </w:r>
          </w:p>
          <w:tbl>
            <w:tblPr>
              <w:tblStyle w:val="32"/>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62"/>
              <w:gridCol w:w="1349"/>
              <w:gridCol w:w="1045"/>
              <w:gridCol w:w="1073"/>
              <w:gridCol w:w="1204"/>
              <w:gridCol w:w="1156"/>
              <w:gridCol w:w="814"/>
              <w:gridCol w:w="698"/>
            </w:tblGrid>
            <w:tr w14:paraId="4AC7C8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96" w:type="pct"/>
                  <w:noWrap w:val="0"/>
                  <w:vAlign w:val="center"/>
                </w:tcPr>
                <w:p w14:paraId="5E794869">
                  <w:pPr>
                    <w:pStyle w:val="41"/>
                    <w:bidi w:val="0"/>
                    <w:rPr>
                      <w:rFonts w:hint="eastAsia"/>
                      <w:b/>
                      <w:bCs/>
                    </w:rPr>
                  </w:pPr>
                  <w:r>
                    <w:rPr>
                      <w:rFonts w:hint="eastAsia"/>
                      <w:b/>
                      <w:bCs/>
                    </w:rPr>
                    <w:t>序号</w:t>
                  </w:r>
                </w:p>
              </w:tc>
              <w:tc>
                <w:tcPr>
                  <w:tcW w:w="864" w:type="pct"/>
                  <w:noWrap w:val="0"/>
                  <w:vAlign w:val="center"/>
                </w:tcPr>
                <w:p w14:paraId="2B6D4A7B">
                  <w:pPr>
                    <w:pStyle w:val="41"/>
                    <w:bidi w:val="0"/>
                    <w:rPr>
                      <w:rFonts w:hint="eastAsia"/>
                      <w:b/>
                      <w:bCs/>
                    </w:rPr>
                  </w:pPr>
                  <w:r>
                    <w:rPr>
                      <w:rFonts w:hint="eastAsia"/>
                      <w:b/>
                      <w:bCs/>
                    </w:rPr>
                    <w:t>原料名称</w:t>
                  </w:r>
                </w:p>
              </w:tc>
              <w:tc>
                <w:tcPr>
                  <w:tcW w:w="669" w:type="pct"/>
                  <w:noWrap w:val="0"/>
                  <w:vAlign w:val="center"/>
                </w:tcPr>
                <w:p w14:paraId="4D9C1F24">
                  <w:pPr>
                    <w:pStyle w:val="41"/>
                    <w:bidi w:val="0"/>
                    <w:rPr>
                      <w:rFonts w:hint="eastAsia"/>
                      <w:b/>
                      <w:bCs/>
                      <w:lang w:val="en-US" w:eastAsia="zh-CN"/>
                    </w:rPr>
                  </w:pPr>
                  <w:r>
                    <w:rPr>
                      <w:rFonts w:hint="eastAsia"/>
                      <w:b/>
                      <w:bCs/>
                      <w:lang w:val="en-US" w:eastAsia="zh-CN"/>
                    </w:rPr>
                    <w:t>浓度</w:t>
                  </w:r>
                </w:p>
              </w:tc>
              <w:tc>
                <w:tcPr>
                  <w:tcW w:w="687" w:type="pct"/>
                  <w:noWrap w:val="0"/>
                  <w:vAlign w:val="center"/>
                </w:tcPr>
                <w:p w14:paraId="4506965D">
                  <w:pPr>
                    <w:pStyle w:val="41"/>
                    <w:bidi w:val="0"/>
                    <w:rPr>
                      <w:rFonts w:hint="eastAsia"/>
                      <w:b/>
                      <w:bCs/>
                    </w:rPr>
                  </w:pPr>
                  <w:r>
                    <w:rPr>
                      <w:rFonts w:hint="eastAsia"/>
                      <w:b/>
                      <w:bCs/>
                    </w:rPr>
                    <w:t>规格</w:t>
                  </w:r>
                </w:p>
              </w:tc>
              <w:tc>
                <w:tcPr>
                  <w:tcW w:w="771" w:type="pct"/>
                  <w:noWrap w:val="0"/>
                  <w:vAlign w:val="center"/>
                </w:tcPr>
                <w:p w14:paraId="5401B926">
                  <w:pPr>
                    <w:pStyle w:val="41"/>
                    <w:bidi w:val="0"/>
                    <w:rPr>
                      <w:rFonts w:hint="eastAsia"/>
                      <w:b/>
                      <w:bCs/>
                    </w:rPr>
                  </w:pPr>
                  <w:r>
                    <w:rPr>
                      <w:rFonts w:hint="default"/>
                      <w:b/>
                      <w:bCs/>
                    </w:rPr>
                    <w:t>年用量</w:t>
                  </w:r>
                </w:p>
              </w:tc>
              <w:tc>
                <w:tcPr>
                  <w:tcW w:w="740" w:type="pct"/>
                  <w:noWrap w:val="0"/>
                  <w:vAlign w:val="center"/>
                </w:tcPr>
                <w:p w14:paraId="255A1789">
                  <w:pPr>
                    <w:pStyle w:val="41"/>
                    <w:bidi w:val="0"/>
                    <w:rPr>
                      <w:b/>
                      <w:bCs/>
                    </w:rPr>
                  </w:pPr>
                  <w:r>
                    <w:rPr>
                      <w:rFonts w:hint="default"/>
                      <w:b/>
                      <w:bCs/>
                    </w:rPr>
                    <w:t>最大储存量</w:t>
                  </w:r>
                </w:p>
              </w:tc>
              <w:tc>
                <w:tcPr>
                  <w:tcW w:w="521" w:type="pct"/>
                  <w:noWrap w:val="0"/>
                  <w:vAlign w:val="center"/>
                </w:tcPr>
                <w:p w14:paraId="69F00BF9">
                  <w:pPr>
                    <w:pStyle w:val="41"/>
                    <w:bidi w:val="0"/>
                    <w:rPr>
                      <w:rFonts w:hint="eastAsia"/>
                      <w:b/>
                      <w:bCs/>
                    </w:rPr>
                  </w:pPr>
                  <w:r>
                    <w:rPr>
                      <w:rFonts w:hint="eastAsia"/>
                      <w:b/>
                      <w:bCs/>
                    </w:rPr>
                    <w:t>形态</w:t>
                  </w:r>
                </w:p>
              </w:tc>
              <w:tc>
                <w:tcPr>
                  <w:tcW w:w="447" w:type="pct"/>
                  <w:noWrap w:val="0"/>
                  <w:vAlign w:val="center"/>
                </w:tcPr>
                <w:p w14:paraId="6BEEC76D">
                  <w:pPr>
                    <w:pStyle w:val="41"/>
                    <w:bidi w:val="0"/>
                    <w:rPr>
                      <w:rFonts w:hint="eastAsia"/>
                      <w:b/>
                      <w:bCs/>
                    </w:rPr>
                  </w:pPr>
                  <w:r>
                    <w:rPr>
                      <w:rFonts w:hint="eastAsia"/>
                      <w:b/>
                      <w:bCs/>
                    </w:rPr>
                    <w:t>贮存</w:t>
                  </w:r>
                </w:p>
                <w:p w14:paraId="7A12D4DE">
                  <w:pPr>
                    <w:pStyle w:val="41"/>
                    <w:bidi w:val="0"/>
                    <w:rPr>
                      <w:rFonts w:hint="eastAsia"/>
                      <w:b/>
                      <w:bCs/>
                    </w:rPr>
                  </w:pPr>
                  <w:r>
                    <w:rPr>
                      <w:rFonts w:hint="eastAsia"/>
                      <w:b/>
                      <w:bCs/>
                    </w:rPr>
                    <w:t>地点</w:t>
                  </w:r>
                </w:p>
              </w:tc>
            </w:tr>
            <w:tr w14:paraId="076A8D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noWrap w:val="0"/>
                  <w:vAlign w:val="center"/>
                </w:tcPr>
                <w:p w14:paraId="043325EE">
                  <w:pPr>
                    <w:pStyle w:val="41"/>
                    <w:numPr>
                      <w:ilvl w:val="0"/>
                      <w:numId w:val="13"/>
                    </w:numPr>
                    <w:bidi w:val="0"/>
                    <w:ind w:left="454" w:leftChars="0" w:hanging="454" w:firstLineChars="0"/>
                    <w:jc w:val="center"/>
                  </w:pPr>
                </w:p>
              </w:tc>
              <w:tc>
                <w:tcPr>
                  <w:tcW w:w="864" w:type="pct"/>
                  <w:noWrap w:val="0"/>
                  <w:vAlign w:val="center"/>
                </w:tcPr>
                <w:p w14:paraId="26E68CC3">
                  <w:pPr>
                    <w:pStyle w:val="41"/>
                    <w:bidi w:val="0"/>
                    <w:rPr>
                      <w:rFonts w:hint="eastAsia"/>
                    </w:rPr>
                  </w:pPr>
                  <w:r>
                    <w:rPr>
                      <w:rFonts w:hint="eastAsia"/>
                      <w:lang w:val="zh-CN"/>
                    </w:rPr>
                    <w:t>菌群培养基</w:t>
                  </w:r>
                </w:p>
              </w:tc>
              <w:tc>
                <w:tcPr>
                  <w:tcW w:w="669" w:type="pct"/>
                  <w:noWrap w:val="0"/>
                  <w:vAlign w:val="center"/>
                </w:tcPr>
                <w:p w14:paraId="5D05851C">
                  <w:pPr>
                    <w:pStyle w:val="41"/>
                    <w:bidi w:val="0"/>
                    <w:rPr>
                      <w:rFonts w:hint="eastAsia"/>
                      <w:lang w:val="en-US" w:eastAsia="zh-CN"/>
                    </w:rPr>
                  </w:pPr>
                  <w:r>
                    <w:rPr>
                      <w:rFonts w:hint="eastAsia"/>
                      <w:lang w:val="en-US" w:eastAsia="zh-CN"/>
                    </w:rPr>
                    <w:t>/</w:t>
                  </w:r>
                </w:p>
              </w:tc>
              <w:tc>
                <w:tcPr>
                  <w:tcW w:w="687" w:type="pct"/>
                  <w:noWrap w:val="0"/>
                  <w:vAlign w:val="center"/>
                </w:tcPr>
                <w:p w14:paraId="500B447E">
                  <w:pPr>
                    <w:pStyle w:val="41"/>
                    <w:bidi w:val="0"/>
                    <w:rPr>
                      <w:rFonts w:hint="eastAsia"/>
                    </w:rPr>
                  </w:pPr>
                  <w:r>
                    <w:rPr>
                      <w:rFonts w:hint="eastAsia"/>
                    </w:rPr>
                    <w:t>1kg</w:t>
                  </w:r>
                  <w:r>
                    <w:t>/</w:t>
                  </w:r>
                  <w:r>
                    <w:rPr>
                      <w:rFonts w:hint="eastAsia"/>
                    </w:rPr>
                    <w:t>瓶</w:t>
                  </w:r>
                </w:p>
              </w:tc>
              <w:tc>
                <w:tcPr>
                  <w:tcW w:w="771" w:type="pct"/>
                  <w:noWrap w:val="0"/>
                  <w:vAlign w:val="center"/>
                </w:tcPr>
                <w:p w14:paraId="1A932F6D">
                  <w:pPr>
                    <w:pStyle w:val="41"/>
                    <w:bidi w:val="0"/>
                    <w:rPr>
                      <w:rFonts w:hint="eastAsia"/>
                    </w:rPr>
                  </w:pPr>
                  <w:r>
                    <w:rPr>
                      <w:rFonts w:hint="eastAsia"/>
                    </w:rPr>
                    <w:t>2</w:t>
                  </w:r>
                  <w:r>
                    <w:t>0</w:t>
                  </w:r>
                  <w:r>
                    <w:rPr>
                      <w:rFonts w:hint="eastAsia"/>
                    </w:rPr>
                    <w:t>kg</w:t>
                  </w:r>
                </w:p>
              </w:tc>
              <w:tc>
                <w:tcPr>
                  <w:tcW w:w="740" w:type="pct"/>
                  <w:noWrap w:val="0"/>
                  <w:vAlign w:val="center"/>
                </w:tcPr>
                <w:p w14:paraId="6B6DF303">
                  <w:pPr>
                    <w:pStyle w:val="41"/>
                    <w:bidi w:val="0"/>
                    <w:rPr>
                      <w:rFonts w:hint="eastAsia"/>
                    </w:rPr>
                  </w:pPr>
                  <w:r>
                    <w:t>10</w:t>
                  </w:r>
                  <w:r>
                    <w:rPr>
                      <w:rFonts w:hint="eastAsia"/>
                    </w:rPr>
                    <w:t>kg</w:t>
                  </w:r>
                </w:p>
              </w:tc>
              <w:tc>
                <w:tcPr>
                  <w:tcW w:w="521" w:type="pct"/>
                  <w:noWrap w:val="0"/>
                  <w:vAlign w:val="center"/>
                </w:tcPr>
                <w:p w14:paraId="1EEF69B0">
                  <w:pPr>
                    <w:pStyle w:val="41"/>
                    <w:bidi w:val="0"/>
                  </w:pPr>
                  <w:r>
                    <w:rPr>
                      <w:rFonts w:hint="eastAsia"/>
                    </w:rPr>
                    <w:t>固体</w:t>
                  </w:r>
                </w:p>
              </w:tc>
              <w:tc>
                <w:tcPr>
                  <w:tcW w:w="447" w:type="pct"/>
                  <w:vMerge w:val="restart"/>
                  <w:noWrap w:val="0"/>
                  <w:vAlign w:val="center"/>
                </w:tcPr>
                <w:p w14:paraId="0F175E5B">
                  <w:pPr>
                    <w:pStyle w:val="41"/>
                    <w:bidi w:val="0"/>
                    <w:rPr>
                      <w:rFonts w:hint="default"/>
                      <w:lang w:val="en-US" w:eastAsia="zh-CN"/>
                    </w:rPr>
                  </w:pPr>
                  <w:r>
                    <w:rPr>
                      <w:rFonts w:hint="eastAsia"/>
                      <w:lang w:val="en-US" w:eastAsia="zh-CN"/>
                    </w:rPr>
                    <w:t>3号楼搬迁至1号楼</w:t>
                  </w:r>
                </w:p>
              </w:tc>
            </w:tr>
            <w:tr w14:paraId="43554E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noWrap w:val="0"/>
                  <w:vAlign w:val="center"/>
                </w:tcPr>
                <w:p w14:paraId="7E548E39">
                  <w:pPr>
                    <w:pStyle w:val="41"/>
                    <w:numPr>
                      <w:ilvl w:val="0"/>
                      <w:numId w:val="13"/>
                    </w:numPr>
                    <w:bidi w:val="0"/>
                    <w:ind w:left="454" w:leftChars="0" w:hanging="454" w:firstLineChars="0"/>
                    <w:jc w:val="center"/>
                    <w:rPr>
                      <w:rFonts w:hint="eastAsia"/>
                    </w:rPr>
                  </w:pPr>
                </w:p>
              </w:tc>
              <w:tc>
                <w:tcPr>
                  <w:tcW w:w="864" w:type="pct"/>
                  <w:noWrap w:val="0"/>
                  <w:vAlign w:val="center"/>
                </w:tcPr>
                <w:p w14:paraId="5BFE2853">
                  <w:pPr>
                    <w:pStyle w:val="41"/>
                    <w:bidi w:val="0"/>
                    <w:rPr>
                      <w:rFonts w:hint="eastAsia"/>
                    </w:rPr>
                  </w:pPr>
                  <w:r>
                    <w:rPr>
                      <w:rFonts w:hint="eastAsia"/>
                      <w:lang w:val="zh-CN"/>
                    </w:rPr>
                    <w:t>细胞培养基</w:t>
                  </w:r>
                </w:p>
              </w:tc>
              <w:tc>
                <w:tcPr>
                  <w:tcW w:w="669" w:type="pct"/>
                  <w:noWrap w:val="0"/>
                  <w:vAlign w:val="center"/>
                </w:tcPr>
                <w:p w14:paraId="67576D3F">
                  <w:pPr>
                    <w:pStyle w:val="41"/>
                    <w:bidi w:val="0"/>
                    <w:rPr>
                      <w:rFonts w:hint="eastAsia"/>
                      <w:lang w:val="en-US" w:eastAsia="zh-CN"/>
                    </w:rPr>
                  </w:pPr>
                  <w:r>
                    <w:rPr>
                      <w:rFonts w:hint="eastAsia"/>
                      <w:lang w:val="en-US" w:eastAsia="zh-CN"/>
                    </w:rPr>
                    <w:t>/</w:t>
                  </w:r>
                </w:p>
              </w:tc>
              <w:tc>
                <w:tcPr>
                  <w:tcW w:w="687" w:type="pct"/>
                  <w:noWrap w:val="0"/>
                  <w:vAlign w:val="center"/>
                </w:tcPr>
                <w:p w14:paraId="787105B3">
                  <w:pPr>
                    <w:pStyle w:val="41"/>
                    <w:bidi w:val="0"/>
                    <w:rPr>
                      <w:rFonts w:hint="eastAsia"/>
                    </w:rPr>
                  </w:pPr>
                  <w:r>
                    <w:t>500</w:t>
                  </w:r>
                  <w:r>
                    <w:rPr>
                      <w:rFonts w:hint="eastAsia"/>
                    </w:rPr>
                    <w:t>mL</w:t>
                  </w:r>
                  <w:r>
                    <w:t>/</w:t>
                  </w:r>
                  <w:r>
                    <w:rPr>
                      <w:rFonts w:hint="eastAsia"/>
                    </w:rPr>
                    <w:t>瓶</w:t>
                  </w:r>
                </w:p>
              </w:tc>
              <w:tc>
                <w:tcPr>
                  <w:tcW w:w="771" w:type="pct"/>
                  <w:noWrap w:val="0"/>
                  <w:vAlign w:val="center"/>
                </w:tcPr>
                <w:p w14:paraId="0CBA7F2C">
                  <w:pPr>
                    <w:pStyle w:val="41"/>
                    <w:bidi w:val="0"/>
                    <w:rPr>
                      <w:rFonts w:hint="eastAsia"/>
                    </w:rPr>
                  </w:pPr>
                  <w:r>
                    <w:rPr>
                      <w:rFonts w:hint="eastAsia"/>
                    </w:rPr>
                    <w:t>2</w:t>
                  </w:r>
                  <w:r>
                    <w:t>0</w:t>
                  </w:r>
                  <w:r>
                    <w:rPr>
                      <w:rFonts w:hint="eastAsia"/>
                    </w:rPr>
                    <w:t>kg</w:t>
                  </w:r>
                </w:p>
              </w:tc>
              <w:tc>
                <w:tcPr>
                  <w:tcW w:w="740" w:type="pct"/>
                  <w:noWrap w:val="0"/>
                  <w:vAlign w:val="center"/>
                </w:tcPr>
                <w:p w14:paraId="1D8C7418">
                  <w:pPr>
                    <w:pStyle w:val="41"/>
                    <w:bidi w:val="0"/>
                    <w:rPr>
                      <w:rFonts w:hint="eastAsia"/>
                    </w:rPr>
                  </w:pPr>
                  <w:r>
                    <w:t>1</w:t>
                  </w:r>
                  <w:r>
                    <w:rPr>
                      <w:rFonts w:hint="eastAsia"/>
                    </w:rPr>
                    <w:t>kg</w:t>
                  </w:r>
                </w:p>
              </w:tc>
              <w:tc>
                <w:tcPr>
                  <w:tcW w:w="521" w:type="pct"/>
                  <w:noWrap w:val="0"/>
                  <w:vAlign w:val="center"/>
                </w:tcPr>
                <w:p w14:paraId="50E00356">
                  <w:pPr>
                    <w:pStyle w:val="41"/>
                    <w:bidi w:val="0"/>
                    <w:rPr>
                      <w:rFonts w:hint="eastAsia"/>
                    </w:rPr>
                  </w:pPr>
                  <w:r>
                    <w:rPr>
                      <w:rFonts w:hint="eastAsia"/>
                    </w:rPr>
                    <w:t>液体</w:t>
                  </w:r>
                </w:p>
              </w:tc>
              <w:tc>
                <w:tcPr>
                  <w:tcW w:w="447" w:type="pct"/>
                  <w:vMerge w:val="continue"/>
                  <w:noWrap w:val="0"/>
                  <w:vAlign w:val="center"/>
                </w:tcPr>
                <w:p w14:paraId="219DF72F">
                  <w:pPr>
                    <w:pStyle w:val="41"/>
                    <w:bidi w:val="0"/>
                    <w:rPr>
                      <w:rFonts w:hint="eastAsia"/>
                    </w:rPr>
                  </w:pPr>
                </w:p>
              </w:tc>
            </w:tr>
            <w:tr w14:paraId="4B923D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noWrap w:val="0"/>
                  <w:vAlign w:val="center"/>
                </w:tcPr>
                <w:p w14:paraId="71C1C1CA">
                  <w:pPr>
                    <w:pStyle w:val="41"/>
                    <w:numPr>
                      <w:ilvl w:val="0"/>
                      <w:numId w:val="13"/>
                    </w:numPr>
                    <w:bidi w:val="0"/>
                    <w:ind w:left="454" w:leftChars="0" w:hanging="454" w:firstLineChars="0"/>
                    <w:jc w:val="center"/>
                    <w:rPr>
                      <w:rFonts w:hint="eastAsia"/>
                    </w:rPr>
                  </w:pPr>
                </w:p>
              </w:tc>
              <w:tc>
                <w:tcPr>
                  <w:tcW w:w="864" w:type="pct"/>
                  <w:noWrap w:val="0"/>
                  <w:vAlign w:val="center"/>
                </w:tcPr>
                <w:p w14:paraId="590D0182">
                  <w:pPr>
                    <w:pStyle w:val="41"/>
                    <w:bidi w:val="0"/>
                    <w:rPr>
                      <w:rFonts w:hint="eastAsia"/>
                    </w:rPr>
                  </w:pPr>
                  <w:r>
                    <w:rPr>
                      <w:rFonts w:hint="eastAsia"/>
                      <w:lang w:val="zh-CN"/>
                    </w:rPr>
                    <w:t>琼脂糖</w:t>
                  </w:r>
                </w:p>
              </w:tc>
              <w:tc>
                <w:tcPr>
                  <w:tcW w:w="669" w:type="pct"/>
                  <w:noWrap w:val="0"/>
                  <w:vAlign w:val="center"/>
                </w:tcPr>
                <w:p w14:paraId="5918DB80">
                  <w:pPr>
                    <w:pStyle w:val="41"/>
                    <w:bidi w:val="0"/>
                    <w:rPr>
                      <w:rFonts w:hint="eastAsia"/>
                      <w:lang w:val="en-US" w:eastAsia="zh-CN"/>
                    </w:rPr>
                  </w:pPr>
                  <w:r>
                    <w:rPr>
                      <w:rFonts w:hint="eastAsia"/>
                      <w:lang w:val="en-US" w:eastAsia="zh-CN"/>
                    </w:rPr>
                    <w:t>/</w:t>
                  </w:r>
                </w:p>
              </w:tc>
              <w:tc>
                <w:tcPr>
                  <w:tcW w:w="687" w:type="pct"/>
                  <w:noWrap w:val="0"/>
                  <w:vAlign w:val="center"/>
                </w:tcPr>
                <w:p w14:paraId="1A57E3E1">
                  <w:pPr>
                    <w:pStyle w:val="41"/>
                    <w:bidi w:val="0"/>
                    <w:rPr>
                      <w:rFonts w:hint="eastAsia"/>
                    </w:rPr>
                  </w:pPr>
                  <w:r>
                    <w:t>25</w:t>
                  </w:r>
                  <w:r>
                    <w:rPr>
                      <w:rFonts w:hint="eastAsia"/>
                    </w:rPr>
                    <w:t>g</w:t>
                  </w:r>
                  <w:r>
                    <w:t>/</w:t>
                  </w:r>
                  <w:r>
                    <w:rPr>
                      <w:rFonts w:hint="eastAsia"/>
                    </w:rPr>
                    <w:t>瓶</w:t>
                  </w:r>
                </w:p>
              </w:tc>
              <w:tc>
                <w:tcPr>
                  <w:tcW w:w="771" w:type="pct"/>
                  <w:noWrap w:val="0"/>
                  <w:vAlign w:val="center"/>
                </w:tcPr>
                <w:p w14:paraId="14EF46DB">
                  <w:pPr>
                    <w:pStyle w:val="41"/>
                    <w:bidi w:val="0"/>
                    <w:rPr>
                      <w:rFonts w:hint="eastAsia"/>
                    </w:rPr>
                  </w:pPr>
                  <w:r>
                    <w:t>10</w:t>
                  </w:r>
                  <w:r>
                    <w:rPr>
                      <w:rFonts w:hint="eastAsia"/>
                    </w:rPr>
                    <w:t>kg</w:t>
                  </w:r>
                </w:p>
              </w:tc>
              <w:tc>
                <w:tcPr>
                  <w:tcW w:w="740" w:type="pct"/>
                  <w:noWrap w:val="0"/>
                  <w:vAlign w:val="center"/>
                </w:tcPr>
                <w:p w14:paraId="73586602">
                  <w:pPr>
                    <w:pStyle w:val="41"/>
                    <w:bidi w:val="0"/>
                    <w:rPr>
                      <w:rFonts w:hint="eastAsia"/>
                    </w:rPr>
                  </w:pPr>
                  <w:r>
                    <w:t>1</w:t>
                  </w:r>
                  <w:r>
                    <w:rPr>
                      <w:rFonts w:hint="eastAsia"/>
                    </w:rPr>
                    <w:t>kg</w:t>
                  </w:r>
                </w:p>
              </w:tc>
              <w:tc>
                <w:tcPr>
                  <w:tcW w:w="521" w:type="pct"/>
                  <w:noWrap w:val="0"/>
                  <w:vAlign w:val="center"/>
                </w:tcPr>
                <w:p w14:paraId="2E48CFE9">
                  <w:pPr>
                    <w:pStyle w:val="41"/>
                    <w:bidi w:val="0"/>
                    <w:rPr>
                      <w:rFonts w:hint="eastAsia"/>
                    </w:rPr>
                  </w:pPr>
                  <w:r>
                    <w:rPr>
                      <w:rFonts w:hint="eastAsia"/>
                    </w:rPr>
                    <w:t>固体</w:t>
                  </w:r>
                </w:p>
              </w:tc>
              <w:tc>
                <w:tcPr>
                  <w:tcW w:w="447" w:type="pct"/>
                  <w:vMerge w:val="continue"/>
                  <w:noWrap w:val="0"/>
                  <w:vAlign w:val="center"/>
                </w:tcPr>
                <w:p w14:paraId="7B499979">
                  <w:pPr>
                    <w:pStyle w:val="41"/>
                    <w:bidi w:val="0"/>
                    <w:rPr>
                      <w:rFonts w:hint="eastAsia"/>
                    </w:rPr>
                  </w:pPr>
                </w:p>
              </w:tc>
            </w:tr>
            <w:tr w14:paraId="2A07D5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noWrap w:val="0"/>
                  <w:vAlign w:val="center"/>
                </w:tcPr>
                <w:p w14:paraId="362CC9AD">
                  <w:pPr>
                    <w:pStyle w:val="41"/>
                    <w:numPr>
                      <w:ilvl w:val="0"/>
                      <w:numId w:val="13"/>
                    </w:numPr>
                    <w:bidi w:val="0"/>
                    <w:ind w:left="454" w:leftChars="0" w:hanging="454" w:firstLineChars="0"/>
                    <w:jc w:val="center"/>
                    <w:rPr>
                      <w:rFonts w:hint="eastAsia"/>
                    </w:rPr>
                  </w:pPr>
                </w:p>
              </w:tc>
              <w:tc>
                <w:tcPr>
                  <w:tcW w:w="864" w:type="pct"/>
                  <w:noWrap w:val="0"/>
                  <w:vAlign w:val="center"/>
                </w:tcPr>
                <w:p w14:paraId="22D4DA35">
                  <w:pPr>
                    <w:pStyle w:val="41"/>
                    <w:bidi w:val="0"/>
                    <w:rPr>
                      <w:rFonts w:hint="eastAsia"/>
                    </w:rPr>
                  </w:pPr>
                  <w:r>
                    <w:rPr>
                      <w:rFonts w:hint="eastAsia"/>
                      <w:lang w:val="zh-CN"/>
                    </w:rPr>
                    <w:t>TBE缓冲液</w:t>
                  </w:r>
                </w:p>
              </w:tc>
              <w:tc>
                <w:tcPr>
                  <w:tcW w:w="669" w:type="pct"/>
                  <w:noWrap w:val="0"/>
                  <w:vAlign w:val="center"/>
                </w:tcPr>
                <w:p w14:paraId="26D59DB6">
                  <w:pPr>
                    <w:pStyle w:val="41"/>
                    <w:bidi w:val="0"/>
                    <w:rPr>
                      <w:rFonts w:hint="eastAsia"/>
                      <w:lang w:val="en-US" w:eastAsia="zh-CN"/>
                    </w:rPr>
                  </w:pPr>
                  <w:r>
                    <w:rPr>
                      <w:rFonts w:hint="eastAsia"/>
                      <w:lang w:val="en-US" w:eastAsia="zh-CN"/>
                    </w:rPr>
                    <w:t>/</w:t>
                  </w:r>
                </w:p>
              </w:tc>
              <w:tc>
                <w:tcPr>
                  <w:tcW w:w="687" w:type="pct"/>
                  <w:noWrap w:val="0"/>
                  <w:vAlign w:val="center"/>
                </w:tcPr>
                <w:p w14:paraId="41FCDE08">
                  <w:pPr>
                    <w:pStyle w:val="41"/>
                    <w:bidi w:val="0"/>
                    <w:rPr>
                      <w:rFonts w:hint="eastAsia"/>
                    </w:rPr>
                  </w:pPr>
                  <w:r>
                    <w:t>500</w:t>
                  </w:r>
                  <w:r>
                    <w:rPr>
                      <w:rFonts w:hint="eastAsia"/>
                    </w:rPr>
                    <w:t>mL</w:t>
                  </w:r>
                  <w:r>
                    <w:t>/</w:t>
                  </w:r>
                  <w:r>
                    <w:rPr>
                      <w:rFonts w:hint="eastAsia"/>
                    </w:rPr>
                    <w:t>瓶</w:t>
                  </w:r>
                </w:p>
              </w:tc>
              <w:tc>
                <w:tcPr>
                  <w:tcW w:w="771" w:type="pct"/>
                  <w:noWrap w:val="0"/>
                  <w:vAlign w:val="center"/>
                </w:tcPr>
                <w:p w14:paraId="6E8A28E4">
                  <w:pPr>
                    <w:pStyle w:val="41"/>
                    <w:bidi w:val="0"/>
                    <w:rPr>
                      <w:rFonts w:hint="eastAsia"/>
                    </w:rPr>
                  </w:pPr>
                  <w:r>
                    <w:t>30</w:t>
                  </w:r>
                  <w:r>
                    <w:rPr>
                      <w:rFonts w:hint="eastAsia"/>
                    </w:rPr>
                    <w:t>kg</w:t>
                  </w:r>
                </w:p>
              </w:tc>
              <w:tc>
                <w:tcPr>
                  <w:tcW w:w="740" w:type="pct"/>
                  <w:noWrap w:val="0"/>
                  <w:vAlign w:val="center"/>
                </w:tcPr>
                <w:p w14:paraId="35E15EE8">
                  <w:pPr>
                    <w:pStyle w:val="41"/>
                    <w:bidi w:val="0"/>
                    <w:rPr>
                      <w:rFonts w:hint="eastAsia"/>
                    </w:rPr>
                  </w:pPr>
                  <w:r>
                    <w:t>5</w:t>
                  </w:r>
                  <w:r>
                    <w:rPr>
                      <w:rFonts w:hint="eastAsia"/>
                    </w:rPr>
                    <w:t>kg</w:t>
                  </w:r>
                </w:p>
              </w:tc>
              <w:tc>
                <w:tcPr>
                  <w:tcW w:w="521" w:type="pct"/>
                  <w:noWrap w:val="0"/>
                  <w:vAlign w:val="center"/>
                </w:tcPr>
                <w:p w14:paraId="62E47EA7">
                  <w:pPr>
                    <w:pStyle w:val="41"/>
                    <w:bidi w:val="0"/>
                    <w:rPr>
                      <w:rFonts w:hint="eastAsia"/>
                    </w:rPr>
                  </w:pPr>
                  <w:r>
                    <w:rPr>
                      <w:rFonts w:hint="eastAsia"/>
                    </w:rPr>
                    <w:t>液体</w:t>
                  </w:r>
                </w:p>
              </w:tc>
              <w:tc>
                <w:tcPr>
                  <w:tcW w:w="447" w:type="pct"/>
                  <w:vMerge w:val="continue"/>
                  <w:noWrap w:val="0"/>
                  <w:vAlign w:val="center"/>
                </w:tcPr>
                <w:p w14:paraId="106F6E64">
                  <w:pPr>
                    <w:pStyle w:val="41"/>
                    <w:bidi w:val="0"/>
                    <w:rPr>
                      <w:rFonts w:hint="eastAsia"/>
                      <w:lang w:val="en-US" w:eastAsia="zh-CN"/>
                    </w:rPr>
                  </w:pPr>
                </w:p>
              </w:tc>
            </w:tr>
            <w:tr w14:paraId="335634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noWrap w:val="0"/>
                  <w:vAlign w:val="center"/>
                </w:tcPr>
                <w:p w14:paraId="2103ED1F">
                  <w:pPr>
                    <w:pStyle w:val="41"/>
                    <w:numPr>
                      <w:ilvl w:val="0"/>
                      <w:numId w:val="13"/>
                    </w:numPr>
                    <w:bidi w:val="0"/>
                    <w:ind w:left="454" w:leftChars="0" w:hanging="454" w:firstLineChars="0"/>
                    <w:jc w:val="center"/>
                    <w:rPr>
                      <w:rFonts w:hint="eastAsia"/>
                    </w:rPr>
                  </w:pPr>
                </w:p>
              </w:tc>
              <w:tc>
                <w:tcPr>
                  <w:tcW w:w="864" w:type="pct"/>
                  <w:noWrap w:val="0"/>
                  <w:vAlign w:val="center"/>
                </w:tcPr>
                <w:p w14:paraId="2093B546">
                  <w:pPr>
                    <w:pStyle w:val="41"/>
                    <w:bidi w:val="0"/>
                    <w:rPr>
                      <w:rFonts w:hint="eastAsia"/>
                    </w:rPr>
                  </w:pPr>
                  <w:r>
                    <w:rPr>
                      <w:rFonts w:hint="eastAsia"/>
                    </w:rPr>
                    <w:t>中药提取物</w:t>
                  </w:r>
                </w:p>
              </w:tc>
              <w:tc>
                <w:tcPr>
                  <w:tcW w:w="669" w:type="pct"/>
                  <w:noWrap w:val="0"/>
                  <w:vAlign w:val="center"/>
                </w:tcPr>
                <w:p w14:paraId="704518F1">
                  <w:pPr>
                    <w:pStyle w:val="41"/>
                    <w:bidi w:val="0"/>
                    <w:rPr>
                      <w:rFonts w:hint="eastAsia"/>
                      <w:lang w:val="en-US" w:eastAsia="zh-CN"/>
                    </w:rPr>
                  </w:pPr>
                  <w:r>
                    <w:rPr>
                      <w:rFonts w:hint="eastAsia"/>
                      <w:lang w:val="en-US" w:eastAsia="zh-CN"/>
                    </w:rPr>
                    <w:t>/</w:t>
                  </w:r>
                </w:p>
              </w:tc>
              <w:tc>
                <w:tcPr>
                  <w:tcW w:w="687" w:type="pct"/>
                  <w:noWrap w:val="0"/>
                  <w:vAlign w:val="center"/>
                </w:tcPr>
                <w:p w14:paraId="2BCFEEB6">
                  <w:pPr>
                    <w:pStyle w:val="41"/>
                    <w:bidi w:val="0"/>
                    <w:rPr>
                      <w:rFonts w:hint="eastAsia"/>
                    </w:rPr>
                  </w:pPr>
                  <w:r>
                    <w:t>1g/</w:t>
                  </w:r>
                  <w:r>
                    <w:rPr>
                      <w:rFonts w:hint="eastAsia"/>
                    </w:rPr>
                    <w:t>瓶</w:t>
                  </w:r>
                </w:p>
              </w:tc>
              <w:tc>
                <w:tcPr>
                  <w:tcW w:w="771" w:type="pct"/>
                  <w:noWrap w:val="0"/>
                  <w:vAlign w:val="center"/>
                </w:tcPr>
                <w:p w14:paraId="6D3BF864">
                  <w:pPr>
                    <w:pStyle w:val="41"/>
                    <w:bidi w:val="0"/>
                    <w:rPr>
                      <w:rFonts w:hint="eastAsia"/>
                    </w:rPr>
                  </w:pPr>
                  <w:r>
                    <w:t>5</w:t>
                  </w:r>
                  <w:r>
                    <w:rPr>
                      <w:rFonts w:hint="eastAsia"/>
                    </w:rPr>
                    <w:t>kg</w:t>
                  </w:r>
                </w:p>
              </w:tc>
              <w:tc>
                <w:tcPr>
                  <w:tcW w:w="740" w:type="pct"/>
                  <w:noWrap w:val="0"/>
                  <w:vAlign w:val="center"/>
                </w:tcPr>
                <w:p w14:paraId="673AECF0">
                  <w:pPr>
                    <w:pStyle w:val="41"/>
                    <w:bidi w:val="0"/>
                    <w:rPr>
                      <w:rFonts w:hint="eastAsia"/>
                    </w:rPr>
                  </w:pPr>
                  <w:r>
                    <w:t>2</w:t>
                  </w:r>
                  <w:r>
                    <w:rPr>
                      <w:rFonts w:hint="eastAsia"/>
                    </w:rPr>
                    <w:t>kg</w:t>
                  </w:r>
                </w:p>
              </w:tc>
              <w:tc>
                <w:tcPr>
                  <w:tcW w:w="521" w:type="pct"/>
                  <w:noWrap w:val="0"/>
                  <w:vAlign w:val="center"/>
                </w:tcPr>
                <w:p w14:paraId="6C389A41">
                  <w:pPr>
                    <w:pStyle w:val="41"/>
                    <w:bidi w:val="0"/>
                    <w:rPr>
                      <w:rFonts w:hint="eastAsia"/>
                    </w:rPr>
                  </w:pPr>
                  <w:r>
                    <w:rPr>
                      <w:rFonts w:hint="eastAsia"/>
                    </w:rPr>
                    <w:t>固体</w:t>
                  </w:r>
                </w:p>
              </w:tc>
              <w:tc>
                <w:tcPr>
                  <w:tcW w:w="447" w:type="pct"/>
                  <w:vMerge w:val="continue"/>
                  <w:noWrap w:val="0"/>
                  <w:vAlign w:val="center"/>
                </w:tcPr>
                <w:p w14:paraId="6994080B">
                  <w:pPr>
                    <w:pStyle w:val="41"/>
                    <w:bidi w:val="0"/>
                    <w:rPr>
                      <w:rFonts w:hint="eastAsia"/>
                      <w:lang w:val="en-US" w:eastAsia="zh-CN"/>
                    </w:rPr>
                  </w:pPr>
                </w:p>
              </w:tc>
            </w:tr>
            <w:tr w14:paraId="2C9A35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noWrap w:val="0"/>
                  <w:vAlign w:val="center"/>
                </w:tcPr>
                <w:p w14:paraId="638F98D0">
                  <w:pPr>
                    <w:pStyle w:val="41"/>
                    <w:numPr>
                      <w:ilvl w:val="0"/>
                      <w:numId w:val="13"/>
                    </w:numPr>
                    <w:bidi w:val="0"/>
                    <w:ind w:left="454" w:leftChars="0" w:hanging="454" w:firstLineChars="0"/>
                    <w:jc w:val="center"/>
                    <w:rPr>
                      <w:rFonts w:hint="eastAsia"/>
                    </w:rPr>
                  </w:pPr>
                </w:p>
              </w:tc>
              <w:tc>
                <w:tcPr>
                  <w:tcW w:w="864" w:type="pct"/>
                  <w:noWrap w:val="0"/>
                  <w:vAlign w:val="center"/>
                </w:tcPr>
                <w:p w14:paraId="2FB827EF">
                  <w:pPr>
                    <w:pStyle w:val="41"/>
                    <w:bidi w:val="0"/>
                    <w:rPr>
                      <w:rFonts w:hint="eastAsia"/>
                    </w:rPr>
                  </w:pPr>
                  <w:r>
                    <w:rPr>
                      <w:rFonts w:hint="eastAsia"/>
                    </w:rPr>
                    <w:t>血浆</w:t>
                  </w:r>
                </w:p>
              </w:tc>
              <w:tc>
                <w:tcPr>
                  <w:tcW w:w="669" w:type="pct"/>
                  <w:noWrap w:val="0"/>
                  <w:vAlign w:val="center"/>
                </w:tcPr>
                <w:p w14:paraId="007454F8">
                  <w:pPr>
                    <w:pStyle w:val="41"/>
                    <w:bidi w:val="0"/>
                    <w:rPr>
                      <w:rFonts w:hint="eastAsia"/>
                      <w:lang w:val="en-US" w:eastAsia="zh-CN"/>
                    </w:rPr>
                  </w:pPr>
                  <w:r>
                    <w:rPr>
                      <w:rFonts w:hint="eastAsia"/>
                      <w:lang w:val="en-US" w:eastAsia="zh-CN"/>
                    </w:rPr>
                    <w:t>/</w:t>
                  </w:r>
                </w:p>
              </w:tc>
              <w:tc>
                <w:tcPr>
                  <w:tcW w:w="687" w:type="pct"/>
                  <w:noWrap w:val="0"/>
                  <w:vAlign w:val="center"/>
                </w:tcPr>
                <w:p w14:paraId="5029F97F">
                  <w:pPr>
                    <w:pStyle w:val="41"/>
                    <w:bidi w:val="0"/>
                    <w:rPr>
                      <w:rFonts w:hint="eastAsia"/>
                    </w:rPr>
                  </w:pPr>
                  <w:r>
                    <w:rPr>
                      <w:rFonts w:hint="eastAsia"/>
                    </w:rPr>
                    <w:t>5</w:t>
                  </w:r>
                  <w:r>
                    <w:t>ml</w:t>
                  </w:r>
                  <w:r>
                    <w:rPr>
                      <w:rFonts w:hint="eastAsia"/>
                    </w:rPr>
                    <w:t>/个</w:t>
                  </w:r>
                </w:p>
              </w:tc>
              <w:tc>
                <w:tcPr>
                  <w:tcW w:w="771" w:type="pct"/>
                  <w:noWrap w:val="0"/>
                  <w:vAlign w:val="center"/>
                </w:tcPr>
                <w:p w14:paraId="60AC6844">
                  <w:pPr>
                    <w:pStyle w:val="41"/>
                    <w:bidi w:val="0"/>
                  </w:pPr>
                  <w:r>
                    <w:rPr>
                      <w:rFonts w:hint="eastAsia"/>
                    </w:rPr>
                    <w:t>1</w:t>
                  </w:r>
                  <w:r>
                    <w:t>0</w:t>
                  </w:r>
                  <w:r>
                    <w:rPr>
                      <w:rFonts w:hint="eastAsia"/>
                    </w:rPr>
                    <w:t>kg</w:t>
                  </w:r>
                </w:p>
              </w:tc>
              <w:tc>
                <w:tcPr>
                  <w:tcW w:w="740" w:type="pct"/>
                  <w:noWrap w:val="0"/>
                  <w:vAlign w:val="center"/>
                </w:tcPr>
                <w:p w14:paraId="513F81BA">
                  <w:pPr>
                    <w:pStyle w:val="41"/>
                    <w:bidi w:val="0"/>
                    <w:rPr>
                      <w:rFonts w:hint="eastAsia"/>
                    </w:rPr>
                  </w:pPr>
                  <w:r>
                    <w:t>2</w:t>
                  </w:r>
                  <w:r>
                    <w:rPr>
                      <w:rFonts w:hint="eastAsia"/>
                    </w:rPr>
                    <w:t>kg</w:t>
                  </w:r>
                </w:p>
              </w:tc>
              <w:tc>
                <w:tcPr>
                  <w:tcW w:w="521" w:type="pct"/>
                  <w:noWrap w:val="0"/>
                  <w:vAlign w:val="center"/>
                </w:tcPr>
                <w:p w14:paraId="120FC8DE">
                  <w:pPr>
                    <w:pStyle w:val="41"/>
                    <w:bidi w:val="0"/>
                    <w:rPr>
                      <w:rFonts w:hint="eastAsia"/>
                    </w:rPr>
                  </w:pPr>
                  <w:r>
                    <w:rPr>
                      <w:rFonts w:hint="eastAsia"/>
                    </w:rPr>
                    <w:t>液体</w:t>
                  </w:r>
                </w:p>
              </w:tc>
              <w:tc>
                <w:tcPr>
                  <w:tcW w:w="447" w:type="pct"/>
                  <w:vMerge w:val="continue"/>
                  <w:noWrap w:val="0"/>
                  <w:vAlign w:val="center"/>
                </w:tcPr>
                <w:p w14:paraId="3128FD64">
                  <w:pPr>
                    <w:pStyle w:val="41"/>
                    <w:bidi w:val="0"/>
                    <w:rPr>
                      <w:rFonts w:hint="eastAsia"/>
                      <w:lang w:val="en-US" w:eastAsia="zh-CN"/>
                    </w:rPr>
                  </w:pPr>
                </w:p>
              </w:tc>
            </w:tr>
            <w:tr w14:paraId="2EF911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noWrap w:val="0"/>
                  <w:vAlign w:val="center"/>
                </w:tcPr>
                <w:p w14:paraId="0D379687">
                  <w:pPr>
                    <w:pStyle w:val="41"/>
                    <w:numPr>
                      <w:ilvl w:val="0"/>
                      <w:numId w:val="13"/>
                    </w:numPr>
                    <w:bidi w:val="0"/>
                    <w:ind w:left="454" w:leftChars="0" w:hanging="454" w:firstLineChars="0"/>
                    <w:jc w:val="center"/>
                    <w:rPr>
                      <w:rFonts w:hint="eastAsia"/>
                    </w:rPr>
                  </w:pPr>
                </w:p>
              </w:tc>
              <w:tc>
                <w:tcPr>
                  <w:tcW w:w="864" w:type="pct"/>
                  <w:noWrap w:val="0"/>
                  <w:vAlign w:val="center"/>
                </w:tcPr>
                <w:p w14:paraId="21083076">
                  <w:pPr>
                    <w:pStyle w:val="41"/>
                    <w:bidi w:val="0"/>
                    <w:rPr>
                      <w:rFonts w:hint="eastAsia"/>
                    </w:rPr>
                  </w:pPr>
                  <w:r>
                    <w:rPr>
                      <w:rFonts w:hint="eastAsia"/>
                    </w:rPr>
                    <w:t>粪便</w:t>
                  </w:r>
                </w:p>
              </w:tc>
              <w:tc>
                <w:tcPr>
                  <w:tcW w:w="669" w:type="pct"/>
                  <w:noWrap w:val="0"/>
                  <w:vAlign w:val="center"/>
                </w:tcPr>
                <w:p w14:paraId="57AAD768">
                  <w:pPr>
                    <w:pStyle w:val="41"/>
                    <w:bidi w:val="0"/>
                    <w:rPr>
                      <w:rFonts w:hint="eastAsia"/>
                      <w:lang w:val="en-US" w:eastAsia="zh-CN"/>
                    </w:rPr>
                  </w:pPr>
                  <w:r>
                    <w:rPr>
                      <w:rFonts w:hint="eastAsia"/>
                      <w:lang w:val="en-US" w:eastAsia="zh-CN"/>
                    </w:rPr>
                    <w:t>/</w:t>
                  </w:r>
                </w:p>
              </w:tc>
              <w:tc>
                <w:tcPr>
                  <w:tcW w:w="687" w:type="pct"/>
                  <w:noWrap w:val="0"/>
                  <w:vAlign w:val="center"/>
                </w:tcPr>
                <w:p w14:paraId="5EB4204E">
                  <w:pPr>
                    <w:pStyle w:val="41"/>
                    <w:bidi w:val="0"/>
                    <w:rPr>
                      <w:rFonts w:hint="eastAsia"/>
                    </w:rPr>
                  </w:pPr>
                  <w:r>
                    <w:t>1</w:t>
                  </w:r>
                  <w:r>
                    <w:rPr>
                      <w:rFonts w:hint="eastAsia"/>
                    </w:rPr>
                    <w:t>g/个</w:t>
                  </w:r>
                </w:p>
              </w:tc>
              <w:tc>
                <w:tcPr>
                  <w:tcW w:w="771" w:type="pct"/>
                  <w:noWrap w:val="0"/>
                  <w:vAlign w:val="center"/>
                </w:tcPr>
                <w:p w14:paraId="499CD030">
                  <w:pPr>
                    <w:pStyle w:val="41"/>
                    <w:bidi w:val="0"/>
                  </w:pPr>
                  <w:r>
                    <w:rPr>
                      <w:rFonts w:hint="eastAsia"/>
                    </w:rPr>
                    <w:t>1</w:t>
                  </w:r>
                  <w:r>
                    <w:t>0</w:t>
                  </w:r>
                  <w:r>
                    <w:rPr>
                      <w:rFonts w:hint="eastAsia"/>
                    </w:rPr>
                    <w:t>kg</w:t>
                  </w:r>
                </w:p>
              </w:tc>
              <w:tc>
                <w:tcPr>
                  <w:tcW w:w="740" w:type="pct"/>
                  <w:noWrap w:val="0"/>
                  <w:vAlign w:val="center"/>
                </w:tcPr>
                <w:p w14:paraId="78C94741">
                  <w:pPr>
                    <w:pStyle w:val="41"/>
                    <w:bidi w:val="0"/>
                    <w:rPr>
                      <w:rFonts w:hint="eastAsia"/>
                    </w:rPr>
                  </w:pPr>
                  <w:r>
                    <w:t>2</w:t>
                  </w:r>
                  <w:r>
                    <w:rPr>
                      <w:rFonts w:hint="eastAsia"/>
                    </w:rPr>
                    <w:t>kg</w:t>
                  </w:r>
                </w:p>
              </w:tc>
              <w:tc>
                <w:tcPr>
                  <w:tcW w:w="521" w:type="pct"/>
                  <w:noWrap w:val="0"/>
                  <w:vAlign w:val="center"/>
                </w:tcPr>
                <w:p w14:paraId="7B470B8B">
                  <w:pPr>
                    <w:pStyle w:val="41"/>
                    <w:bidi w:val="0"/>
                    <w:rPr>
                      <w:rFonts w:hint="eastAsia"/>
                    </w:rPr>
                  </w:pPr>
                  <w:r>
                    <w:rPr>
                      <w:rFonts w:hint="eastAsia"/>
                    </w:rPr>
                    <w:t>液体</w:t>
                  </w:r>
                </w:p>
              </w:tc>
              <w:tc>
                <w:tcPr>
                  <w:tcW w:w="447" w:type="pct"/>
                  <w:vMerge w:val="continue"/>
                  <w:noWrap w:val="0"/>
                  <w:vAlign w:val="center"/>
                </w:tcPr>
                <w:p w14:paraId="1487B2B0">
                  <w:pPr>
                    <w:pStyle w:val="41"/>
                    <w:bidi w:val="0"/>
                    <w:rPr>
                      <w:rFonts w:hint="eastAsia"/>
                      <w:lang w:val="en-US" w:eastAsia="zh-CN"/>
                    </w:rPr>
                  </w:pPr>
                </w:p>
              </w:tc>
            </w:tr>
            <w:tr w14:paraId="090B4C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noWrap w:val="0"/>
                  <w:vAlign w:val="center"/>
                </w:tcPr>
                <w:p w14:paraId="2C1447D0">
                  <w:pPr>
                    <w:pStyle w:val="41"/>
                    <w:numPr>
                      <w:ilvl w:val="0"/>
                      <w:numId w:val="13"/>
                    </w:numPr>
                    <w:bidi w:val="0"/>
                    <w:ind w:left="454" w:leftChars="0" w:hanging="454" w:firstLineChars="0"/>
                    <w:jc w:val="center"/>
                    <w:rPr>
                      <w:rFonts w:hint="eastAsia"/>
                    </w:rPr>
                  </w:pPr>
                </w:p>
              </w:tc>
              <w:tc>
                <w:tcPr>
                  <w:tcW w:w="864" w:type="pct"/>
                  <w:noWrap w:val="0"/>
                  <w:vAlign w:val="center"/>
                </w:tcPr>
                <w:p w14:paraId="2BAE6387">
                  <w:pPr>
                    <w:pStyle w:val="41"/>
                    <w:bidi w:val="0"/>
                    <w:rPr>
                      <w:rFonts w:hint="eastAsia"/>
                    </w:rPr>
                  </w:pPr>
                  <w:r>
                    <w:rPr>
                      <w:rFonts w:hint="eastAsia"/>
                    </w:rPr>
                    <w:t>组织</w:t>
                  </w:r>
                </w:p>
              </w:tc>
              <w:tc>
                <w:tcPr>
                  <w:tcW w:w="669" w:type="pct"/>
                  <w:noWrap w:val="0"/>
                  <w:vAlign w:val="center"/>
                </w:tcPr>
                <w:p w14:paraId="64F75CA6">
                  <w:pPr>
                    <w:pStyle w:val="41"/>
                    <w:bidi w:val="0"/>
                    <w:rPr>
                      <w:rFonts w:hint="eastAsia"/>
                      <w:lang w:val="en-US" w:eastAsia="zh-CN"/>
                    </w:rPr>
                  </w:pPr>
                  <w:r>
                    <w:rPr>
                      <w:rFonts w:hint="eastAsia"/>
                      <w:lang w:val="en-US" w:eastAsia="zh-CN"/>
                    </w:rPr>
                    <w:t>/</w:t>
                  </w:r>
                </w:p>
              </w:tc>
              <w:tc>
                <w:tcPr>
                  <w:tcW w:w="687" w:type="pct"/>
                  <w:noWrap w:val="0"/>
                  <w:vAlign w:val="center"/>
                </w:tcPr>
                <w:p w14:paraId="1B778254">
                  <w:pPr>
                    <w:pStyle w:val="41"/>
                    <w:bidi w:val="0"/>
                    <w:rPr>
                      <w:rFonts w:hint="eastAsia"/>
                    </w:rPr>
                  </w:pPr>
                  <w:r>
                    <w:t>1g</w:t>
                  </w:r>
                  <w:r>
                    <w:rPr>
                      <w:rFonts w:hint="eastAsia"/>
                    </w:rPr>
                    <w:t>/个</w:t>
                  </w:r>
                </w:p>
              </w:tc>
              <w:tc>
                <w:tcPr>
                  <w:tcW w:w="771" w:type="pct"/>
                  <w:noWrap w:val="0"/>
                  <w:vAlign w:val="center"/>
                </w:tcPr>
                <w:p w14:paraId="71974899">
                  <w:pPr>
                    <w:pStyle w:val="41"/>
                    <w:bidi w:val="0"/>
                  </w:pPr>
                  <w:r>
                    <w:t>5</w:t>
                  </w:r>
                  <w:r>
                    <w:rPr>
                      <w:rFonts w:hint="eastAsia"/>
                    </w:rPr>
                    <w:t>kg</w:t>
                  </w:r>
                </w:p>
              </w:tc>
              <w:tc>
                <w:tcPr>
                  <w:tcW w:w="740" w:type="pct"/>
                  <w:noWrap w:val="0"/>
                  <w:vAlign w:val="center"/>
                </w:tcPr>
                <w:p w14:paraId="1B4F9065">
                  <w:pPr>
                    <w:pStyle w:val="41"/>
                    <w:bidi w:val="0"/>
                    <w:rPr>
                      <w:rFonts w:hint="eastAsia"/>
                    </w:rPr>
                  </w:pPr>
                  <w:r>
                    <w:t>2</w:t>
                  </w:r>
                  <w:r>
                    <w:rPr>
                      <w:rFonts w:hint="eastAsia"/>
                    </w:rPr>
                    <w:t>kg</w:t>
                  </w:r>
                </w:p>
              </w:tc>
              <w:tc>
                <w:tcPr>
                  <w:tcW w:w="521" w:type="pct"/>
                  <w:noWrap w:val="0"/>
                  <w:vAlign w:val="center"/>
                </w:tcPr>
                <w:p w14:paraId="21833832">
                  <w:pPr>
                    <w:pStyle w:val="41"/>
                    <w:bidi w:val="0"/>
                    <w:rPr>
                      <w:rFonts w:hint="eastAsia"/>
                    </w:rPr>
                  </w:pPr>
                  <w:r>
                    <w:rPr>
                      <w:rFonts w:hint="eastAsia"/>
                    </w:rPr>
                    <w:t>液体</w:t>
                  </w:r>
                </w:p>
              </w:tc>
              <w:tc>
                <w:tcPr>
                  <w:tcW w:w="447" w:type="pct"/>
                  <w:vMerge w:val="continue"/>
                  <w:noWrap w:val="0"/>
                  <w:vAlign w:val="center"/>
                </w:tcPr>
                <w:p w14:paraId="524F3306">
                  <w:pPr>
                    <w:pStyle w:val="41"/>
                    <w:bidi w:val="0"/>
                    <w:rPr>
                      <w:rFonts w:hint="eastAsia"/>
                      <w:lang w:val="en-US" w:eastAsia="zh-CN"/>
                    </w:rPr>
                  </w:pPr>
                </w:p>
              </w:tc>
            </w:tr>
            <w:tr w14:paraId="3FCCA2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noWrap w:val="0"/>
                  <w:vAlign w:val="center"/>
                </w:tcPr>
                <w:p w14:paraId="72EEE0BF">
                  <w:pPr>
                    <w:pStyle w:val="41"/>
                    <w:numPr>
                      <w:ilvl w:val="0"/>
                      <w:numId w:val="13"/>
                    </w:numPr>
                    <w:bidi w:val="0"/>
                    <w:ind w:left="454" w:leftChars="0" w:hanging="454" w:firstLineChars="0"/>
                    <w:jc w:val="center"/>
                  </w:pPr>
                </w:p>
              </w:tc>
              <w:tc>
                <w:tcPr>
                  <w:tcW w:w="864" w:type="pct"/>
                  <w:noWrap w:val="0"/>
                  <w:vAlign w:val="center"/>
                </w:tcPr>
                <w:p w14:paraId="16657A34">
                  <w:pPr>
                    <w:pStyle w:val="41"/>
                    <w:bidi w:val="0"/>
                    <w:rPr>
                      <w:rFonts w:hint="eastAsia"/>
                    </w:rPr>
                  </w:pPr>
                  <w:r>
                    <w:rPr>
                      <w:rFonts w:hint="eastAsia"/>
                    </w:rPr>
                    <w:t>细胞</w:t>
                  </w:r>
                </w:p>
              </w:tc>
              <w:tc>
                <w:tcPr>
                  <w:tcW w:w="669" w:type="pct"/>
                  <w:noWrap w:val="0"/>
                  <w:vAlign w:val="center"/>
                </w:tcPr>
                <w:p w14:paraId="34E525BE">
                  <w:pPr>
                    <w:pStyle w:val="41"/>
                    <w:bidi w:val="0"/>
                    <w:rPr>
                      <w:rFonts w:hint="eastAsia"/>
                      <w:lang w:val="en-US" w:eastAsia="zh-CN"/>
                    </w:rPr>
                  </w:pPr>
                  <w:r>
                    <w:rPr>
                      <w:rFonts w:hint="eastAsia"/>
                      <w:lang w:val="en-US" w:eastAsia="zh-CN"/>
                    </w:rPr>
                    <w:t>/</w:t>
                  </w:r>
                </w:p>
              </w:tc>
              <w:tc>
                <w:tcPr>
                  <w:tcW w:w="687" w:type="pct"/>
                  <w:noWrap w:val="0"/>
                  <w:vAlign w:val="center"/>
                </w:tcPr>
                <w:p w14:paraId="020B524E">
                  <w:pPr>
                    <w:pStyle w:val="41"/>
                    <w:bidi w:val="0"/>
                    <w:rPr>
                      <w:rFonts w:hint="eastAsia"/>
                    </w:rPr>
                  </w:pPr>
                  <w:r>
                    <w:t>/</w:t>
                  </w:r>
                </w:p>
              </w:tc>
              <w:tc>
                <w:tcPr>
                  <w:tcW w:w="771" w:type="pct"/>
                  <w:noWrap w:val="0"/>
                  <w:vAlign w:val="center"/>
                </w:tcPr>
                <w:p w14:paraId="4B57066D">
                  <w:pPr>
                    <w:pStyle w:val="41"/>
                    <w:bidi w:val="0"/>
                    <w:rPr>
                      <w:rFonts w:hint="eastAsia"/>
                    </w:rPr>
                  </w:pPr>
                  <w:r>
                    <w:rPr>
                      <w:rFonts w:hint="eastAsia"/>
                    </w:rPr>
                    <w:t>0</w:t>
                  </w:r>
                  <w:r>
                    <w:t>.5</w:t>
                  </w:r>
                  <w:r>
                    <w:rPr>
                      <w:rFonts w:hint="eastAsia"/>
                    </w:rPr>
                    <w:t>kg</w:t>
                  </w:r>
                </w:p>
              </w:tc>
              <w:tc>
                <w:tcPr>
                  <w:tcW w:w="740" w:type="pct"/>
                  <w:noWrap w:val="0"/>
                  <w:vAlign w:val="center"/>
                </w:tcPr>
                <w:p w14:paraId="12D7F95B">
                  <w:pPr>
                    <w:pStyle w:val="41"/>
                    <w:bidi w:val="0"/>
                    <w:rPr>
                      <w:rFonts w:hint="eastAsia"/>
                    </w:rPr>
                  </w:pPr>
                  <w:r>
                    <w:rPr>
                      <w:rFonts w:hint="eastAsia"/>
                    </w:rPr>
                    <w:t>0</w:t>
                  </w:r>
                  <w:r>
                    <w:t>.5</w:t>
                  </w:r>
                  <w:r>
                    <w:rPr>
                      <w:rFonts w:hint="eastAsia"/>
                    </w:rPr>
                    <w:t>kg</w:t>
                  </w:r>
                </w:p>
              </w:tc>
              <w:tc>
                <w:tcPr>
                  <w:tcW w:w="521" w:type="pct"/>
                  <w:noWrap w:val="0"/>
                  <w:vAlign w:val="center"/>
                </w:tcPr>
                <w:p w14:paraId="020D004B">
                  <w:pPr>
                    <w:pStyle w:val="41"/>
                    <w:bidi w:val="0"/>
                    <w:rPr>
                      <w:rFonts w:hint="eastAsia"/>
                    </w:rPr>
                  </w:pPr>
                  <w:r>
                    <w:rPr>
                      <w:rFonts w:hint="eastAsia"/>
                    </w:rPr>
                    <w:t>液体</w:t>
                  </w:r>
                </w:p>
              </w:tc>
              <w:tc>
                <w:tcPr>
                  <w:tcW w:w="447" w:type="pct"/>
                  <w:vMerge w:val="continue"/>
                  <w:noWrap w:val="0"/>
                  <w:vAlign w:val="center"/>
                </w:tcPr>
                <w:p w14:paraId="67053850">
                  <w:pPr>
                    <w:pStyle w:val="41"/>
                    <w:bidi w:val="0"/>
                    <w:rPr>
                      <w:rFonts w:hint="eastAsia"/>
                      <w:lang w:val="en-US" w:eastAsia="zh-CN"/>
                    </w:rPr>
                  </w:pPr>
                </w:p>
              </w:tc>
            </w:tr>
            <w:tr w14:paraId="03648C84">
              <w:tblPrEx>
                <w:tblCellMar>
                  <w:top w:w="0" w:type="dxa"/>
                  <w:left w:w="108" w:type="dxa"/>
                  <w:bottom w:w="0" w:type="dxa"/>
                  <w:right w:w="108" w:type="dxa"/>
                </w:tblCellMar>
              </w:tblPrEx>
              <w:trPr>
                <w:trHeight w:val="23" w:hRule="atLeast"/>
                <w:jc w:val="center"/>
              </w:trPr>
              <w:tc>
                <w:tcPr>
                  <w:tcW w:w="296" w:type="pct"/>
                  <w:noWrap w:val="0"/>
                  <w:vAlign w:val="center"/>
                </w:tcPr>
                <w:p w14:paraId="1C57308C">
                  <w:pPr>
                    <w:pStyle w:val="41"/>
                    <w:numPr>
                      <w:ilvl w:val="0"/>
                      <w:numId w:val="13"/>
                    </w:numPr>
                    <w:bidi w:val="0"/>
                    <w:ind w:left="454" w:leftChars="0" w:hanging="454" w:firstLineChars="0"/>
                    <w:jc w:val="center"/>
                    <w:rPr>
                      <w:rFonts w:hint="eastAsia"/>
                    </w:rPr>
                  </w:pPr>
                </w:p>
              </w:tc>
              <w:tc>
                <w:tcPr>
                  <w:tcW w:w="864" w:type="pct"/>
                  <w:noWrap w:val="0"/>
                  <w:vAlign w:val="center"/>
                </w:tcPr>
                <w:p w14:paraId="2DC51CAD">
                  <w:pPr>
                    <w:pStyle w:val="41"/>
                    <w:bidi w:val="0"/>
                    <w:rPr>
                      <w:rFonts w:hint="eastAsia"/>
                      <w:lang w:val="en-US" w:eastAsia="zh-CN"/>
                    </w:rPr>
                  </w:pPr>
                  <w:r>
                    <w:rPr>
                      <w:rFonts w:hint="eastAsia"/>
                    </w:rPr>
                    <w:t>细胞培养基</w:t>
                  </w:r>
                </w:p>
              </w:tc>
              <w:tc>
                <w:tcPr>
                  <w:tcW w:w="669" w:type="pct"/>
                  <w:noWrap w:val="0"/>
                  <w:vAlign w:val="center"/>
                </w:tcPr>
                <w:p w14:paraId="52D65A31">
                  <w:pPr>
                    <w:pStyle w:val="41"/>
                    <w:bidi w:val="0"/>
                    <w:rPr>
                      <w:rFonts w:hint="eastAsia"/>
                      <w:lang w:val="en-US" w:eastAsia="zh-CN"/>
                    </w:rPr>
                  </w:pPr>
                  <w:r>
                    <w:rPr>
                      <w:rFonts w:hint="eastAsia"/>
                      <w:lang w:val="en-US" w:eastAsia="zh-CN"/>
                    </w:rPr>
                    <w:t>/</w:t>
                  </w:r>
                </w:p>
              </w:tc>
              <w:tc>
                <w:tcPr>
                  <w:tcW w:w="687" w:type="pct"/>
                  <w:noWrap w:val="0"/>
                  <w:vAlign w:val="center"/>
                </w:tcPr>
                <w:p w14:paraId="766A3269">
                  <w:pPr>
                    <w:pStyle w:val="41"/>
                    <w:bidi w:val="0"/>
                    <w:rPr>
                      <w:rFonts w:hint="eastAsia"/>
                      <w:lang w:val="en-US" w:eastAsia="zh-CN"/>
                    </w:rPr>
                  </w:pPr>
                  <w:r>
                    <w:rPr>
                      <w:rFonts w:hint="eastAsia"/>
                    </w:rPr>
                    <w:t>0.5L/瓶</w:t>
                  </w:r>
                </w:p>
              </w:tc>
              <w:tc>
                <w:tcPr>
                  <w:tcW w:w="771" w:type="pct"/>
                  <w:noWrap w:val="0"/>
                  <w:vAlign w:val="center"/>
                </w:tcPr>
                <w:p w14:paraId="4EA6C274">
                  <w:pPr>
                    <w:pStyle w:val="41"/>
                    <w:bidi w:val="0"/>
                    <w:rPr>
                      <w:rFonts w:hint="eastAsia"/>
                      <w:lang w:val="en-US" w:eastAsia="zh-CN"/>
                    </w:rPr>
                  </w:pPr>
                  <w:r>
                    <w:rPr>
                      <w:rFonts w:hint="eastAsia"/>
                    </w:rPr>
                    <w:t>250kg</w:t>
                  </w:r>
                </w:p>
              </w:tc>
              <w:tc>
                <w:tcPr>
                  <w:tcW w:w="740" w:type="pct"/>
                  <w:noWrap w:val="0"/>
                  <w:vAlign w:val="center"/>
                </w:tcPr>
                <w:p w14:paraId="059F5BA2">
                  <w:pPr>
                    <w:pStyle w:val="41"/>
                    <w:bidi w:val="0"/>
                    <w:rPr>
                      <w:rFonts w:hint="eastAsia"/>
                      <w:lang w:val="en-US" w:eastAsia="zh-CN"/>
                    </w:rPr>
                  </w:pPr>
                  <w:r>
                    <w:rPr>
                      <w:rFonts w:hint="eastAsia"/>
                    </w:rPr>
                    <w:t>10kg</w:t>
                  </w:r>
                </w:p>
              </w:tc>
              <w:tc>
                <w:tcPr>
                  <w:tcW w:w="521" w:type="pct"/>
                  <w:noWrap w:val="0"/>
                  <w:vAlign w:val="center"/>
                </w:tcPr>
                <w:p w14:paraId="01F406EA">
                  <w:pPr>
                    <w:pStyle w:val="41"/>
                    <w:bidi w:val="0"/>
                    <w:rPr>
                      <w:rFonts w:hint="eastAsia"/>
                      <w:lang w:val="en-US" w:eastAsia="zh-CN"/>
                    </w:rPr>
                  </w:pPr>
                  <w:r>
                    <w:rPr>
                      <w:rFonts w:hint="eastAsia"/>
                    </w:rPr>
                    <w:t>液体</w:t>
                  </w:r>
                </w:p>
              </w:tc>
              <w:tc>
                <w:tcPr>
                  <w:tcW w:w="447" w:type="pct"/>
                  <w:vMerge w:val="continue"/>
                  <w:noWrap w:val="0"/>
                  <w:vAlign w:val="center"/>
                </w:tcPr>
                <w:p w14:paraId="2B62CB2D">
                  <w:pPr>
                    <w:pStyle w:val="41"/>
                    <w:bidi w:val="0"/>
                    <w:rPr>
                      <w:rFonts w:hint="eastAsia"/>
                      <w:lang w:val="en-US" w:eastAsia="zh-CN"/>
                    </w:rPr>
                  </w:pPr>
                </w:p>
              </w:tc>
            </w:tr>
            <w:tr w14:paraId="1F2B4E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5A7BA26">
                  <w:pPr>
                    <w:pStyle w:val="41"/>
                    <w:numPr>
                      <w:ilvl w:val="0"/>
                      <w:numId w:val="13"/>
                    </w:numPr>
                    <w:bidi w:val="0"/>
                    <w:ind w:left="454" w:leftChars="0" w:hanging="454" w:firstLineChars="0"/>
                    <w:jc w:val="center"/>
                    <w:rPr>
                      <w:rFonts w:hint="eastAsia"/>
                    </w:rPr>
                  </w:pPr>
                </w:p>
              </w:tc>
              <w:tc>
                <w:tcPr>
                  <w:tcW w:w="864" w:type="pct"/>
                  <w:vAlign w:val="center"/>
                </w:tcPr>
                <w:p w14:paraId="23DF7C0F">
                  <w:pPr>
                    <w:pStyle w:val="41"/>
                    <w:bidi w:val="0"/>
                    <w:rPr>
                      <w:rFonts w:hint="eastAsia"/>
                      <w:lang w:val="en-US" w:eastAsia="zh-CN"/>
                    </w:rPr>
                  </w:pPr>
                  <w:r>
                    <w:rPr>
                      <w:rFonts w:hint="eastAsia"/>
                    </w:rPr>
                    <w:t>细胞</w:t>
                  </w:r>
                </w:p>
              </w:tc>
              <w:tc>
                <w:tcPr>
                  <w:tcW w:w="669" w:type="pct"/>
                  <w:vAlign w:val="center"/>
                </w:tcPr>
                <w:p w14:paraId="7BFEE357">
                  <w:pPr>
                    <w:pStyle w:val="41"/>
                    <w:bidi w:val="0"/>
                    <w:rPr>
                      <w:rFonts w:hint="eastAsia"/>
                      <w:lang w:val="en-US" w:eastAsia="zh-CN"/>
                    </w:rPr>
                  </w:pPr>
                  <w:r>
                    <w:rPr>
                      <w:rFonts w:hint="eastAsia"/>
                      <w:lang w:val="en-US" w:eastAsia="zh-CN"/>
                    </w:rPr>
                    <w:t>/</w:t>
                  </w:r>
                </w:p>
              </w:tc>
              <w:tc>
                <w:tcPr>
                  <w:tcW w:w="687" w:type="pct"/>
                  <w:vAlign w:val="center"/>
                </w:tcPr>
                <w:p w14:paraId="4A3C6B86">
                  <w:pPr>
                    <w:pStyle w:val="41"/>
                    <w:bidi w:val="0"/>
                    <w:rPr>
                      <w:rFonts w:hint="eastAsia"/>
                      <w:lang w:val="en-US" w:eastAsia="zh-CN"/>
                    </w:rPr>
                  </w:pPr>
                  <w:r>
                    <w:rPr>
                      <w:rFonts w:hint="eastAsia"/>
                    </w:rPr>
                    <w:t>1mL/支</w:t>
                  </w:r>
                </w:p>
              </w:tc>
              <w:tc>
                <w:tcPr>
                  <w:tcW w:w="771" w:type="pct"/>
                  <w:vAlign w:val="center"/>
                </w:tcPr>
                <w:p w14:paraId="1D07F491">
                  <w:pPr>
                    <w:pStyle w:val="41"/>
                    <w:bidi w:val="0"/>
                    <w:rPr>
                      <w:rFonts w:hint="eastAsia"/>
                      <w:lang w:val="en-US" w:eastAsia="zh-CN"/>
                    </w:rPr>
                  </w:pPr>
                  <w:r>
                    <w:rPr>
                      <w:rFonts w:hint="eastAsia"/>
                    </w:rPr>
                    <w:t>250kg</w:t>
                  </w:r>
                </w:p>
              </w:tc>
              <w:tc>
                <w:tcPr>
                  <w:tcW w:w="740" w:type="pct"/>
                  <w:vAlign w:val="center"/>
                </w:tcPr>
                <w:p w14:paraId="215A9A9D">
                  <w:pPr>
                    <w:pStyle w:val="41"/>
                    <w:bidi w:val="0"/>
                    <w:rPr>
                      <w:rFonts w:hint="eastAsia"/>
                      <w:lang w:val="en-US" w:eastAsia="zh-CN"/>
                    </w:rPr>
                  </w:pPr>
                  <w:r>
                    <w:rPr>
                      <w:rFonts w:hint="eastAsia"/>
                    </w:rPr>
                    <w:t>30kg</w:t>
                  </w:r>
                </w:p>
              </w:tc>
              <w:tc>
                <w:tcPr>
                  <w:tcW w:w="521" w:type="pct"/>
                  <w:vAlign w:val="center"/>
                </w:tcPr>
                <w:p w14:paraId="04F7DA54">
                  <w:pPr>
                    <w:pStyle w:val="41"/>
                    <w:bidi w:val="0"/>
                    <w:rPr>
                      <w:rFonts w:hint="eastAsia"/>
                      <w:lang w:val="en-US" w:eastAsia="zh-CN"/>
                    </w:rPr>
                  </w:pPr>
                  <w:r>
                    <w:rPr>
                      <w:rFonts w:hint="eastAsia"/>
                    </w:rPr>
                    <w:t>液体</w:t>
                  </w:r>
                </w:p>
              </w:tc>
              <w:tc>
                <w:tcPr>
                  <w:tcW w:w="447" w:type="pct"/>
                  <w:vMerge w:val="continue"/>
                  <w:vAlign w:val="center"/>
                </w:tcPr>
                <w:p w14:paraId="0E6415CA">
                  <w:pPr>
                    <w:pStyle w:val="41"/>
                    <w:bidi w:val="0"/>
                    <w:rPr>
                      <w:rFonts w:hint="eastAsia"/>
                      <w:lang w:val="en-US" w:eastAsia="zh-CN"/>
                    </w:rPr>
                  </w:pPr>
                </w:p>
              </w:tc>
            </w:tr>
            <w:tr w14:paraId="57F4B4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0ED1928">
                  <w:pPr>
                    <w:pStyle w:val="41"/>
                    <w:numPr>
                      <w:ilvl w:val="0"/>
                      <w:numId w:val="13"/>
                    </w:numPr>
                    <w:bidi w:val="0"/>
                    <w:ind w:left="454" w:leftChars="0" w:hanging="454" w:firstLineChars="0"/>
                    <w:jc w:val="center"/>
                    <w:rPr>
                      <w:rFonts w:hint="eastAsia"/>
                    </w:rPr>
                  </w:pPr>
                </w:p>
              </w:tc>
              <w:tc>
                <w:tcPr>
                  <w:tcW w:w="864" w:type="pct"/>
                  <w:vAlign w:val="center"/>
                </w:tcPr>
                <w:p w14:paraId="24E6137D">
                  <w:pPr>
                    <w:pStyle w:val="41"/>
                    <w:bidi w:val="0"/>
                    <w:rPr>
                      <w:rFonts w:hint="eastAsia"/>
                      <w:lang w:val="en-US" w:eastAsia="zh-CN"/>
                    </w:rPr>
                  </w:pPr>
                  <w:r>
                    <w:rPr>
                      <w:rFonts w:hint="eastAsia"/>
                    </w:rPr>
                    <w:t>试剂盒</w:t>
                  </w:r>
                </w:p>
              </w:tc>
              <w:tc>
                <w:tcPr>
                  <w:tcW w:w="669" w:type="pct"/>
                  <w:vAlign w:val="center"/>
                </w:tcPr>
                <w:p w14:paraId="742F44CB">
                  <w:pPr>
                    <w:pStyle w:val="41"/>
                    <w:bidi w:val="0"/>
                    <w:rPr>
                      <w:rFonts w:hint="eastAsia"/>
                      <w:lang w:val="en-US" w:eastAsia="zh-CN"/>
                    </w:rPr>
                  </w:pPr>
                  <w:r>
                    <w:rPr>
                      <w:rFonts w:hint="eastAsia"/>
                      <w:lang w:val="en-US" w:eastAsia="zh-CN"/>
                    </w:rPr>
                    <w:t>/</w:t>
                  </w:r>
                </w:p>
              </w:tc>
              <w:tc>
                <w:tcPr>
                  <w:tcW w:w="687" w:type="pct"/>
                  <w:vAlign w:val="center"/>
                </w:tcPr>
                <w:p w14:paraId="354CC273">
                  <w:pPr>
                    <w:pStyle w:val="41"/>
                    <w:bidi w:val="0"/>
                    <w:rPr>
                      <w:rFonts w:hint="default"/>
                      <w:lang w:val="en-US" w:eastAsia="zh-CN"/>
                    </w:rPr>
                  </w:pPr>
                  <w:r>
                    <w:rPr>
                      <w:rFonts w:hint="eastAsia"/>
                      <w:lang w:val="en-US" w:eastAsia="zh-CN"/>
                    </w:rPr>
                    <w:t>/</w:t>
                  </w:r>
                </w:p>
              </w:tc>
              <w:tc>
                <w:tcPr>
                  <w:tcW w:w="771" w:type="pct"/>
                  <w:vAlign w:val="center"/>
                </w:tcPr>
                <w:p w14:paraId="4D770E2A">
                  <w:pPr>
                    <w:pStyle w:val="41"/>
                    <w:bidi w:val="0"/>
                    <w:rPr>
                      <w:rFonts w:hint="eastAsia"/>
                      <w:lang w:val="en-US" w:eastAsia="zh-CN"/>
                    </w:rPr>
                  </w:pPr>
                  <w:r>
                    <w:rPr>
                      <w:rFonts w:hint="eastAsia"/>
                    </w:rPr>
                    <w:t>300个</w:t>
                  </w:r>
                </w:p>
              </w:tc>
              <w:tc>
                <w:tcPr>
                  <w:tcW w:w="740" w:type="pct"/>
                  <w:vAlign w:val="center"/>
                </w:tcPr>
                <w:p w14:paraId="7F688946">
                  <w:pPr>
                    <w:pStyle w:val="41"/>
                    <w:bidi w:val="0"/>
                    <w:rPr>
                      <w:rFonts w:hint="eastAsia"/>
                      <w:lang w:val="en-US" w:eastAsia="zh-CN"/>
                    </w:rPr>
                  </w:pPr>
                  <w:r>
                    <w:rPr>
                      <w:rFonts w:hint="eastAsia"/>
                    </w:rPr>
                    <w:t>30个</w:t>
                  </w:r>
                </w:p>
              </w:tc>
              <w:tc>
                <w:tcPr>
                  <w:tcW w:w="521" w:type="pct"/>
                  <w:vAlign w:val="center"/>
                </w:tcPr>
                <w:p w14:paraId="257D7236">
                  <w:pPr>
                    <w:pStyle w:val="41"/>
                    <w:bidi w:val="0"/>
                    <w:rPr>
                      <w:rFonts w:hint="eastAsia"/>
                      <w:lang w:val="en-US" w:eastAsia="zh-CN"/>
                    </w:rPr>
                  </w:pPr>
                  <w:r>
                    <w:rPr>
                      <w:rFonts w:hint="eastAsia"/>
                    </w:rPr>
                    <w:t>固体</w:t>
                  </w:r>
                </w:p>
              </w:tc>
              <w:tc>
                <w:tcPr>
                  <w:tcW w:w="447" w:type="pct"/>
                  <w:vMerge w:val="continue"/>
                  <w:vAlign w:val="center"/>
                </w:tcPr>
                <w:p w14:paraId="166EC2FD">
                  <w:pPr>
                    <w:pStyle w:val="41"/>
                    <w:bidi w:val="0"/>
                    <w:rPr>
                      <w:rFonts w:hint="eastAsia"/>
                      <w:lang w:val="en-US" w:eastAsia="zh-CN"/>
                    </w:rPr>
                  </w:pPr>
                </w:p>
              </w:tc>
            </w:tr>
            <w:tr w14:paraId="7B7AAB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96" w:type="pct"/>
                  <w:vAlign w:val="center"/>
                </w:tcPr>
                <w:p w14:paraId="4DC2E5C4">
                  <w:pPr>
                    <w:pStyle w:val="41"/>
                    <w:numPr>
                      <w:ilvl w:val="0"/>
                      <w:numId w:val="13"/>
                    </w:numPr>
                    <w:bidi w:val="0"/>
                    <w:ind w:left="454" w:leftChars="0" w:hanging="454" w:firstLineChars="0"/>
                    <w:jc w:val="center"/>
                    <w:rPr>
                      <w:rFonts w:hint="eastAsia"/>
                    </w:rPr>
                  </w:pPr>
                </w:p>
              </w:tc>
              <w:tc>
                <w:tcPr>
                  <w:tcW w:w="864" w:type="pct"/>
                  <w:vAlign w:val="center"/>
                </w:tcPr>
                <w:p w14:paraId="462E7E3D">
                  <w:pPr>
                    <w:pStyle w:val="41"/>
                    <w:bidi w:val="0"/>
                    <w:rPr>
                      <w:rFonts w:hint="eastAsia"/>
                      <w:lang w:val="en-US" w:eastAsia="zh-CN"/>
                    </w:rPr>
                  </w:pPr>
                  <w:r>
                    <w:rPr>
                      <w:rFonts w:hint="eastAsia"/>
                    </w:rPr>
                    <w:t>EP管</w:t>
                  </w:r>
                </w:p>
              </w:tc>
              <w:tc>
                <w:tcPr>
                  <w:tcW w:w="669" w:type="pct"/>
                  <w:vAlign w:val="center"/>
                </w:tcPr>
                <w:p w14:paraId="703E9945">
                  <w:pPr>
                    <w:pStyle w:val="41"/>
                    <w:bidi w:val="0"/>
                    <w:rPr>
                      <w:rFonts w:hint="eastAsia"/>
                      <w:lang w:val="en-US" w:eastAsia="zh-CN"/>
                    </w:rPr>
                  </w:pPr>
                  <w:r>
                    <w:rPr>
                      <w:rFonts w:hint="eastAsia"/>
                      <w:lang w:val="en-US" w:eastAsia="zh-CN"/>
                    </w:rPr>
                    <w:t>/</w:t>
                  </w:r>
                </w:p>
              </w:tc>
              <w:tc>
                <w:tcPr>
                  <w:tcW w:w="687" w:type="pct"/>
                  <w:vAlign w:val="center"/>
                </w:tcPr>
                <w:p w14:paraId="61B6BEFE">
                  <w:pPr>
                    <w:pStyle w:val="41"/>
                    <w:bidi w:val="0"/>
                    <w:rPr>
                      <w:rFonts w:hint="eastAsia"/>
                      <w:lang w:val="en-US" w:eastAsia="zh-CN"/>
                    </w:rPr>
                  </w:pPr>
                  <w:r>
                    <w:rPr>
                      <w:rFonts w:hint="eastAsia"/>
                    </w:rPr>
                    <w:t>10包/箱</w:t>
                  </w:r>
                </w:p>
              </w:tc>
              <w:tc>
                <w:tcPr>
                  <w:tcW w:w="771" w:type="pct"/>
                  <w:vAlign w:val="center"/>
                </w:tcPr>
                <w:p w14:paraId="13194F01">
                  <w:pPr>
                    <w:pStyle w:val="41"/>
                    <w:bidi w:val="0"/>
                    <w:rPr>
                      <w:rFonts w:hint="eastAsia"/>
                      <w:lang w:val="en-US" w:eastAsia="zh-CN"/>
                    </w:rPr>
                  </w:pPr>
                  <w:r>
                    <w:rPr>
                      <w:rFonts w:hint="eastAsia"/>
                    </w:rPr>
                    <w:t>100箱</w:t>
                  </w:r>
                </w:p>
              </w:tc>
              <w:tc>
                <w:tcPr>
                  <w:tcW w:w="740" w:type="pct"/>
                  <w:vAlign w:val="center"/>
                </w:tcPr>
                <w:p w14:paraId="66A2DE86">
                  <w:pPr>
                    <w:pStyle w:val="41"/>
                    <w:bidi w:val="0"/>
                    <w:rPr>
                      <w:rFonts w:hint="eastAsia"/>
                      <w:lang w:val="en-US" w:eastAsia="zh-CN"/>
                    </w:rPr>
                  </w:pPr>
                  <w:r>
                    <w:rPr>
                      <w:rFonts w:hint="eastAsia"/>
                    </w:rPr>
                    <w:t>10箱</w:t>
                  </w:r>
                </w:p>
              </w:tc>
              <w:tc>
                <w:tcPr>
                  <w:tcW w:w="521" w:type="pct"/>
                  <w:vAlign w:val="center"/>
                </w:tcPr>
                <w:p w14:paraId="0521DCEE">
                  <w:pPr>
                    <w:pStyle w:val="41"/>
                    <w:bidi w:val="0"/>
                    <w:rPr>
                      <w:rFonts w:hint="eastAsia"/>
                      <w:lang w:val="en-US" w:eastAsia="zh-CN"/>
                    </w:rPr>
                  </w:pPr>
                  <w:r>
                    <w:rPr>
                      <w:rFonts w:hint="eastAsia"/>
                    </w:rPr>
                    <w:t>固体</w:t>
                  </w:r>
                </w:p>
              </w:tc>
              <w:tc>
                <w:tcPr>
                  <w:tcW w:w="447" w:type="pct"/>
                  <w:vMerge w:val="continue"/>
                  <w:vAlign w:val="center"/>
                </w:tcPr>
                <w:p w14:paraId="1C6C6EE0">
                  <w:pPr>
                    <w:pStyle w:val="41"/>
                    <w:bidi w:val="0"/>
                    <w:rPr>
                      <w:rFonts w:hint="eastAsia"/>
                      <w:lang w:val="en-US" w:eastAsia="zh-CN"/>
                    </w:rPr>
                  </w:pPr>
                </w:p>
              </w:tc>
            </w:tr>
            <w:tr w14:paraId="23F20B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CD07B7D">
                  <w:pPr>
                    <w:pStyle w:val="41"/>
                    <w:numPr>
                      <w:ilvl w:val="0"/>
                      <w:numId w:val="13"/>
                    </w:numPr>
                    <w:bidi w:val="0"/>
                    <w:ind w:left="454" w:leftChars="0" w:hanging="454" w:firstLineChars="0"/>
                    <w:jc w:val="center"/>
                    <w:rPr>
                      <w:rFonts w:hint="eastAsia"/>
                    </w:rPr>
                  </w:pPr>
                </w:p>
              </w:tc>
              <w:tc>
                <w:tcPr>
                  <w:tcW w:w="864" w:type="pct"/>
                  <w:vAlign w:val="center"/>
                </w:tcPr>
                <w:p w14:paraId="75F2F07B">
                  <w:pPr>
                    <w:pStyle w:val="41"/>
                    <w:bidi w:val="0"/>
                    <w:rPr>
                      <w:rFonts w:hint="eastAsia"/>
                      <w:lang w:val="en-US" w:eastAsia="zh-CN"/>
                    </w:rPr>
                  </w:pPr>
                  <w:r>
                    <w:rPr>
                      <w:rFonts w:hint="eastAsia"/>
                    </w:rPr>
                    <w:t>枪头</w:t>
                  </w:r>
                </w:p>
              </w:tc>
              <w:tc>
                <w:tcPr>
                  <w:tcW w:w="669" w:type="pct"/>
                  <w:vAlign w:val="center"/>
                </w:tcPr>
                <w:p w14:paraId="126DA29C">
                  <w:pPr>
                    <w:pStyle w:val="41"/>
                    <w:bidi w:val="0"/>
                    <w:rPr>
                      <w:rFonts w:hint="eastAsia"/>
                      <w:lang w:val="en-US" w:eastAsia="zh-CN"/>
                    </w:rPr>
                  </w:pPr>
                  <w:r>
                    <w:rPr>
                      <w:rFonts w:hint="eastAsia"/>
                      <w:lang w:val="en-US" w:eastAsia="zh-CN"/>
                    </w:rPr>
                    <w:t>/</w:t>
                  </w:r>
                </w:p>
              </w:tc>
              <w:tc>
                <w:tcPr>
                  <w:tcW w:w="687" w:type="pct"/>
                  <w:vAlign w:val="center"/>
                </w:tcPr>
                <w:p w14:paraId="0DEAEC70">
                  <w:pPr>
                    <w:pStyle w:val="41"/>
                    <w:bidi w:val="0"/>
                    <w:rPr>
                      <w:rFonts w:hint="eastAsia"/>
                      <w:lang w:val="en-US" w:eastAsia="zh-CN"/>
                    </w:rPr>
                  </w:pPr>
                  <w:r>
                    <w:rPr>
                      <w:rFonts w:hint="eastAsia"/>
                    </w:rPr>
                    <w:t>10包/箱</w:t>
                  </w:r>
                </w:p>
              </w:tc>
              <w:tc>
                <w:tcPr>
                  <w:tcW w:w="771" w:type="pct"/>
                  <w:vAlign w:val="center"/>
                </w:tcPr>
                <w:p w14:paraId="0CDDD601">
                  <w:pPr>
                    <w:pStyle w:val="41"/>
                    <w:bidi w:val="0"/>
                    <w:rPr>
                      <w:rFonts w:hint="eastAsia"/>
                      <w:lang w:val="en-US" w:eastAsia="zh-CN"/>
                    </w:rPr>
                  </w:pPr>
                  <w:r>
                    <w:rPr>
                      <w:rFonts w:hint="eastAsia"/>
                    </w:rPr>
                    <w:t>100箱</w:t>
                  </w:r>
                </w:p>
              </w:tc>
              <w:tc>
                <w:tcPr>
                  <w:tcW w:w="740" w:type="pct"/>
                  <w:vAlign w:val="center"/>
                </w:tcPr>
                <w:p w14:paraId="1E4BFA44">
                  <w:pPr>
                    <w:pStyle w:val="41"/>
                    <w:bidi w:val="0"/>
                    <w:rPr>
                      <w:rFonts w:hint="eastAsia"/>
                      <w:lang w:val="en-US" w:eastAsia="zh-CN"/>
                    </w:rPr>
                  </w:pPr>
                  <w:r>
                    <w:rPr>
                      <w:rFonts w:hint="eastAsia"/>
                    </w:rPr>
                    <w:t>10箱</w:t>
                  </w:r>
                </w:p>
              </w:tc>
              <w:tc>
                <w:tcPr>
                  <w:tcW w:w="521" w:type="pct"/>
                  <w:vAlign w:val="center"/>
                </w:tcPr>
                <w:p w14:paraId="2263F4F2">
                  <w:pPr>
                    <w:pStyle w:val="41"/>
                    <w:bidi w:val="0"/>
                    <w:rPr>
                      <w:rFonts w:hint="eastAsia"/>
                      <w:lang w:val="en-US" w:eastAsia="zh-CN"/>
                    </w:rPr>
                  </w:pPr>
                  <w:r>
                    <w:rPr>
                      <w:rFonts w:hint="eastAsia"/>
                    </w:rPr>
                    <w:t>固体</w:t>
                  </w:r>
                </w:p>
              </w:tc>
              <w:tc>
                <w:tcPr>
                  <w:tcW w:w="447" w:type="pct"/>
                  <w:vMerge w:val="continue"/>
                  <w:vAlign w:val="center"/>
                </w:tcPr>
                <w:p w14:paraId="68976D6E">
                  <w:pPr>
                    <w:pStyle w:val="41"/>
                    <w:bidi w:val="0"/>
                    <w:rPr>
                      <w:rFonts w:hint="eastAsia"/>
                      <w:lang w:val="en-US" w:eastAsia="zh-CN"/>
                    </w:rPr>
                  </w:pPr>
                </w:p>
              </w:tc>
            </w:tr>
            <w:tr w14:paraId="2EEB75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375B432F">
                  <w:pPr>
                    <w:pStyle w:val="41"/>
                    <w:numPr>
                      <w:ilvl w:val="0"/>
                      <w:numId w:val="13"/>
                    </w:numPr>
                    <w:bidi w:val="0"/>
                    <w:ind w:left="454" w:leftChars="0" w:hanging="454" w:firstLineChars="0"/>
                    <w:jc w:val="center"/>
                    <w:rPr>
                      <w:rFonts w:hint="eastAsia"/>
                    </w:rPr>
                  </w:pPr>
                </w:p>
              </w:tc>
              <w:tc>
                <w:tcPr>
                  <w:tcW w:w="864" w:type="pct"/>
                  <w:vAlign w:val="center"/>
                </w:tcPr>
                <w:p w14:paraId="63254CE6">
                  <w:pPr>
                    <w:pStyle w:val="41"/>
                    <w:bidi w:val="0"/>
                    <w:rPr>
                      <w:rFonts w:hint="eastAsia"/>
                      <w:lang w:val="en-US" w:eastAsia="zh-CN"/>
                    </w:rPr>
                  </w:pPr>
                  <w:r>
                    <w:rPr>
                      <w:rFonts w:hint="eastAsia"/>
                    </w:rPr>
                    <w:t>培养皿</w:t>
                  </w:r>
                </w:p>
              </w:tc>
              <w:tc>
                <w:tcPr>
                  <w:tcW w:w="669" w:type="pct"/>
                  <w:vAlign w:val="center"/>
                </w:tcPr>
                <w:p w14:paraId="488331B6">
                  <w:pPr>
                    <w:pStyle w:val="41"/>
                    <w:bidi w:val="0"/>
                    <w:rPr>
                      <w:rFonts w:hint="eastAsia"/>
                      <w:lang w:val="en-US" w:eastAsia="zh-CN"/>
                    </w:rPr>
                  </w:pPr>
                  <w:r>
                    <w:rPr>
                      <w:rFonts w:hint="eastAsia"/>
                      <w:lang w:val="en-US" w:eastAsia="zh-CN"/>
                    </w:rPr>
                    <w:t>/</w:t>
                  </w:r>
                </w:p>
              </w:tc>
              <w:tc>
                <w:tcPr>
                  <w:tcW w:w="687" w:type="pct"/>
                  <w:vAlign w:val="center"/>
                </w:tcPr>
                <w:p w14:paraId="6A793890">
                  <w:pPr>
                    <w:pStyle w:val="41"/>
                    <w:bidi w:val="0"/>
                    <w:rPr>
                      <w:rFonts w:hint="eastAsia"/>
                      <w:lang w:val="en-US" w:eastAsia="zh-CN"/>
                    </w:rPr>
                  </w:pPr>
                  <w:r>
                    <w:rPr>
                      <w:rFonts w:hint="eastAsia"/>
                    </w:rPr>
                    <w:t>100包/箱</w:t>
                  </w:r>
                </w:p>
              </w:tc>
              <w:tc>
                <w:tcPr>
                  <w:tcW w:w="771" w:type="pct"/>
                  <w:vAlign w:val="center"/>
                </w:tcPr>
                <w:p w14:paraId="66B15BCC">
                  <w:pPr>
                    <w:pStyle w:val="41"/>
                    <w:bidi w:val="0"/>
                    <w:rPr>
                      <w:rFonts w:hint="eastAsia"/>
                      <w:lang w:val="en-US" w:eastAsia="zh-CN"/>
                    </w:rPr>
                  </w:pPr>
                  <w:r>
                    <w:rPr>
                      <w:rFonts w:hint="eastAsia"/>
                    </w:rPr>
                    <w:t>100箱</w:t>
                  </w:r>
                </w:p>
              </w:tc>
              <w:tc>
                <w:tcPr>
                  <w:tcW w:w="740" w:type="pct"/>
                  <w:vAlign w:val="center"/>
                </w:tcPr>
                <w:p w14:paraId="50BDFA6E">
                  <w:pPr>
                    <w:pStyle w:val="41"/>
                    <w:bidi w:val="0"/>
                    <w:rPr>
                      <w:rFonts w:hint="eastAsia"/>
                      <w:lang w:val="en-US" w:eastAsia="zh-CN"/>
                    </w:rPr>
                  </w:pPr>
                  <w:r>
                    <w:rPr>
                      <w:rFonts w:hint="eastAsia"/>
                    </w:rPr>
                    <w:t>10箱</w:t>
                  </w:r>
                </w:p>
              </w:tc>
              <w:tc>
                <w:tcPr>
                  <w:tcW w:w="521" w:type="pct"/>
                  <w:vAlign w:val="center"/>
                </w:tcPr>
                <w:p w14:paraId="333B55A6">
                  <w:pPr>
                    <w:pStyle w:val="41"/>
                    <w:bidi w:val="0"/>
                    <w:rPr>
                      <w:rFonts w:hint="eastAsia"/>
                      <w:lang w:val="en-US" w:eastAsia="zh-CN"/>
                    </w:rPr>
                  </w:pPr>
                  <w:r>
                    <w:rPr>
                      <w:rFonts w:hint="eastAsia"/>
                    </w:rPr>
                    <w:t>固体</w:t>
                  </w:r>
                </w:p>
              </w:tc>
              <w:tc>
                <w:tcPr>
                  <w:tcW w:w="447" w:type="pct"/>
                  <w:vMerge w:val="continue"/>
                  <w:vAlign w:val="center"/>
                </w:tcPr>
                <w:p w14:paraId="1770B3F8">
                  <w:pPr>
                    <w:pStyle w:val="41"/>
                    <w:bidi w:val="0"/>
                    <w:rPr>
                      <w:rFonts w:hint="eastAsia"/>
                      <w:lang w:val="en-US" w:eastAsia="zh-CN"/>
                    </w:rPr>
                  </w:pPr>
                </w:p>
              </w:tc>
            </w:tr>
            <w:tr w14:paraId="129861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D1511AC">
                  <w:pPr>
                    <w:pStyle w:val="41"/>
                    <w:numPr>
                      <w:ilvl w:val="0"/>
                      <w:numId w:val="13"/>
                    </w:numPr>
                    <w:bidi w:val="0"/>
                    <w:ind w:left="454" w:leftChars="0" w:hanging="454" w:firstLineChars="0"/>
                    <w:jc w:val="center"/>
                    <w:rPr>
                      <w:rFonts w:hint="eastAsia"/>
                    </w:rPr>
                  </w:pPr>
                </w:p>
              </w:tc>
              <w:tc>
                <w:tcPr>
                  <w:tcW w:w="864" w:type="pct"/>
                  <w:vAlign w:val="center"/>
                </w:tcPr>
                <w:p w14:paraId="3636868C">
                  <w:pPr>
                    <w:pStyle w:val="41"/>
                    <w:bidi w:val="0"/>
                    <w:rPr>
                      <w:rFonts w:hint="eastAsia"/>
                      <w:lang w:val="en-US" w:eastAsia="zh-CN"/>
                    </w:rPr>
                  </w:pPr>
                  <w:r>
                    <w:rPr>
                      <w:rFonts w:hint="eastAsia"/>
                    </w:rPr>
                    <w:t>培养板</w:t>
                  </w:r>
                </w:p>
              </w:tc>
              <w:tc>
                <w:tcPr>
                  <w:tcW w:w="669" w:type="pct"/>
                  <w:vAlign w:val="center"/>
                </w:tcPr>
                <w:p w14:paraId="0E39B228">
                  <w:pPr>
                    <w:pStyle w:val="41"/>
                    <w:bidi w:val="0"/>
                    <w:rPr>
                      <w:rFonts w:hint="eastAsia"/>
                      <w:lang w:val="en-US" w:eastAsia="zh-CN"/>
                    </w:rPr>
                  </w:pPr>
                  <w:r>
                    <w:rPr>
                      <w:rFonts w:hint="eastAsia"/>
                      <w:lang w:val="en-US" w:eastAsia="zh-CN"/>
                    </w:rPr>
                    <w:t>/</w:t>
                  </w:r>
                </w:p>
              </w:tc>
              <w:tc>
                <w:tcPr>
                  <w:tcW w:w="687" w:type="pct"/>
                  <w:vAlign w:val="center"/>
                </w:tcPr>
                <w:p w14:paraId="737C1D22">
                  <w:pPr>
                    <w:pStyle w:val="41"/>
                    <w:bidi w:val="0"/>
                    <w:rPr>
                      <w:rFonts w:hint="eastAsia"/>
                      <w:lang w:val="en-US" w:eastAsia="zh-CN"/>
                    </w:rPr>
                  </w:pPr>
                  <w:r>
                    <w:rPr>
                      <w:rFonts w:hint="eastAsia"/>
                    </w:rPr>
                    <w:t>100包/箱</w:t>
                  </w:r>
                </w:p>
              </w:tc>
              <w:tc>
                <w:tcPr>
                  <w:tcW w:w="771" w:type="pct"/>
                  <w:vAlign w:val="center"/>
                </w:tcPr>
                <w:p w14:paraId="3874B185">
                  <w:pPr>
                    <w:pStyle w:val="41"/>
                    <w:bidi w:val="0"/>
                    <w:rPr>
                      <w:rFonts w:hint="eastAsia"/>
                      <w:lang w:val="en-US" w:eastAsia="zh-CN"/>
                    </w:rPr>
                  </w:pPr>
                  <w:r>
                    <w:rPr>
                      <w:rFonts w:hint="eastAsia"/>
                    </w:rPr>
                    <w:t>100箱</w:t>
                  </w:r>
                </w:p>
              </w:tc>
              <w:tc>
                <w:tcPr>
                  <w:tcW w:w="740" w:type="pct"/>
                  <w:vAlign w:val="center"/>
                </w:tcPr>
                <w:p w14:paraId="35ABB24D">
                  <w:pPr>
                    <w:pStyle w:val="41"/>
                    <w:bidi w:val="0"/>
                    <w:rPr>
                      <w:rFonts w:hint="eastAsia"/>
                      <w:lang w:val="en-US" w:eastAsia="zh-CN"/>
                    </w:rPr>
                  </w:pPr>
                  <w:r>
                    <w:rPr>
                      <w:rFonts w:hint="eastAsia"/>
                    </w:rPr>
                    <w:t>10箱</w:t>
                  </w:r>
                </w:p>
              </w:tc>
              <w:tc>
                <w:tcPr>
                  <w:tcW w:w="521" w:type="pct"/>
                  <w:vAlign w:val="center"/>
                </w:tcPr>
                <w:p w14:paraId="59B2B078">
                  <w:pPr>
                    <w:pStyle w:val="41"/>
                    <w:bidi w:val="0"/>
                    <w:rPr>
                      <w:rFonts w:hint="eastAsia"/>
                      <w:lang w:val="en-US" w:eastAsia="zh-CN"/>
                    </w:rPr>
                  </w:pPr>
                  <w:r>
                    <w:rPr>
                      <w:rFonts w:hint="eastAsia"/>
                    </w:rPr>
                    <w:t>固体</w:t>
                  </w:r>
                </w:p>
              </w:tc>
              <w:tc>
                <w:tcPr>
                  <w:tcW w:w="447" w:type="pct"/>
                  <w:vMerge w:val="continue"/>
                  <w:vAlign w:val="center"/>
                </w:tcPr>
                <w:p w14:paraId="4F07CDA2">
                  <w:pPr>
                    <w:pStyle w:val="41"/>
                    <w:bidi w:val="0"/>
                    <w:rPr>
                      <w:rFonts w:hint="eastAsia"/>
                      <w:lang w:val="en-US" w:eastAsia="zh-CN"/>
                    </w:rPr>
                  </w:pPr>
                </w:p>
              </w:tc>
            </w:tr>
            <w:tr w14:paraId="6F2437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B7919EF">
                  <w:pPr>
                    <w:pStyle w:val="41"/>
                    <w:numPr>
                      <w:ilvl w:val="0"/>
                      <w:numId w:val="13"/>
                    </w:numPr>
                    <w:bidi w:val="0"/>
                    <w:ind w:left="454" w:leftChars="0" w:hanging="454" w:firstLineChars="0"/>
                    <w:jc w:val="center"/>
                    <w:rPr>
                      <w:rFonts w:hint="eastAsia"/>
                    </w:rPr>
                  </w:pPr>
                </w:p>
              </w:tc>
              <w:tc>
                <w:tcPr>
                  <w:tcW w:w="864" w:type="pct"/>
                  <w:vAlign w:val="center"/>
                </w:tcPr>
                <w:p w14:paraId="38584FD2">
                  <w:pPr>
                    <w:pStyle w:val="41"/>
                    <w:bidi w:val="0"/>
                    <w:rPr>
                      <w:rFonts w:hint="eastAsia"/>
                      <w:lang w:val="en-US" w:eastAsia="zh-CN"/>
                    </w:rPr>
                  </w:pPr>
                  <w:r>
                    <w:rPr>
                      <w:rFonts w:hint="eastAsia"/>
                    </w:rPr>
                    <w:t>药物</w:t>
                  </w:r>
                </w:p>
              </w:tc>
              <w:tc>
                <w:tcPr>
                  <w:tcW w:w="669" w:type="pct"/>
                  <w:vAlign w:val="center"/>
                </w:tcPr>
                <w:p w14:paraId="51CF806E">
                  <w:pPr>
                    <w:pStyle w:val="41"/>
                    <w:bidi w:val="0"/>
                    <w:rPr>
                      <w:rFonts w:hint="eastAsia"/>
                      <w:lang w:val="en-US" w:eastAsia="zh-CN"/>
                    </w:rPr>
                  </w:pPr>
                  <w:r>
                    <w:rPr>
                      <w:rFonts w:hint="eastAsia"/>
                      <w:lang w:val="en-US" w:eastAsia="zh-CN"/>
                    </w:rPr>
                    <w:t>/</w:t>
                  </w:r>
                </w:p>
              </w:tc>
              <w:tc>
                <w:tcPr>
                  <w:tcW w:w="687" w:type="pct"/>
                  <w:vAlign w:val="center"/>
                </w:tcPr>
                <w:p w14:paraId="20FD4720">
                  <w:pPr>
                    <w:pStyle w:val="41"/>
                    <w:bidi w:val="0"/>
                    <w:rPr>
                      <w:rFonts w:hint="default"/>
                      <w:lang w:val="en-US" w:eastAsia="zh-CN"/>
                    </w:rPr>
                  </w:pPr>
                  <w:r>
                    <w:rPr>
                      <w:rFonts w:hint="eastAsia"/>
                      <w:lang w:val="en-US" w:eastAsia="zh-CN"/>
                    </w:rPr>
                    <w:t>/</w:t>
                  </w:r>
                </w:p>
              </w:tc>
              <w:tc>
                <w:tcPr>
                  <w:tcW w:w="771" w:type="pct"/>
                  <w:vAlign w:val="center"/>
                </w:tcPr>
                <w:p w14:paraId="0EFFA3D1">
                  <w:pPr>
                    <w:pStyle w:val="41"/>
                    <w:bidi w:val="0"/>
                    <w:rPr>
                      <w:rFonts w:hint="eastAsia"/>
                      <w:lang w:val="en-US" w:eastAsia="zh-CN"/>
                    </w:rPr>
                  </w:pPr>
                  <w:r>
                    <w:rPr>
                      <w:rFonts w:hint="eastAsia"/>
                      <w:lang w:val="en-US" w:eastAsia="zh-CN"/>
                    </w:rPr>
                    <w:t>0.1</w:t>
                  </w:r>
                  <w:r>
                    <w:rPr>
                      <w:rFonts w:hint="eastAsia"/>
                    </w:rPr>
                    <w:t>kg</w:t>
                  </w:r>
                </w:p>
              </w:tc>
              <w:tc>
                <w:tcPr>
                  <w:tcW w:w="740" w:type="pct"/>
                  <w:vAlign w:val="center"/>
                </w:tcPr>
                <w:p w14:paraId="13D268A4">
                  <w:pPr>
                    <w:pStyle w:val="41"/>
                    <w:bidi w:val="0"/>
                    <w:rPr>
                      <w:rFonts w:hint="eastAsia"/>
                      <w:lang w:val="en-US" w:eastAsia="zh-CN"/>
                    </w:rPr>
                  </w:pPr>
                  <w:r>
                    <w:rPr>
                      <w:rFonts w:hint="eastAsia"/>
                      <w:lang w:val="en-US" w:eastAsia="zh-CN"/>
                    </w:rPr>
                    <w:t>0.0</w:t>
                  </w:r>
                  <w:r>
                    <w:rPr>
                      <w:rFonts w:hint="eastAsia"/>
                    </w:rPr>
                    <w:t>2kg</w:t>
                  </w:r>
                </w:p>
              </w:tc>
              <w:tc>
                <w:tcPr>
                  <w:tcW w:w="521" w:type="pct"/>
                  <w:vAlign w:val="center"/>
                </w:tcPr>
                <w:p w14:paraId="77CCBC37">
                  <w:pPr>
                    <w:pStyle w:val="41"/>
                    <w:bidi w:val="0"/>
                    <w:rPr>
                      <w:rFonts w:hint="eastAsia"/>
                      <w:lang w:val="en-US" w:eastAsia="zh-CN"/>
                    </w:rPr>
                  </w:pPr>
                  <w:r>
                    <w:rPr>
                      <w:rFonts w:hint="eastAsia"/>
                    </w:rPr>
                    <w:t>固体/液体</w:t>
                  </w:r>
                </w:p>
              </w:tc>
              <w:tc>
                <w:tcPr>
                  <w:tcW w:w="447" w:type="pct"/>
                  <w:vMerge w:val="continue"/>
                  <w:vAlign w:val="center"/>
                </w:tcPr>
                <w:p w14:paraId="3D25BC32">
                  <w:pPr>
                    <w:pStyle w:val="41"/>
                    <w:bidi w:val="0"/>
                    <w:rPr>
                      <w:rFonts w:hint="eastAsia"/>
                      <w:lang w:val="en-US" w:eastAsia="zh-CN"/>
                    </w:rPr>
                  </w:pPr>
                </w:p>
              </w:tc>
            </w:tr>
            <w:tr w14:paraId="2B26A6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96" w:type="pct"/>
                  <w:vAlign w:val="center"/>
                </w:tcPr>
                <w:p w14:paraId="24EE8908">
                  <w:pPr>
                    <w:pStyle w:val="41"/>
                    <w:numPr>
                      <w:ilvl w:val="0"/>
                      <w:numId w:val="13"/>
                    </w:numPr>
                    <w:bidi w:val="0"/>
                    <w:ind w:left="454" w:leftChars="0" w:hanging="454" w:firstLineChars="0"/>
                    <w:jc w:val="center"/>
                    <w:rPr>
                      <w:rFonts w:hint="eastAsia"/>
                    </w:rPr>
                  </w:pPr>
                </w:p>
              </w:tc>
              <w:tc>
                <w:tcPr>
                  <w:tcW w:w="864" w:type="pct"/>
                  <w:vAlign w:val="center"/>
                </w:tcPr>
                <w:p w14:paraId="276EA0FB">
                  <w:pPr>
                    <w:pStyle w:val="41"/>
                    <w:bidi w:val="0"/>
                    <w:rPr>
                      <w:rFonts w:hint="eastAsia"/>
                      <w:lang w:val="en-US" w:eastAsia="zh-CN"/>
                    </w:rPr>
                  </w:pPr>
                  <w:r>
                    <w:rPr>
                      <w:rFonts w:hint="eastAsia"/>
                    </w:rPr>
                    <w:t>二氧化碳</w:t>
                  </w:r>
                </w:p>
              </w:tc>
              <w:tc>
                <w:tcPr>
                  <w:tcW w:w="669" w:type="pct"/>
                  <w:vAlign w:val="center"/>
                </w:tcPr>
                <w:p w14:paraId="1665DCD8">
                  <w:pPr>
                    <w:pStyle w:val="41"/>
                    <w:bidi w:val="0"/>
                    <w:rPr>
                      <w:rFonts w:hint="default"/>
                      <w:lang w:val="en-US" w:eastAsia="zh-CN"/>
                    </w:rPr>
                  </w:pPr>
                  <w:r>
                    <w:rPr>
                      <w:rFonts w:hint="eastAsia"/>
                      <w:lang w:val="en-US" w:eastAsia="zh-CN"/>
                    </w:rPr>
                    <w:t>99.99%</w:t>
                  </w:r>
                </w:p>
              </w:tc>
              <w:tc>
                <w:tcPr>
                  <w:tcW w:w="687" w:type="pct"/>
                  <w:vAlign w:val="center"/>
                </w:tcPr>
                <w:p w14:paraId="1F4F27C3">
                  <w:pPr>
                    <w:pStyle w:val="41"/>
                    <w:bidi w:val="0"/>
                    <w:rPr>
                      <w:rFonts w:hint="eastAsia"/>
                      <w:lang w:val="en-US" w:eastAsia="zh-CN"/>
                    </w:rPr>
                  </w:pPr>
                  <w:r>
                    <w:rPr>
                      <w:rFonts w:hint="eastAsia"/>
                    </w:rPr>
                    <w:t>40L/瓶</w:t>
                  </w:r>
                </w:p>
              </w:tc>
              <w:tc>
                <w:tcPr>
                  <w:tcW w:w="771" w:type="pct"/>
                  <w:vAlign w:val="center"/>
                </w:tcPr>
                <w:p w14:paraId="68D4BC26">
                  <w:pPr>
                    <w:pStyle w:val="41"/>
                    <w:bidi w:val="0"/>
                    <w:rPr>
                      <w:rFonts w:hint="default"/>
                      <w:lang w:val="en-US" w:eastAsia="zh-CN"/>
                    </w:rPr>
                  </w:pPr>
                  <w:r>
                    <w:rPr>
                      <w:rFonts w:hint="eastAsia"/>
                      <w:lang w:eastAsia="zh-CN"/>
                    </w:rPr>
                    <w:t>2</w:t>
                  </w:r>
                  <w:r>
                    <w:rPr>
                      <w:rFonts w:hint="eastAsia"/>
                      <w:lang w:val="en-US" w:eastAsia="zh-CN"/>
                    </w:rPr>
                    <w:t>30瓶</w:t>
                  </w:r>
                </w:p>
              </w:tc>
              <w:tc>
                <w:tcPr>
                  <w:tcW w:w="740" w:type="pct"/>
                  <w:vAlign w:val="center"/>
                </w:tcPr>
                <w:p w14:paraId="31C60BE8">
                  <w:pPr>
                    <w:pStyle w:val="41"/>
                    <w:bidi w:val="0"/>
                    <w:rPr>
                      <w:rFonts w:hint="default"/>
                      <w:lang w:val="en-US" w:eastAsia="zh-CN"/>
                    </w:rPr>
                  </w:pPr>
                  <w:r>
                    <w:rPr>
                      <w:rFonts w:hint="eastAsia"/>
                      <w:lang w:eastAsia="zh-CN"/>
                    </w:rPr>
                    <w:t>8</w:t>
                  </w:r>
                  <w:r>
                    <w:rPr>
                      <w:rFonts w:hint="eastAsia"/>
                      <w:lang w:val="en-US" w:eastAsia="zh-CN"/>
                    </w:rPr>
                    <w:t>瓶</w:t>
                  </w:r>
                </w:p>
              </w:tc>
              <w:tc>
                <w:tcPr>
                  <w:tcW w:w="521" w:type="pct"/>
                  <w:vAlign w:val="center"/>
                </w:tcPr>
                <w:p w14:paraId="73D691E9">
                  <w:pPr>
                    <w:pStyle w:val="41"/>
                    <w:bidi w:val="0"/>
                    <w:rPr>
                      <w:rFonts w:hint="eastAsia"/>
                      <w:lang w:val="en-US" w:eastAsia="zh-CN"/>
                    </w:rPr>
                  </w:pPr>
                  <w:r>
                    <w:rPr>
                      <w:rFonts w:hint="eastAsia"/>
                    </w:rPr>
                    <w:t>气体</w:t>
                  </w:r>
                </w:p>
              </w:tc>
              <w:tc>
                <w:tcPr>
                  <w:tcW w:w="447" w:type="pct"/>
                  <w:vMerge w:val="continue"/>
                  <w:vAlign w:val="center"/>
                </w:tcPr>
                <w:p w14:paraId="5B832551">
                  <w:pPr>
                    <w:pStyle w:val="41"/>
                    <w:bidi w:val="0"/>
                    <w:rPr>
                      <w:rFonts w:hint="eastAsia"/>
                      <w:lang w:val="en-US" w:eastAsia="zh-CN"/>
                    </w:rPr>
                  </w:pPr>
                </w:p>
              </w:tc>
            </w:tr>
            <w:tr w14:paraId="4DADF6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EE1B729">
                  <w:pPr>
                    <w:pStyle w:val="41"/>
                    <w:numPr>
                      <w:ilvl w:val="0"/>
                      <w:numId w:val="13"/>
                    </w:numPr>
                    <w:bidi w:val="0"/>
                    <w:ind w:left="454" w:leftChars="0" w:hanging="454" w:firstLineChars="0"/>
                    <w:jc w:val="center"/>
                    <w:rPr>
                      <w:rFonts w:hint="eastAsia"/>
                    </w:rPr>
                  </w:pPr>
                </w:p>
              </w:tc>
              <w:tc>
                <w:tcPr>
                  <w:tcW w:w="864" w:type="pct"/>
                  <w:vAlign w:val="center"/>
                </w:tcPr>
                <w:p w14:paraId="2D3390E4">
                  <w:pPr>
                    <w:pStyle w:val="41"/>
                    <w:bidi w:val="0"/>
                    <w:rPr>
                      <w:rFonts w:hint="eastAsia"/>
                      <w:lang w:val="en-US" w:eastAsia="zh-CN"/>
                    </w:rPr>
                  </w:pPr>
                  <w:r>
                    <w:rPr>
                      <w:rFonts w:hint="eastAsia"/>
                    </w:rPr>
                    <w:t>氮气</w:t>
                  </w:r>
                </w:p>
              </w:tc>
              <w:tc>
                <w:tcPr>
                  <w:tcW w:w="669" w:type="pct"/>
                  <w:vAlign w:val="center"/>
                </w:tcPr>
                <w:p w14:paraId="57753C64">
                  <w:pPr>
                    <w:pStyle w:val="41"/>
                    <w:bidi w:val="0"/>
                    <w:rPr>
                      <w:rFonts w:hint="default"/>
                      <w:lang w:val="en-US" w:eastAsia="zh-CN"/>
                    </w:rPr>
                  </w:pPr>
                  <w:r>
                    <w:rPr>
                      <w:rFonts w:hint="eastAsia"/>
                      <w:lang w:val="en-US" w:eastAsia="zh-CN"/>
                    </w:rPr>
                    <w:t>99.5%</w:t>
                  </w:r>
                </w:p>
              </w:tc>
              <w:tc>
                <w:tcPr>
                  <w:tcW w:w="687" w:type="pct"/>
                  <w:vAlign w:val="center"/>
                </w:tcPr>
                <w:p w14:paraId="304593C8">
                  <w:pPr>
                    <w:pStyle w:val="41"/>
                    <w:bidi w:val="0"/>
                    <w:rPr>
                      <w:rFonts w:hint="eastAsia"/>
                      <w:lang w:val="en-US" w:eastAsia="zh-CN"/>
                    </w:rPr>
                  </w:pPr>
                  <w:r>
                    <w:t>40</w:t>
                  </w:r>
                  <w:r>
                    <w:rPr>
                      <w:rFonts w:hint="eastAsia"/>
                    </w:rPr>
                    <w:t>L/瓶</w:t>
                  </w:r>
                </w:p>
              </w:tc>
              <w:tc>
                <w:tcPr>
                  <w:tcW w:w="771" w:type="pct"/>
                  <w:vAlign w:val="center"/>
                </w:tcPr>
                <w:p w14:paraId="6C79ADA9">
                  <w:pPr>
                    <w:pStyle w:val="41"/>
                    <w:bidi w:val="0"/>
                    <w:rPr>
                      <w:rFonts w:hint="eastAsia"/>
                      <w:lang w:val="en-US" w:eastAsia="zh-CN"/>
                    </w:rPr>
                  </w:pPr>
                  <w:r>
                    <w:rPr>
                      <w:rFonts w:hint="eastAsia"/>
                    </w:rPr>
                    <w:t>1</w:t>
                  </w:r>
                  <w:r>
                    <w:t>2</w:t>
                  </w:r>
                  <w:r>
                    <w:rPr>
                      <w:rFonts w:hint="eastAsia"/>
                    </w:rPr>
                    <w:t>瓶</w:t>
                  </w:r>
                </w:p>
              </w:tc>
              <w:tc>
                <w:tcPr>
                  <w:tcW w:w="740" w:type="pct"/>
                  <w:vAlign w:val="center"/>
                </w:tcPr>
                <w:p w14:paraId="5BF013B4">
                  <w:pPr>
                    <w:pStyle w:val="41"/>
                    <w:bidi w:val="0"/>
                    <w:rPr>
                      <w:rFonts w:hint="eastAsia"/>
                      <w:lang w:val="en-US" w:eastAsia="zh-CN"/>
                    </w:rPr>
                  </w:pPr>
                  <w:r>
                    <w:rPr>
                      <w:rFonts w:hint="eastAsia"/>
                    </w:rPr>
                    <w:t>6瓶</w:t>
                  </w:r>
                </w:p>
              </w:tc>
              <w:tc>
                <w:tcPr>
                  <w:tcW w:w="521" w:type="pct"/>
                  <w:vAlign w:val="center"/>
                </w:tcPr>
                <w:p w14:paraId="4A322985">
                  <w:pPr>
                    <w:pStyle w:val="41"/>
                    <w:bidi w:val="0"/>
                    <w:rPr>
                      <w:rFonts w:hint="eastAsia"/>
                      <w:lang w:val="en-US" w:eastAsia="zh-CN"/>
                    </w:rPr>
                  </w:pPr>
                  <w:r>
                    <w:rPr>
                      <w:rFonts w:hint="eastAsia"/>
                    </w:rPr>
                    <w:t>气体</w:t>
                  </w:r>
                </w:p>
              </w:tc>
              <w:tc>
                <w:tcPr>
                  <w:tcW w:w="447" w:type="pct"/>
                  <w:vMerge w:val="continue"/>
                  <w:vAlign w:val="center"/>
                </w:tcPr>
                <w:p w14:paraId="6C1B79D9">
                  <w:pPr>
                    <w:pStyle w:val="41"/>
                    <w:bidi w:val="0"/>
                    <w:rPr>
                      <w:rFonts w:hint="eastAsia"/>
                      <w:lang w:val="en-US" w:eastAsia="zh-CN"/>
                    </w:rPr>
                  </w:pPr>
                </w:p>
              </w:tc>
            </w:tr>
            <w:tr w14:paraId="1C45C3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4D09A5E">
                  <w:pPr>
                    <w:pStyle w:val="41"/>
                    <w:numPr>
                      <w:ilvl w:val="0"/>
                      <w:numId w:val="13"/>
                    </w:numPr>
                    <w:bidi w:val="0"/>
                    <w:ind w:left="454" w:leftChars="0" w:hanging="454" w:firstLineChars="0"/>
                    <w:jc w:val="center"/>
                    <w:rPr>
                      <w:rFonts w:hint="eastAsia"/>
                    </w:rPr>
                  </w:pPr>
                </w:p>
              </w:tc>
              <w:tc>
                <w:tcPr>
                  <w:tcW w:w="864" w:type="pct"/>
                  <w:vAlign w:val="center"/>
                </w:tcPr>
                <w:p w14:paraId="01FA731D">
                  <w:pPr>
                    <w:pStyle w:val="41"/>
                    <w:bidi w:val="0"/>
                    <w:rPr>
                      <w:rFonts w:hint="eastAsia"/>
                      <w:lang w:val="en-US" w:eastAsia="zh-CN"/>
                    </w:rPr>
                  </w:pPr>
                  <w:r>
                    <w:rPr>
                      <w:rFonts w:hint="eastAsia"/>
                    </w:rPr>
                    <w:t>高纯氮</w:t>
                  </w:r>
                </w:p>
              </w:tc>
              <w:tc>
                <w:tcPr>
                  <w:tcW w:w="669" w:type="pct"/>
                  <w:vAlign w:val="center"/>
                </w:tcPr>
                <w:p w14:paraId="57BDE2FE">
                  <w:pPr>
                    <w:pStyle w:val="41"/>
                    <w:bidi w:val="0"/>
                    <w:rPr>
                      <w:rFonts w:hint="default"/>
                      <w:lang w:val="en-US" w:eastAsia="zh-CN"/>
                    </w:rPr>
                  </w:pPr>
                  <w:r>
                    <w:rPr>
                      <w:rFonts w:hint="eastAsia"/>
                      <w:lang w:val="en-US" w:eastAsia="zh-CN"/>
                    </w:rPr>
                    <w:t>99.999%</w:t>
                  </w:r>
                </w:p>
              </w:tc>
              <w:tc>
                <w:tcPr>
                  <w:tcW w:w="687" w:type="pct"/>
                  <w:vAlign w:val="center"/>
                </w:tcPr>
                <w:p w14:paraId="52F99F11">
                  <w:pPr>
                    <w:pStyle w:val="41"/>
                    <w:bidi w:val="0"/>
                    <w:rPr>
                      <w:rFonts w:hint="eastAsia"/>
                      <w:lang w:val="en-US" w:eastAsia="zh-CN"/>
                    </w:rPr>
                  </w:pPr>
                  <w:r>
                    <w:t>40</w:t>
                  </w:r>
                  <w:r>
                    <w:rPr>
                      <w:rFonts w:hint="eastAsia"/>
                    </w:rPr>
                    <w:t>L/瓶</w:t>
                  </w:r>
                </w:p>
              </w:tc>
              <w:tc>
                <w:tcPr>
                  <w:tcW w:w="771" w:type="pct"/>
                  <w:vAlign w:val="center"/>
                </w:tcPr>
                <w:p w14:paraId="300B8C69">
                  <w:pPr>
                    <w:pStyle w:val="41"/>
                    <w:bidi w:val="0"/>
                    <w:rPr>
                      <w:rFonts w:hint="eastAsia"/>
                      <w:lang w:val="en-US" w:eastAsia="zh-CN"/>
                    </w:rPr>
                  </w:pPr>
                  <w:r>
                    <w:rPr>
                      <w:rFonts w:hint="eastAsia"/>
                    </w:rPr>
                    <w:t>1</w:t>
                  </w:r>
                  <w:r>
                    <w:t>4</w:t>
                  </w:r>
                  <w:r>
                    <w:rPr>
                      <w:rFonts w:hint="eastAsia"/>
                    </w:rPr>
                    <w:t>瓶</w:t>
                  </w:r>
                </w:p>
              </w:tc>
              <w:tc>
                <w:tcPr>
                  <w:tcW w:w="740" w:type="pct"/>
                  <w:vAlign w:val="center"/>
                </w:tcPr>
                <w:p w14:paraId="3163AF92">
                  <w:pPr>
                    <w:pStyle w:val="41"/>
                    <w:bidi w:val="0"/>
                    <w:rPr>
                      <w:rFonts w:hint="eastAsia"/>
                      <w:lang w:val="en-US" w:eastAsia="zh-CN"/>
                    </w:rPr>
                  </w:pPr>
                  <w:r>
                    <w:rPr>
                      <w:rFonts w:hint="eastAsia"/>
                    </w:rPr>
                    <w:t>4瓶</w:t>
                  </w:r>
                </w:p>
              </w:tc>
              <w:tc>
                <w:tcPr>
                  <w:tcW w:w="521" w:type="pct"/>
                  <w:vAlign w:val="center"/>
                </w:tcPr>
                <w:p w14:paraId="2DB32691">
                  <w:pPr>
                    <w:pStyle w:val="41"/>
                    <w:bidi w:val="0"/>
                    <w:rPr>
                      <w:rFonts w:hint="eastAsia"/>
                      <w:lang w:val="en-US" w:eastAsia="zh-CN"/>
                    </w:rPr>
                  </w:pPr>
                  <w:r>
                    <w:rPr>
                      <w:rFonts w:hint="eastAsia"/>
                    </w:rPr>
                    <w:t>气体</w:t>
                  </w:r>
                </w:p>
              </w:tc>
              <w:tc>
                <w:tcPr>
                  <w:tcW w:w="447" w:type="pct"/>
                  <w:vMerge w:val="continue"/>
                  <w:vAlign w:val="center"/>
                </w:tcPr>
                <w:p w14:paraId="4A21B498">
                  <w:pPr>
                    <w:pStyle w:val="41"/>
                    <w:bidi w:val="0"/>
                    <w:rPr>
                      <w:rFonts w:hint="eastAsia"/>
                      <w:lang w:val="en-US" w:eastAsia="zh-CN"/>
                    </w:rPr>
                  </w:pPr>
                </w:p>
              </w:tc>
            </w:tr>
            <w:tr w14:paraId="1AC6D1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20DBDB2F">
                  <w:pPr>
                    <w:pStyle w:val="41"/>
                    <w:numPr>
                      <w:ilvl w:val="0"/>
                      <w:numId w:val="13"/>
                    </w:numPr>
                    <w:bidi w:val="0"/>
                    <w:ind w:left="454" w:leftChars="0" w:hanging="454" w:firstLineChars="0"/>
                    <w:jc w:val="center"/>
                    <w:rPr>
                      <w:rFonts w:hint="eastAsia"/>
                    </w:rPr>
                  </w:pPr>
                </w:p>
              </w:tc>
              <w:tc>
                <w:tcPr>
                  <w:tcW w:w="864" w:type="pct"/>
                  <w:vAlign w:val="center"/>
                </w:tcPr>
                <w:p w14:paraId="2473527F">
                  <w:pPr>
                    <w:pStyle w:val="41"/>
                    <w:bidi w:val="0"/>
                    <w:rPr>
                      <w:rFonts w:hint="eastAsia"/>
                      <w:lang w:val="en-US" w:eastAsia="zh-CN"/>
                    </w:rPr>
                  </w:pPr>
                  <w:r>
                    <w:rPr>
                      <w:rFonts w:hint="default"/>
                      <w:lang w:val="en-US" w:eastAsia="zh-CN"/>
                    </w:rPr>
                    <w:t>胆木叶</w:t>
                  </w:r>
                </w:p>
              </w:tc>
              <w:tc>
                <w:tcPr>
                  <w:tcW w:w="669" w:type="pct"/>
                  <w:vAlign w:val="center"/>
                </w:tcPr>
                <w:p w14:paraId="700A7070">
                  <w:pPr>
                    <w:pStyle w:val="41"/>
                    <w:bidi w:val="0"/>
                    <w:rPr>
                      <w:rFonts w:hint="default"/>
                      <w:lang w:val="en-US" w:eastAsia="zh-CN"/>
                    </w:rPr>
                  </w:pPr>
                  <w:r>
                    <w:rPr>
                      <w:rFonts w:hint="eastAsia"/>
                      <w:lang w:val="en-US" w:eastAsia="zh-CN"/>
                    </w:rPr>
                    <w:t>/</w:t>
                  </w:r>
                </w:p>
              </w:tc>
              <w:tc>
                <w:tcPr>
                  <w:tcW w:w="687" w:type="pct"/>
                  <w:vAlign w:val="center"/>
                </w:tcPr>
                <w:p w14:paraId="00790719">
                  <w:pPr>
                    <w:pStyle w:val="41"/>
                    <w:bidi w:val="0"/>
                    <w:rPr>
                      <w:rFonts w:hint="default"/>
                      <w:lang w:val="en-US" w:eastAsia="zh-CN"/>
                    </w:rPr>
                  </w:pPr>
                  <w:r>
                    <w:rPr>
                      <w:rFonts w:hint="eastAsia"/>
                      <w:lang w:val="en-US" w:eastAsia="zh-CN"/>
                    </w:rPr>
                    <w:t>500g/瓶</w:t>
                  </w:r>
                </w:p>
              </w:tc>
              <w:tc>
                <w:tcPr>
                  <w:tcW w:w="771" w:type="pct"/>
                  <w:vAlign w:val="center"/>
                </w:tcPr>
                <w:p w14:paraId="4DA20CCD">
                  <w:pPr>
                    <w:pStyle w:val="41"/>
                    <w:bidi w:val="0"/>
                    <w:rPr>
                      <w:rFonts w:hint="eastAsia"/>
                      <w:lang w:val="en-US" w:eastAsia="zh-CN"/>
                    </w:rPr>
                  </w:pPr>
                  <w:r>
                    <w:rPr>
                      <w:rFonts w:hint="default"/>
                      <w:lang w:val="en-US" w:eastAsia="zh-CN"/>
                    </w:rPr>
                    <w:t>2kg</w:t>
                  </w:r>
                </w:p>
              </w:tc>
              <w:tc>
                <w:tcPr>
                  <w:tcW w:w="740" w:type="pct"/>
                  <w:vAlign w:val="center"/>
                </w:tcPr>
                <w:p w14:paraId="39CCB5D7">
                  <w:pPr>
                    <w:pStyle w:val="41"/>
                    <w:bidi w:val="0"/>
                    <w:rPr>
                      <w:rFonts w:hint="eastAsia"/>
                    </w:rPr>
                  </w:pPr>
                  <w:r>
                    <w:rPr>
                      <w:rFonts w:hint="default"/>
                      <w:lang w:val="en-US" w:eastAsia="zh-CN"/>
                    </w:rPr>
                    <w:t>2kg</w:t>
                  </w:r>
                </w:p>
              </w:tc>
              <w:tc>
                <w:tcPr>
                  <w:tcW w:w="521" w:type="pct"/>
                  <w:vAlign w:val="center"/>
                </w:tcPr>
                <w:p w14:paraId="78C6696B">
                  <w:pPr>
                    <w:pStyle w:val="41"/>
                    <w:bidi w:val="0"/>
                    <w:rPr>
                      <w:rFonts w:hint="eastAsia"/>
                      <w:lang w:val="en-US" w:eastAsia="zh-CN"/>
                    </w:rPr>
                  </w:pPr>
                  <w:r>
                    <w:rPr>
                      <w:rFonts w:hint="eastAsia"/>
                      <w:lang w:val="en-US" w:eastAsia="zh-CN"/>
                    </w:rPr>
                    <w:t>固体</w:t>
                  </w:r>
                </w:p>
              </w:tc>
              <w:tc>
                <w:tcPr>
                  <w:tcW w:w="447" w:type="pct"/>
                  <w:vMerge w:val="restart"/>
                  <w:vAlign w:val="center"/>
                </w:tcPr>
                <w:p w14:paraId="4FC45AFB">
                  <w:pPr>
                    <w:pStyle w:val="41"/>
                    <w:bidi w:val="0"/>
                    <w:rPr>
                      <w:rFonts w:hint="default"/>
                      <w:lang w:val="en-US" w:eastAsia="zh-CN"/>
                    </w:rPr>
                  </w:pPr>
                  <w:r>
                    <w:rPr>
                      <w:rFonts w:hint="eastAsia"/>
                      <w:lang w:val="en-US" w:eastAsia="zh-CN"/>
                    </w:rPr>
                    <w:t>5号楼搬迁至1号楼</w:t>
                  </w:r>
                </w:p>
              </w:tc>
            </w:tr>
            <w:tr w14:paraId="03520A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A6B4B84">
                  <w:pPr>
                    <w:pStyle w:val="41"/>
                    <w:numPr>
                      <w:ilvl w:val="0"/>
                      <w:numId w:val="13"/>
                    </w:numPr>
                    <w:bidi w:val="0"/>
                    <w:ind w:left="454" w:leftChars="0" w:hanging="454" w:firstLineChars="0"/>
                    <w:jc w:val="center"/>
                    <w:rPr>
                      <w:rFonts w:hint="eastAsia"/>
                    </w:rPr>
                  </w:pPr>
                </w:p>
              </w:tc>
              <w:tc>
                <w:tcPr>
                  <w:tcW w:w="864" w:type="pct"/>
                  <w:vAlign w:val="center"/>
                </w:tcPr>
                <w:p w14:paraId="37368CDC">
                  <w:pPr>
                    <w:pStyle w:val="41"/>
                    <w:bidi w:val="0"/>
                    <w:rPr>
                      <w:rFonts w:hint="eastAsia"/>
                      <w:lang w:val="en-US" w:eastAsia="zh-CN"/>
                    </w:rPr>
                  </w:pPr>
                  <w:r>
                    <w:rPr>
                      <w:rFonts w:hint="default"/>
                      <w:color w:val="FF0000"/>
                      <w:lang w:val="en-US" w:eastAsia="zh-CN"/>
                    </w:rPr>
                    <w:t>乙醇</w:t>
                  </w:r>
                </w:p>
              </w:tc>
              <w:tc>
                <w:tcPr>
                  <w:tcW w:w="669" w:type="pct"/>
                  <w:vAlign w:val="center"/>
                </w:tcPr>
                <w:p w14:paraId="1C631713">
                  <w:pPr>
                    <w:pStyle w:val="41"/>
                    <w:bidi w:val="0"/>
                    <w:rPr>
                      <w:rFonts w:hint="default"/>
                      <w:lang w:val="en-US" w:eastAsia="zh-CN"/>
                    </w:rPr>
                  </w:pPr>
                  <w:r>
                    <w:rPr>
                      <w:rFonts w:hint="eastAsia"/>
                      <w:lang w:val="en-US" w:eastAsia="zh-CN"/>
                    </w:rPr>
                    <w:t>70%</w:t>
                  </w:r>
                </w:p>
              </w:tc>
              <w:tc>
                <w:tcPr>
                  <w:tcW w:w="687" w:type="pct"/>
                  <w:vAlign w:val="center"/>
                </w:tcPr>
                <w:p w14:paraId="3F60BB0A">
                  <w:pPr>
                    <w:pStyle w:val="41"/>
                    <w:bidi w:val="0"/>
                    <w:rPr>
                      <w:rFonts w:hint="eastAsia"/>
                      <w:lang w:val="en-US" w:eastAsia="zh-CN"/>
                    </w:rPr>
                  </w:pPr>
                  <w:r>
                    <w:t>500</w:t>
                  </w:r>
                  <w:r>
                    <w:rPr>
                      <w:rFonts w:hint="eastAsia"/>
                    </w:rPr>
                    <w:t>mL</w:t>
                  </w:r>
                  <w:r>
                    <w:t>/</w:t>
                  </w:r>
                  <w:r>
                    <w:rPr>
                      <w:rFonts w:hint="eastAsia"/>
                    </w:rPr>
                    <w:t>瓶</w:t>
                  </w:r>
                </w:p>
              </w:tc>
              <w:tc>
                <w:tcPr>
                  <w:tcW w:w="771" w:type="pct"/>
                  <w:vAlign w:val="center"/>
                </w:tcPr>
                <w:p w14:paraId="13551D8A">
                  <w:pPr>
                    <w:pStyle w:val="41"/>
                    <w:bidi w:val="0"/>
                    <w:rPr>
                      <w:rFonts w:hint="default"/>
                      <w:lang w:val="en-US" w:eastAsia="zh-CN"/>
                    </w:rPr>
                  </w:pPr>
                  <w:r>
                    <w:rPr>
                      <w:rFonts w:hint="eastAsia"/>
                      <w:lang w:val="en-US" w:eastAsia="zh-CN"/>
                    </w:rPr>
                    <w:t>100</w:t>
                  </w:r>
                  <w:r>
                    <w:rPr>
                      <w:rFonts w:hint="eastAsia"/>
                    </w:rPr>
                    <w:t>kg</w:t>
                  </w:r>
                </w:p>
              </w:tc>
              <w:tc>
                <w:tcPr>
                  <w:tcW w:w="740" w:type="pct"/>
                  <w:vAlign w:val="center"/>
                </w:tcPr>
                <w:p w14:paraId="3184CE82">
                  <w:pPr>
                    <w:pStyle w:val="41"/>
                    <w:bidi w:val="0"/>
                    <w:rPr>
                      <w:rFonts w:hint="default"/>
                      <w:lang w:val="en-US" w:eastAsia="zh-CN"/>
                    </w:rPr>
                  </w:pPr>
                  <w:r>
                    <w:rPr>
                      <w:rFonts w:hint="eastAsia"/>
                      <w:lang w:val="en-US" w:eastAsia="zh-CN"/>
                    </w:rPr>
                    <w:t>5</w:t>
                  </w:r>
                  <w:r>
                    <w:rPr>
                      <w:rFonts w:hint="eastAsia"/>
                    </w:rPr>
                    <w:t>kg</w:t>
                  </w:r>
                </w:p>
              </w:tc>
              <w:tc>
                <w:tcPr>
                  <w:tcW w:w="521" w:type="pct"/>
                  <w:vAlign w:val="center"/>
                </w:tcPr>
                <w:p w14:paraId="664CEEBC">
                  <w:pPr>
                    <w:pStyle w:val="41"/>
                    <w:bidi w:val="0"/>
                    <w:rPr>
                      <w:rFonts w:hint="eastAsia"/>
                      <w:lang w:val="en-US" w:eastAsia="zh-CN"/>
                    </w:rPr>
                  </w:pPr>
                  <w:r>
                    <w:rPr>
                      <w:rFonts w:hint="eastAsia"/>
                      <w:lang w:val="en-US" w:eastAsia="zh-CN"/>
                    </w:rPr>
                    <w:t>液体</w:t>
                  </w:r>
                </w:p>
              </w:tc>
              <w:tc>
                <w:tcPr>
                  <w:tcW w:w="447" w:type="pct"/>
                  <w:vMerge w:val="continue"/>
                  <w:vAlign w:val="center"/>
                </w:tcPr>
                <w:p w14:paraId="01A083CC">
                  <w:pPr>
                    <w:pStyle w:val="41"/>
                    <w:bidi w:val="0"/>
                    <w:rPr>
                      <w:rFonts w:hint="eastAsia"/>
                      <w:lang w:val="en-US" w:eastAsia="zh-CN"/>
                    </w:rPr>
                  </w:pPr>
                </w:p>
              </w:tc>
            </w:tr>
            <w:tr w14:paraId="5DE357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296" w:type="pct"/>
                  <w:vAlign w:val="center"/>
                </w:tcPr>
                <w:p w14:paraId="2AAE8629">
                  <w:pPr>
                    <w:pStyle w:val="41"/>
                    <w:numPr>
                      <w:ilvl w:val="0"/>
                      <w:numId w:val="13"/>
                    </w:numPr>
                    <w:bidi w:val="0"/>
                    <w:ind w:left="454" w:leftChars="0" w:hanging="454" w:firstLineChars="0"/>
                    <w:jc w:val="center"/>
                    <w:rPr>
                      <w:rFonts w:hint="eastAsia"/>
                    </w:rPr>
                  </w:pPr>
                </w:p>
              </w:tc>
              <w:tc>
                <w:tcPr>
                  <w:tcW w:w="864" w:type="pct"/>
                  <w:vAlign w:val="center"/>
                </w:tcPr>
                <w:p w14:paraId="3CD8B14F">
                  <w:pPr>
                    <w:pStyle w:val="41"/>
                    <w:bidi w:val="0"/>
                    <w:rPr>
                      <w:rFonts w:hint="eastAsia"/>
                      <w:lang w:val="en-US" w:eastAsia="zh-CN"/>
                    </w:rPr>
                  </w:pPr>
                  <w:r>
                    <w:rPr>
                      <w:rFonts w:hint="default"/>
                      <w:lang w:val="en-US" w:eastAsia="zh-CN"/>
                    </w:rPr>
                    <w:t>高碘酸钠</w:t>
                  </w:r>
                </w:p>
              </w:tc>
              <w:tc>
                <w:tcPr>
                  <w:tcW w:w="669" w:type="pct"/>
                  <w:vAlign w:val="center"/>
                </w:tcPr>
                <w:p w14:paraId="685EB2AC">
                  <w:pPr>
                    <w:pStyle w:val="41"/>
                    <w:bidi w:val="0"/>
                    <w:rPr>
                      <w:rFonts w:hint="default"/>
                      <w:lang w:val="en-US" w:eastAsia="zh-CN"/>
                    </w:rPr>
                  </w:pPr>
                  <w:r>
                    <w:rPr>
                      <w:rFonts w:hint="eastAsia"/>
                      <w:lang w:val="en-US" w:eastAsia="zh-CN"/>
                    </w:rPr>
                    <w:t>99.99%</w:t>
                  </w:r>
                </w:p>
              </w:tc>
              <w:tc>
                <w:tcPr>
                  <w:tcW w:w="687" w:type="pct"/>
                  <w:vAlign w:val="center"/>
                </w:tcPr>
                <w:p w14:paraId="23D1DC78">
                  <w:pPr>
                    <w:pStyle w:val="41"/>
                    <w:bidi w:val="0"/>
                    <w:rPr>
                      <w:rFonts w:hint="default"/>
                      <w:lang w:val="en-US" w:eastAsia="zh-CN"/>
                    </w:rPr>
                  </w:pPr>
                  <w:r>
                    <w:rPr>
                      <w:rFonts w:hint="eastAsia"/>
                      <w:lang w:val="en-US" w:eastAsia="zh-CN"/>
                    </w:rPr>
                    <w:t>10g/瓶</w:t>
                  </w:r>
                </w:p>
              </w:tc>
              <w:tc>
                <w:tcPr>
                  <w:tcW w:w="771" w:type="pct"/>
                  <w:vAlign w:val="center"/>
                </w:tcPr>
                <w:p w14:paraId="48FB0A33">
                  <w:pPr>
                    <w:pStyle w:val="41"/>
                    <w:bidi w:val="0"/>
                    <w:rPr>
                      <w:rFonts w:hint="eastAsia"/>
                      <w:lang w:val="en-US" w:eastAsia="zh-CN"/>
                    </w:rPr>
                  </w:pPr>
                  <w:r>
                    <w:rPr>
                      <w:rFonts w:hint="default"/>
                      <w:lang w:val="en-US" w:eastAsia="zh-CN"/>
                    </w:rPr>
                    <w:t>0.01kg</w:t>
                  </w:r>
                </w:p>
              </w:tc>
              <w:tc>
                <w:tcPr>
                  <w:tcW w:w="740" w:type="pct"/>
                  <w:vAlign w:val="center"/>
                </w:tcPr>
                <w:p w14:paraId="4C6C653D">
                  <w:pPr>
                    <w:pStyle w:val="41"/>
                    <w:bidi w:val="0"/>
                    <w:rPr>
                      <w:rFonts w:hint="eastAsia"/>
                    </w:rPr>
                  </w:pPr>
                  <w:r>
                    <w:rPr>
                      <w:rFonts w:hint="default"/>
                      <w:lang w:val="en-US" w:eastAsia="zh-CN"/>
                    </w:rPr>
                    <w:t>0.01kg</w:t>
                  </w:r>
                </w:p>
              </w:tc>
              <w:tc>
                <w:tcPr>
                  <w:tcW w:w="521" w:type="pct"/>
                  <w:vAlign w:val="center"/>
                </w:tcPr>
                <w:p w14:paraId="79A968F6">
                  <w:pPr>
                    <w:pStyle w:val="41"/>
                    <w:bidi w:val="0"/>
                    <w:rPr>
                      <w:rFonts w:hint="eastAsia"/>
                      <w:lang w:val="en-US" w:eastAsia="zh-CN"/>
                    </w:rPr>
                  </w:pPr>
                  <w:r>
                    <w:rPr>
                      <w:rFonts w:hint="eastAsia"/>
                      <w:lang w:val="en-US" w:eastAsia="zh-CN"/>
                    </w:rPr>
                    <w:t>固体</w:t>
                  </w:r>
                </w:p>
              </w:tc>
              <w:tc>
                <w:tcPr>
                  <w:tcW w:w="447" w:type="pct"/>
                  <w:vMerge w:val="continue"/>
                  <w:vAlign w:val="center"/>
                </w:tcPr>
                <w:p w14:paraId="6DF7352C">
                  <w:pPr>
                    <w:pStyle w:val="41"/>
                    <w:bidi w:val="0"/>
                    <w:rPr>
                      <w:rFonts w:hint="eastAsia"/>
                      <w:lang w:val="en-US" w:eastAsia="zh-CN"/>
                    </w:rPr>
                  </w:pPr>
                </w:p>
              </w:tc>
            </w:tr>
            <w:tr w14:paraId="071BE2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2B9EE0B">
                  <w:pPr>
                    <w:pStyle w:val="41"/>
                    <w:numPr>
                      <w:ilvl w:val="0"/>
                      <w:numId w:val="13"/>
                    </w:numPr>
                    <w:bidi w:val="0"/>
                    <w:ind w:left="454" w:leftChars="0" w:hanging="454" w:firstLineChars="0"/>
                    <w:jc w:val="center"/>
                    <w:rPr>
                      <w:rFonts w:hint="eastAsia"/>
                    </w:rPr>
                  </w:pPr>
                </w:p>
              </w:tc>
              <w:tc>
                <w:tcPr>
                  <w:tcW w:w="864" w:type="pct"/>
                  <w:vAlign w:val="center"/>
                </w:tcPr>
                <w:p w14:paraId="59733A63">
                  <w:pPr>
                    <w:pStyle w:val="41"/>
                    <w:bidi w:val="0"/>
                    <w:rPr>
                      <w:rFonts w:hint="eastAsia"/>
                      <w:color w:val="FF0000"/>
                      <w:lang w:val="en-US" w:eastAsia="zh-CN"/>
                    </w:rPr>
                  </w:pPr>
                  <w:r>
                    <w:rPr>
                      <w:rFonts w:hint="default"/>
                      <w:color w:val="FF0000"/>
                      <w:lang w:val="en-US" w:eastAsia="zh-CN"/>
                    </w:rPr>
                    <w:t>乙醇</w:t>
                  </w:r>
                </w:p>
              </w:tc>
              <w:tc>
                <w:tcPr>
                  <w:tcW w:w="669" w:type="pct"/>
                  <w:vAlign w:val="center"/>
                </w:tcPr>
                <w:p w14:paraId="7E44327E">
                  <w:pPr>
                    <w:pStyle w:val="41"/>
                    <w:bidi w:val="0"/>
                    <w:rPr>
                      <w:rFonts w:hint="default"/>
                      <w:lang w:val="en-US" w:eastAsia="zh-CN"/>
                    </w:rPr>
                  </w:pPr>
                  <w:r>
                    <w:rPr>
                      <w:rFonts w:hint="eastAsia"/>
                      <w:lang w:val="en-US" w:eastAsia="zh-CN"/>
                    </w:rPr>
                    <w:t>80%</w:t>
                  </w:r>
                </w:p>
              </w:tc>
              <w:tc>
                <w:tcPr>
                  <w:tcW w:w="687" w:type="pct"/>
                  <w:vAlign w:val="center"/>
                </w:tcPr>
                <w:p w14:paraId="442E499E">
                  <w:pPr>
                    <w:pStyle w:val="41"/>
                    <w:bidi w:val="0"/>
                    <w:rPr>
                      <w:rFonts w:hint="eastAsia"/>
                      <w:lang w:val="en-US" w:eastAsia="zh-CN"/>
                    </w:rPr>
                  </w:pPr>
                  <w:r>
                    <w:t>500</w:t>
                  </w:r>
                  <w:r>
                    <w:rPr>
                      <w:rFonts w:hint="eastAsia"/>
                    </w:rPr>
                    <w:t>mL</w:t>
                  </w:r>
                  <w:r>
                    <w:t>/</w:t>
                  </w:r>
                  <w:r>
                    <w:rPr>
                      <w:rFonts w:hint="eastAsia"/>
                    </w:rPr>
                    <w:t>瓶</w:t>
                  </w:r>
                </w:p>
              </w:tc>
              <w:tc>
                <w:tcPr>
                  <w:tcW w:w="771" w:type="pct"/>
                  <w:vAlign w:val="center"/>
                </w:tcPr>
                <w:p w14:paraId="0483B3B1">
                  <w:pPr>
                    <w:pStyle w:val="41"/>
                    <w:bidi w:val="0"/>
                    <w:rPr>
                      <w:rFonts w:hint="default"/>
                      <w:lang w:val="en-US" w:eastAsia="zh-CN"/>
                    </w:rPr>
                  </w:pPr>
                  <w:r>
                    <w:rPr>
                      <w:rFonts w:hint="eastAsia"/>
                      <w:lang w:val="en-US" w:eastAsia="zh-CN"/>
                    </w:rPr>
                    <w:t>8000</w:t>
                  </w:r>
                  <w:r>
                    <w:rPr>
                      <w:rFonts w:hint="eastAsia"/>
                    </w:rPr>
                    <w:t>kg</w:t>
                  </w:r>
                </w:p>
              </w:tc>
              <w:tc>
                <w:tcPr>
                  <w:tcW w:w="740" w:type="pct"/>
                  <w:vAlign w:val="center"/>
                </w:tcPr>
                <w:p w14:paraId="26DD53C2">
                  <w:pPr>
                    <w:pStyle w:val="41"/>
                    <w:bidi w:val="0"/>
                    <w:rPr>
                      <w:rFonts w:hint="default"/>
                      <w:lang w:val="en-US" w:eastAsia="zh-CN"/>
                    </w:rPr>
                  </w:pPr>
                  <w:r>
                    <w:rPr>
                      <w:rFonts w:hint="eastAsia"/>
                      <w:lang w:val="en-US" w:eastAsia="zh-CN"/>
                    </w:rPr>
                    <w:t>100</w:t>
                  </w:r>
                  <w:r>
                    <w:rPr>
                      <w:rFonts w:hint="eastAsia"/>
                    </w:rPr>
                    <w:t>kg</w:t>
                  </w:r>
                </w:p>
              </w:tc>
              <w:tc>
                <w:tcPr>
                  <w:tcW w:w="521" w:type="pct"/>
                  <w:vAlign w:val="center"/>
                </w:tcPr>
                <w:p w14:paraId="00793667">
                  <w:pPr>
                    <w:pStyle w:val="41"/>
                    <w:bidi w:val="0"/>
                    <w:rPr>
                      <w:rFonts w:hint="eastAsia"/>
                      <w:lang w:val="en-US" w:eastAsia="zh-CN"/>
                    </w:rPr>
                  </w:pPr>
                  <w:r>
                    <w:rPr>
                      <w:rFonts w:hint="eastAsia"/>
                      <w:lang w:val="en-US" w:eastAsia="zh-CN"/>
                    </w:rPr>
                    <w:t>液体</w:t>
                  </w:r>
                </w:p>
              </w:tc>
              <w:tc>
                <w:tcPr>
                  <w:tcW w:w="447" w:type="pct"/>
                  <w:vMerge w:val="continue"/>
                  <w:vAlign w:val="center"/>
                </w:tcPr>
                <w:p w14:paraId="18F65419">
                  <w:pPr>
                    <w:pStyle w:val="41"/>
                    <w:bidi w:val="0"/>
                    <w:rPr>
                      <w:rFonts w:hint="eastAsia"/>
                      <w:lang w:val="en-US" w:eastAsia="zh-CN"/>
                    </w:rPr>
                  </w:pPr>
                </w:p>
              </w:tc>
            </w:tr>
            <w:tr w14:paraId="39D172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1F87B0E">
                  <w:pPr>
                    <w:pStyle w:val="41"/>
                    <w:numPr>
                      <w:ilvl w:val="0"/>
                      <w:numId w:val="13"/>
                    </w:numPr>
                    <w:bidi w:val="0"/>
                    <w:ind w:left="454" w:leftChars="0" w:hanging="454" w:firstLineChars="0"/>
                    <w:jc w:val="center"/>
                    <w:rPr>
                      <w:rFonts w:hint="eastAsia"/>
                    </w:rPr>
                  </w:pPr>
                </w:p>
              </w:tc>
              <w:tc>
                <w:tcPr>
                  <w:tcW w:w="864" w:type="pct"/>
                  <w:vAlign w:val="center"/>
                </w:tcPr>
                <w:p w14:paraId="3E090AEE">
                  <w:pPr>
                    <w:pStyle w:val="41"/>
                    <w:bidi w:val="0"/>
                    <w:rPr>
                      <w:rFonts w:hint="eastAsia"/>
                      <w:color w:val="FF0000"/>
                      <w:lang w:val="en-US" w:eastAsia="zh-CN"/>
                    </w:rPr>
                  </w:pPr>
                  <w:r>
                    <w:rPr>
                      <w:rFonts w:hint="default"/>
                      <w:color w:val="FF0000"/>
                      <w:lang w:val="en-US" w:eastAsia="zh-CN"/>
                    </w:rPr>
                    <w:t>三乙胺</w:t>
                  </w:r>
                </w:p>
              </w:tc>
              <w:tc>
                <w:tcPr>
                  <w:tcW w:w="669" w:type="pct"/>
                  <w:vAlign w:val="center"/>
                </w:tcPr>
                <w:p w14:paraId="25C99F09">
                  <w:pPr>
                    <w:pStyle w:val="41"/>
                    <w:bidi w:val="0"/>
                    <w:rPr>
                      <w:rFonts w:hint="default"/>
                      <w:lang w:val="en-US" w:eastAsia="zh-CN"/>
                    </w:rPr>
                  </w:pPr>
                  <w:r>
                    <w:rPr>
                      <w:rFonts w:hint="eastAsia"/>
                      <w:lang w:val="en-US" w:eastAsia="zh-CN"/>
                    </w:rPr>
                    <w:t>99%</w:t>
                  </w:r>
                </w:p>
              </w:tc>
              <w:tc>
                <w:tcPr>
                  <w:tcW w:w="687" w:type="pct"/>
                  <w:vAlign w:val="center"/>
                </w:tcPr>
                <w:p w14:paraId="3E4BBBAF">
                  <w:pPr>
                    <w:pStyle w:val="41"/>
                    <w:bidi w:val="0"/>
                    <w:rPr>
                      <w:rFonts w:hint="default"/>
                      <w:lang w:val="en-US" w:eastAsia="zh-CN"/>
                    </w:rPr>
                  </w:pPr>
                  <w:r>
                    <w:rPr>
                      <w:rFonts w:hint="eastAsia"/>
                      <w:lang w:val="en-US" w:eastAsia="zh-CN"/>
                    </w:rPr>
                    <w:t>100ml/瓶</w:t>
                  </w:r>
                </w:p>
              </w:tc>
              <w:tc>
                <w:tcPr>
                  <w:tcW w:w="771" w:type="pct"/>
                  <w:vAlign w:val="center"/>
                </w:tcPr>
                <w:p w14:paraId="64634BD1">
                  <w:pPr>
                    <w:pStyle w:val="41"/>
                    <w:bidi w:val="0"/>
                    <w:rPr>
                      <w:rFonts w:hint="default"/>
                      <w:lang w:val="en-US" w:eastAsia="zh-CN"/>
                    </w:rPr>
                  </w:pPr>
                  <w:r>
                    <w:rPr>
                      <w:rFonts w:hint="default"/>
                      <w:lang w:val="en-US" w:eastAsia="zh-CN"/>
                    </w:rPr>
                    <w:t>0.001</w:t>
                  </w:r>
                  <w:r>
                    <w:rPr>
                      <w:rFonts w:hint="eastAsia"/>
                      <w:lang w:val="en-US" w:eastAsia="zh-CN"/>
                    </w:rPr>
                    <w:t>kg</w:t>
                  </w:r>
                </w:p>
              </w:tc>
              <w:tc>
                <w:tcPr>
                  <w:tcW w:w="740" w:type="pct"/>
                  <w:vAlign w:val="center"/>
                </w:tcPr>
                <w:p w14:paraId="31A4C616">
                  <w:pPr>
                    <w:pStyle w:val="41"/>
                    <w:bidi w:val="0"/>
                    <w:rPr>
                      <w:rFonts w:hint="default"/>
                      <w:lang w:val="en-US" w:eastAsia="zh-CN"/>
                    </w:rPr>
                  </w:pPr>
                  <w:r>
                    <w:rPr>
                      <w:rFonts w:hint="eastAsia"/>
                      <w:lang w:val="en-US" w:eastAsia="zh-CN"/>
                    </w:rPr>
                    <w:t>0.1kg</w:t>
                  </w:r>
                </w:p>
              </w:tc>
              <w:tc>
                <w:tcPr>
                  <w:tcW w:w="521" w:type="pct"/>
                  <w:vAlign w:val="center"/>
                </w:tcPr>
                <w:p w14:paraId="4C626474">
                  <w:pPr>
                    <w:pStyle w:val="41"/>
                    <w:bidi w:val="0"/>
                    <w:rPr>
                      <w:rFonts w:hint="eastAsia"/>
                      <w:lang w:val="en-US" w:eastAsia="zh-CN"/>
                    </w:rPr>
                  </w:pPr>
                  <w:r>
                    <w:rPr>
                      <w:rFonts w:hint="eastAsia"/>
                      <w:lang w:val="en-US" w:eastAsia="zh-CN"/>
                    </w:rPr>
                    <w:t>液体</w:t>
                  </w:r>
                </w:p>
              </w:tc>
              <w:tc>
                <w:tcPr>
                  <w:tcW w:w="447" w:type="pct"/>
                  <w:vMerge w:val="continue"/>
                  <w:vAlign w:val="center"/>
                </w:tcPr>
                <w:p w14:paraId="1DB493F5">
                  <w:pPr>
                    <w:pStyle w:val="41"/>
                    <w:bidi w:val="0"/>
                    <w:rPr>
                      <w:rFonts w:hint="eastAsia"/>
                      <w:lang w:val="en-US" w:eastAsia="zh-CN"/>
                    </w:rPr>
                  </w:pPr>
                </w:p>
              </w:tc>
            </w:tr>
            <w:tr w14:paraId="2F294A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96" w:type="pct"/>
                  <w:vAlign w:val="center"/>
                </w:tcPr>
                <w:p w14:paraId="05713289">
                  <w:pPr>
                    <w:pStyle w:val="41"/>
                    <w:numPr>
                      <w:ilvl w:val="0"/>
                      <w:numId w:val="13"/>
                    </w:numPr>
                    <w:bidi w:val="0"/>
                    <w:ind w:left="454" w:leftChars="0" w:hanging="454" w:firstLineChars="0"/>
                    <w:jc w:val="center"/>
                    <w:rPr>
                      <w:rFonts w:hint="eastAsia"/>
                    </w:rPr>
                  </w:pPr>
                </w:p>
              </w:tc>
              <w:tc>
                <w:tcPr>
                  <w:tcW w:w="864" w:type="pct"/>
                  <w:vAlign w:val="center"/>
                </w:tcPr>
                <w:p w14:paraId="6A49EE16">
                  <w:pPr>
                    <w:pStyle w:val="41"/>
                    <w:bidi w:val="0"/>
                    <w:rPr>
                      <w:rFonts w:hint="eastAsia"/>
                      <w:lang w:val="en-US" w:eastAsia="zh-CN"/>
                    </w:rPr>
                  </w:pPr>
                  <w:r>
                    <w:rPr>
                      <w:rFonts w:hint="default"/>
                      <w:lang w:val="en-US" w:eastAsia="zh-CN"/>
                    </w:rPr>
                    <w:t>亚硫酸钠</w:t>
                  </w:r>
                </w:p>
              </w:tc>
              <w:tc>
                <w:tcPr>
                  <w:tcW w:w="669" w:type="pct"/>
                  <w:vAlign w:val="center"/>
                </w:tcPr>
                <w:p w14:paraId="2433074D">
                  <w:pPr>
                    <w:pStyle w:val="41"/>
                    <w:bidi w:val="0"/>
                    <w:rPr>
                      <w:rFonts w:hint="default"/>
                      <w:lang w:val="en-US" w:eastAsia="zh-CN"/>
                    </w:rPr>
                  </w:pPr>
                  <w:r>
                    <w:rPr>
                      <w:rFonts w:hint="eastAsia"/>
                      <w:lang w:val="en-US" w:eastAsia="zh-CN"/>
                    </w:rPr>
                    <w:t>99.99%</w:t>
                  </w:r>
                </w:p>
              </w:tc>
              <w:tc>
                <w:tcPr>
                  <w:tcW w:w="687" w:type="pct"/>
                  <w:vAlign w:val="center"/>
                </w:tcPr>
                <w:p w14:paraId="2D2F4DF8">
                  <w:pPr>
                    <w:pStyle w:val="41"/>
                    <w:bidi w:val="0"/>
                    <w:rPr>
                      <w:rFonts w:hint="default"/>
                      <w:lang w:val="en-US" w:eastAsia="zh-CN"/>
                    </w:rPr>
                  </w:pPr>
                  <w:r>
                    <w:rPr>
                      <w:rFonts w:hint="eastAsia"/>
                      <w:lang w:val="en-US" w:eastAsia="zh-CN"/>
                    </w:rPr>
                    <w:t>100g/瓶</w:t>
                  </w:r>
                </w:p>
              </w:tc>
              <w:tc>
                <w:tcPr>
                  <w:tcW w:w="771" w:type="pct"/>
                  <w:vAlign w:val="center"/>
                </w:tcPr>
                <w:p w14:paraId="04471472">
                  <w:pPr>
                    <w:pStyle w:val="41"/>
                    <w:bidi w:val="0"/>
                    <w:rPr>
                      <w:rFonts w:hint="eastAsia"/>
                      <w:lang w:val="en-US" w:eastAsia="zh-CN"/>
                    </w:rPr>
                  </w:pPr>
                  <w:r>
                    <w:rPr>
                      <w:rFonts w:hint="default"/>
                      <w:lang w:val="en-US" w:eastAsia="zh-CN"/>
                    </w:rPr>
                    <w:t>0.005kg</w:t>
                  </w:r>
                </w:p>
              </w:tc>
              <w:tc>
                <w:tcPr>
                  <w:tcW w:w="740" w:type="pct"/>
                  <w:vAlign w:val="center"/>
                </w:tcPr>
                <w:p w14:paraId="23C03C9F">
                  <w:pPr>
                    <w:pStyle w:val="41"/>
                    <w:bidi w:val="0"/>
                    <w:rPr>
                      <w:rFonts w:hint="default"/>
                      <w:lang w:val="en-US" w:eastAsia="zh-CN"/>
                    </w:rPr>
                  </w:pPr>
                  <w:r>
                    <w:rPr>
                      <w:rFonts w:hint="eastAsia"/>
                      <w:lang w:val="en-US" w:eastAsia="zh-CN"/>
                    </w:rPr>
                    <w:t>0.1kg</w:t>
                  </w:r>
                </w:p>
              </w:tc>
              <w:tc>
                <w:tcPr>
                  <w:tcW w:w="521" w:type="pct"/>
                  <w:vAlign w:val="center"/>
                </w:tcPr>
                <w:p w14:paraId="4FDD3EAF">
                  <w:pPr>
                    <w:pStyle w:val="41"/>
                    <w:bidi w:val="0"/>
                    <w:rPr>
                      <w:rFonts w:hint="eastAsia"/>
                      <w:lang w:val="en-US" w:eastAsia="zh-CN"/>
                    </w:rPr>
                  </w:pPr>
                  <w:r>
                    <w:rPr>
                      <w:rFonts w:hint="eastAsia"/>
                      <w:lang w:val="en-US" w:eastAsia="zh-CN"/>
                    </w:rPr>
                    <w:t>固体</w:t>
                  </w:r>
                </w:p>
              </w:tc>
              <w:tc>
                <w:tcPr>
                  <w:tcW w:w="447" w:type="pct"/>
                  <w:vMerge w:val="continue"/>
                  <w:vAlign w:val="center"/>
                </w:tcPr>
                <w:p w14:paraId="1FBBBA5D">
                  <w:pPr>
                    <w:pStyle w:val="41"/>
                    <w:bidi w:val="0"/>
                    <w:rPr>
                      <w:rFonts w:hint="eastAsia"/>
                      <w:lang w:val="en-US" w:eastAsia="zh-CN"/>
                    </w:rPr>
                  </w:pPr>
                </w:p>
              </w:tc>
            </w:tr>
            <w:tr w14:paraId="7BDD091E">
              <w:tblPrEx>
                <w:tblCellMar>
                  <w:top w:w="0" w:type="dxa"/>
                  <w:left w:w="108" w:type="dxa"/>
                  <w:bottom w:w="0" w:type="dxa"/>
                  <w:right w:w="108" w:type="dxa"/>
                </w:tblCellMar>
              </w:tblPrEx>
              <w:trPr>
                <w:trHeight w:val="23" w:hRule="atLeast"/>
                <w:jc w:val="center"/>
              </w:trPr>
              <w:tc>
                <w:tcPr>
                  <w:tcW w:w="296" w:type="pct"/>
                  <w:vAlign w:val="center"/>
                </w:tcPr>
                <w:p w14:paraId="50BBDC4B">
                  <w:pPr>
                    <w:pStyle w:val="41"/>
                    <w:numPr>
                      <w:ilvl w:val="0"/>
                      <w:numId w:val="13"/>
                    </w:numPr>
                    <w:bidi w:val="0"/>
                    <w:ind w:left="454" w:leftChars="0" w:hanging="454" w:firstLineChars="0"/>
                    <w:jc w:val="center"/>
                    <w:rPr>
                      <w:rFonts w:hint="eastAsia"/>
                    </w:rPr>
                  </w:pPr>
                </w:p>
              </w:tc>
              <w:tc>
                <w:tcPr>
                  <w:tcW w:w="864" w:type="pct"/>
                  <w:vAlign w:val="center"/>
                </w:tcPr>
                <w:p w14:paraId="048CFC51">
                  <w:pPr>
                    <w:pStyle w:val="41"/>
                    <w:bidi w:val="0"/>
                    <w:rPr>
                      <w:rFonts w:hint="eastAsia"/>
                      <w:lang w:val="en-US" w:eastAsia="zh-CN"/>
                    </w:rPr>
                  </w:pPr>
                  <w:r>
                    <w:rPr>
                      <w:rFonts w:hint="default"/>
                      <w:color w:val="FF0000"/>
                      <w:highlight w:val="yellow"/>
                      <w:lang w:val="en-US" w:eastAsia="zh-CN"/>
                    </w:rPr>
                    <w:t>乙酸乙酯</w:t>
                  </w:r>
                </w:p>
              </w:tc>
              <w:tc>
                <w:tcPr>
                  <w:tcW w:w="669" w:type="pct"/>
                  <w:shd w:val="clear" w:color="auto" w:fill="auto"/>
                  <w:vAlign w:val="center"/>
                </w:tcPr>
                <w:p w14:paraId="5F801280">
                  <w:pPr>
                    <w:pStyle w:val="41"/>
                    <w:bidi w:val="0"/>
                    <w:rPr>
                      <w:rFonts w:hint="default"/>
                      <w:lang w:val="en-US" w:eastAsia="zh-CN"/>
                    </w:rPr>
                  </w:pPr>
                  <w:r>
                    <w:rPr>
                      <w:rFonts w:hint="eastAsia"/>
                      <w:lang w:val="en-US" w:eastAsia="zh-CN"/>
                    </w:rPr>
                    <w:t>99.5%</w:t>
                  </w:r>
                </w:p>
              </w:tc>
              <w:tc>
                <w:tcPr>
                  <w:tcW w:w="687" w:type="pct"/>
                  <w:vAlign w:val="center"/>
                </w:tcPr>
                <w:p w14:paraId="1DA054B8">
                  <w:pPr>
                    <w:pStyle w:val="41"/>
                    <w:bidi w:val="0"/>
                    <w:rPr>
                      <w:rFonts w:hint="eastAsia"/>
                      <w:lang w:val="en-US" w:eastAsia="zh-CN"/>
                    </w:rPr>
                  </w:pPr>
                  <w:r>
                    <w:rPr>
                      <w:rFonts w:hint="eastAsia"/>
                      <w:lang w:val="en-US" w:eastAsia="zh-CN"/>
                    </w:rPr>
                    <w:t>100ml/瓶</w:t>
                  </w:r>
                </w:p>
              </w:tc>
              <w:tc>
                <w:tcPr>
                  <w:tcW w:w="771" w:type="pct"/>
                  <w:vAlign w:val="center"/>
                </w:tcPr>
                <w:p w14:paraId="663AA437">
                  <w:pPr>
                    <w:pStyle w:val="41"/>
                    <w:bidi w:val="0"/>
                    <w:rPr>
                      <w:rFonts w:hint="default"/>
                      <w:lang w:val="en-US" w:eastAsia="zh-CN"/>
                    </w:rPr>
                  </w:pPr>
                  <w:r>
                    <w:rPr>
                      <w:rFonts w:hint="default"/>
                      <w:lang w:val="en-US" w:eastAsia="zh-CN"/>
                    </w:rPr>
                    <w:t>0.015</w:t>
                  </w:r>
                  <w:r>
                    <w:rPr>
                      <w:rFonts w:hint="eastAsia"/>
                      <w:lang w:val="en-US" w:eastAsia="zh-CN"/>
                    </w:rPr>
                    <w:t>kg</w:t>
                  </w:r>
                </w:p>
              </w:tc>
              <w:tc>
                <w:tcPr>
                  <w:tcW w:w="740" w:type="pct"/>
                  <w:vAlign w:val="center"/>
                </w:tcPr>
                <w:p w14:paraId="752ADFEC">
                  <w:pPr>
                    <w:pStyle w:val="41"/>
                    <w:bidi w:val="0"/>
                    <w:rPr>
                      <w:rFonts w:hint="default"/>
                      <w:lang w:val="en-US" w:eastAsia="zh-CN"/>
                    </w:rPr>
                  </w:pPr>
                  <w:r>
                    <w:rPr>
                      <w:rFonts w:hint="eastAsia"/>
                      <w:lang w:val="en-US" w:eastAsia="zh-CN"/>
                    </w:rPr>
                    <w:t>0.1kg</w:t>
                  </w:r>
                </w:p>
              </w:tc>
              <w:tc>
                <w:tcPr>
                  <w:tcW w:w="521" w:type="pct"/>
                  <w:vAlign w:val="center"/>
                </w:tcPr>
                <w:p w14:paraId="282A5714">
                  <w:pPr>
                    <w:pStyle w:val="41"/>
                    <w:bidi w:val="0"/>
                    <w:rPr>
                      <w:rFonts w:hint="eastAsia"/>
                      <w:lang w:val="en-US" w:eastAsia="zh-CN"/>
                    </w:rPr>
                  </w:pPr>
                  <w:r>
                    <w:rPr>
                      <w:rFonts w:hint="eastAsia"/>
                      <w:lang w:val="en-US" w:eastAsia="zh-CN"/>
                    </w:rPr>
                    <w:t>液体</w:t>
                  </w:r>
                </w:p>
              </w:tc>
              <w:tc>
                <w:tcPr>
                  <w:tcW w:w="447" w:type="pct"/>
                  <w:vMerge w:val="continue"/>
                  <w:vAlign w:val="center"/>
                </w:tcPr>
                <w:p w14:paraId="31556151">
                  <w:pPr>
                    <w:pStyle w:val="41"/>
                    <w:bidi w:val="0"/>
                    <w:rPr>
                      <w:rFonts w:hint="eastAsia"/>
                      <w:lang w:val="en-US" w:eastAsia="zh-CN"/>
                    </w:rPr>
                  </w:pPr>
                </w:p>
              </w:tc>
            </w:tr>
            <w:tr w14:paraId="4EB362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BCFB457">
                  <w:pPr>
                    <w:pStyle w:val="41"/>
                    <w:numPr>
                      <w:ilvl w:val="0"/>
                      <w:numId w:val="13"/>
                    </w:numPr>
                    <w:bidi w:val="0"/>
                    <w:ind w:left="454" w:leftChars="0" w:hanging="454" w:firstLineChars="0"/>
                    <w:jc w:val="center"/>
                    <w:rPr>
                      <w:rFonts w:hint="eastAsia"/>
                    </w:rPr>
                  </w:pPr>
                </w:p>
              </w:tc>
              <w:tc>
                <w:tcPr>
                  <w:tcW w:w="864" w:type="pct"/>
                  <w:vAlign w:val="center"/>
                </w:tcPr>
                <w:p w14:paraId="5EFB9CE2">
                  <w:pPr>
                    <w:pStyle w:val="41"/>
                    <w:bidi w:val="0"/>
                    <w:rPr>
                      <w:rFonts w:hint="eastAsia"/>
                      <w:color w:val="FF0000"/>
                      <w:lang w:val="en-US" w:eastAsia="zh-CN"/>
                    </w:rPr>
                  </w:pPr>
                  <w:r>
                    <w:rPr>
                      <w:rFonts w:hint="default"/>
                      <w:color w:val="FF0000"/>
                      <w:highlight w:val="yellow"/>
                      <w:lang w:val="en-US" w:eastAsia="zh-CN"/>
                    </w:rPr>
                    <w:t>甲醇</w:t>
                  </w:r>
                </w:p>
              </w:tc>
              <w:tc>
                <w:tcPr>
                  <w:tcW w:w="669" w:type="pct"/>
                  <w:shd w:val="clear" w:color="auto" w:fill="auto"/>
                  <w:vAlign w:val="center"/>
                </w:tcPr>
                <w:p w14:paraId="2D078A34">
                  <w:pPr>
                    <w:pStyle w:val="41"/>
                    <w:bidi w:val="0"/>
                    <w:rPr>
                      <w:rFonts w:hint="default"/>
                      <w:lang w:val="en-US" w:eastAsia="zh-CN"/>
                    </w:rPr>
                  </w:pPr>
                  <w:r>
                    <w:rPr>
                      <w:rFonts w:hint="eastAsia"/>
                      <w:lang w:val="en-US" w:eastAsia="zh-CN"/>
                    </w:rPr>
                    <w:t>99.5%</w:t>
                  </w:r>
                </w:p>
              </w:tc>
              <w:tc>
                <w:tcPr>
                  <w:tcW w:w="687" w:type="pct"/>
                  <w:vAlign w:val="center"/>
                </w:tcPr>
                <w:p w14:paraId="195F06B5">
                  <w:pPr>
                    <w:pStyle w:val="41"/>
                    <w:bidi w:val="0"/>
                    <w:rPr>
                      <w:rFonts w:hint="eastAsia"/>
                      <w:lang w:val="en-US" w:eastAsia="zh-CN"/>
                    </w:rPr>
                  </w:pPr>
                  <w:r>
                    <w:rPr>
                      <w:rFonts w:hint="eastAsia"/>
                      <w:lang w:val="en-US" w:eastAsia="zh-CN"/>
                    </w:rPr>
                    <w:t>100ml/瓶</w:t>
                  </w:r>
                </w:p>
              </w:tc>
              <w:tc>
                <w:tcPr>
                  <w:tcW w:w="771" w:type="pct"/>
                  <w:vAlign w:val="center"/>
                </w:tcPr>
                <w:p w14:paraId="04D8D037">
                  <w:pPr>
                    <w:pStyle w:val="41"/>
                    <w:bidi w:val="0"/>
                    <w:rPr>
                      <w:rFonts w:hint="default"/>
                      <w:lang w:val="en-US" w:eastAsia="zh-CN"/>
                    </w:rPr>
                  </w:pPr>
                  <w:r>
                    <w:rPr>
                      <w:rFonts w:hint="default"/>
                      <w:lang w:val="en-US" w:eastAsia="zh-CN"/>
                    </w:rPr>
                    <w:t>0.003</w:t>
                  </w:r>
                  <w:r>
                    <w:rPr>
                      <w:rFonts w:hint="eastAsia"/>
                      <w:lang w:val="en-US" w:eastAsia="zh-CN"/>
                    </w:rPr>
                    <w:t>kg</w:t>
                  </w:r>
                </w:p>
              </w:tc>
              <w:tc>
                <w:tcPr>
                  <w:tcW w:w="740" w:type="pct"/>
                  <w:vAlign w:val="center"/>
                </w:tcPr>
                <w:p w14:paraId="4356DD6E">
                  <w:pPr>
                    <w:pStyle w:val="41"/>
                    <w:bidi w:val="0"/>
                    <w:rPr>
                      <w:rFonts w:hint="eastAsia"/>
                      <w:lang w:val="en-US" w:eastAsia="zh-CN"/>
                    </w:rPr>
                  </w:pPr>
                  <w:r>
                    <w:rPr>
                      <w:rFonts w:hint="eastAsia"/>
                      <w:lang w:val="en-US" w:eastAsia="zh-CN"/>
                    </w:rPr>
                    <w:t>0.1kg</w:t>
                  </w:r>
                </w:p>
              </w:tc>
              <w:tc>
                <w:tcPr>
                  <w:tcW w:w="521" w:type="pct"/>
                  <w:vAlign w:val="center"/>
                </w:tcPr>
                <w:p w14:paraId="53AC9BA4">
                  <w:pPr>
                    <w:pStyle w:val="41"/>
                    <w:bidi w:val="0"/>
                    <w:rPr>
                      <w:rFonts w:hint="eastAsia"/>
                      <w:lang w:val="en-US" w:eastAsia="zh-CN"/>
                    </w:rPr>
                  </w:pPr>
                  <w:r>
                    <w:rPr>
                      <w:rFonts w:hint="eastAsia"/>
                      <w:lang w:val="en-US" w:eastAsia="zh-CN"/>
                    </w:rPr>
                    <w:t>液体</w:t>
                  </w:r>
                </w:p>
              </w:tc>
              <w:tc>
                <w:tcPr>
                  <w:tcW w:w="447" w:type="pct"/>
                  <w:vMerge w:val="continue"/>
                  <w:vAlign w:val="center"/>
                </w:tcPr>
                <w:p w14:paraId="6B79CE93">
                  <w:pPr>
                    <w:pStyle w:val="41"/>
                    <w:bidi w:val="0"/>
                    <w:rPr>
                      <w:rFonts w:hint="eastAsia"/>
                      <w:lang w:val="en-US" w:eastAsia="zh-CN"/>
                    </w:rPr>
                  </w:pPr>
                </w:p>
              </w:tc>
            </w:tr>
            <w:tr w14:paraId="1548C0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7B1A746">
                  <w:pPr>
                    <w:pStyle w:val="41"/>
                    <w:numPr>
                      <w:ilvl w:val="0"/>
                      <w:numId w:val="13"/>
                    </w:numPr>
                    <w:bidi w:val="0"/>
                    <w:ind w:left="454" w:leftChars="0" w:hanging="454" w:firstLineChars="0"/>
                    <w:jc w:val="center"/>
                    <w:rPr>
                      <w:rFonts w:hint="eastAsia"/>
                    </w:rPr>
                  </w:pPr>
                </w:p>
              </w:tc>
              <w:tc>
                <w:tcPr>
                  <w:tcW w:w="864" w:type="pct"/>
                  <w:vAlign w:val="center"/>
                </w:tcPr>
                <w:p w14:paraId="4B602C83">
                  <w:pPr>
                    <w:pStyle w:val="41"/>
                    <w:bidi w:val="0"/>
                    <w:rPr>
                      <w:rFonts w:hint="eastAsia"/>
                      <w:color w:val="FF0000"/>
                      <w:lang w:val="en-US" w:eastAsia="zh-CN"/>
                    </w:rPr>
                  </w:pPr>
                  <w:r>
                    <w:rPr>
                      <w:rFonts w:hint="default"/>
                      <w:color w:val="FF0000"/>
                      <w:lang w:val="en-US" w:eastAsia="zh-CN"/>
                    </w:rPr>
                    <w:t>二氯甲烷</w:t>
                  </w:r>
                </w:p>
              </w:tc>
              <w:tc>
                <w:tcPr>
                  <w:tcW w:w="669" w:type="pct"/>
                  <w:shd w:val="clear" w:color="auto" w:fill="auto"/>
                  <w:vAlign w:val="center"/>
                </w:tcPr>
                <w:p w14:paraId="43EEB38A">
                  <w:pPr>
                    <w:pStyle w:val="41"/>
                    <w:bidi w:val="0"/>
                    <w:rPr>
                      <w:rFonts w:hint="default"/>
                      <w:lang w:val="en-US" w:eastAsia="zh-CN"/>
                    </w:rPr>
                  </w:pPr>
                  <w:r>
                    <w:rPr>
                      <w:rFonts w:hint="eastAsia"/>
                      <w:lang w:val="en-US" w:eastAsia="zh-CN"/>
                    </w:rPr>
                    <w:t>99.5%</w:t>
                  </w:r>
                </w:p>
              </w:tc>
              <w:tc>
                <w:tcPr>
                  <w:tcW w:w="687" w:type="pct"/>
                  <w:vAlign w:val="center"/>
                </w:tcPr>
                <w:p w14:paraId="60045B5F">
                  <w:pPr>
                    <w:pStyle w:val="41"/>
                    <w:bidi w:val="0"/>
                    <w:rPr>
                      <w:rFonts w:hint="eastAsia"/>
                      <w:lang w:val="en-US" w:eastAsia="zh-CN"/>
                    </w:rPr>
                  </w:pPr>
                  <w:r>
                    <w:rPr>
                      <w:rFonts w:hint="eastAsia"/>
                      <w:lang w:val="en-US" w:eastAsia="zh-CN"/>
                    </w:rPr>
                    <w:t>100ml/瓶</w:t>
                  </w:r>
                </w:p>
              </w:tc>
              <w:tc>
                <w:tcPr>
                  <w:tcW w:w="771" w:type="pct"/>
                  <w:vAlign w:val="center"/>
                </w:tcPr>
                <w:p w14:paraId="7E2C21B6">
                  <w:pPr>
                    <w:pStyle w:val="41"/>
                    <w:bidi w:val="0"/>
                    <w:rPr>
                      <w:rFonts w:hint="default"/>
                      <w:lang w:val="en-US" w:eastAsia="zh-CN"/>
                    </w:rPr>
                  </w:pPr>
                  <w:r>
                    <w:rPr>
                      <w:rFonts w:hint="default"/>
                      <w:lang w:val="en-US" w:eastAsia="zh-CN"/>
                    </w:rPr>
                    <w:t>0.027</w:t>
                  </w:r>
                  <w:r>
                    <w:rPr>
                      <w:rFonts w:hint="eastAsia"/>
                      <w:lang w:val="en-US" w:eastAsia="zh-CN"/>
                    </w:rPr>
                    <w:t>kg</w:t>
                  </w:r>
                </w:p>
              </w:tc>
              <w:tc>
                <w:tcPr>
                  <w:tcW w:w="740" w:type="pct"/>
                  <w:vAlign w:val="center"/>
                </w:tcPr>
                <w:p w14:paraId="624A2FA9">
                  <w:pPr>
                    <w:pStyle w:val="41"/>
                    <w:bidi w:val="0"/>
                    <w:rPr>
                      <w:rFonts w:hint="eastAsia"/>
                      <w:lang w:val="en-US" w:eastAsia="zh-CN"/>
                    </w:rPr>
                  </w:pPr>
                  <w:r>
                    <w:rPr>
                      <w:rFonts w:hint="eastAsia"/>
                      <w:lang w:val="en-US" w:eastAsia="zh-CN"/>
                    </w:rPr>
                    <w:t>0.1kg</w:t>
                  </w:r>
                </w:p>
              </w:tc>
              <w:tc>
                <w:tcPr>
                  <w:tcW w:w="521" w:type="pct"/>
                  <w:vAlign w:val="center"/>
                </w:tcPr>
                <w:p w14:paraId="1AE027DA">
                  <w:pPr>
                    <w:pStyle w:val="41"/>
                    <w:bidi w:val="0"/>
                    <w:rPr>
                      <w:rFonts w:hint="eastAsia"/>
                      <w:lang w:val="en-US" w:eastAsia="zh-CN"/>
                    </w:rPr>
                  </w:pPr>
                  <w:r>
                    <w:rPr>
                      <w:rFonts w:hint="eastAsia"/>
                      <w:lang w:val="en-US" w:eastAsia="zh-CN"/>
                    </w:rPr>
                    <w:t>液体</w:t>
                  </w:r>
                </w:p>
              </w:tc>
              <w:tc>
                <w:tcPr>
                  <w:tcW w:w="447" w:type="pct"/>
                  <w:vMerge w:val="continue"/>
                  <w:vAlign w:val="center"/>
                </w:tcPr>
                <w:p w14:paraId="7345DC17">
                  <w:pPr>
                    <w:pStyle w:val="41"/>
                    <w:bidi w:val="0"/>
                    <w:rPr>
                      <w:rFonts w:hint="eastAsia"/>
                      <w:lang w:val="en-US" w:eastAsia="zh-CN"/>
                    </w:rPr>
                  </w:pPr>
                </w:p>
              </w:tc>
            </w:tr>
            <w:tr w14:paraId="24A29B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2459C70F">
                  <w:pPr>
                    <w:pStyle w:val="41"/>
                    <w:numPr>
                      <w:ilvl w:val="0"/>
                      <w:numId w:val="13"/>
                    </w:numPr>
                    <w:bidi w:val="0"/>
                    <w:ind w:left="454" w:leftChars="0" w:hanging="454" w:firstLineChars="0"/>
                    <w:jc w:val="center"/>
                    <w:rPr>
                      <w:rFonts w:hint="eastAsia"/>
                    </w:rPr>
                  </w:pPr>
                </w:p>
              </w:tc>
              <w:tc>
                <w:tcPr>
                  <w:tcW w:w="864" w:type="pct"/>
                  <w:vAlign w:val="center"/>
                </w:tcPr>
                <w:p w14:paraId="731EFAE2">
                  <w:pPr>
                    <w:pStyle w:val="41"/>
                    <w:bidi w:val="0"/>
                    <w:rPr>
                      <w:rFonts w:hint="eastAsia"/>
                      <w:lang w:val="en-US" w:eastAsia="zh-CN"/>
                    </w:rPr>
                  </w:pPr>
                  <w:r>
                    <w:rPr>
                      <w:rFonts w:hint="default"/>
                      <w:lang w:val="en-US" w:eastAsia="zh-CN"/>
                    </w:rPr>
                    <w:t>中药药材（天花粉、赤芍、大黄、白芷、黄柏）</w:t>
                  </w:r>
                </w:p>
              </w:tc>
              <w:tc>
                <w:tcPr>
                  <w:tcW w:w="669" w:type="pct"/>
                  <w:shd w:val="clear" w:color="auto" w:fill="auto"/>
                  <w:vAlign w:val="center"/>
                </w:tcPr>
                <w:p w14:paraId="3B028BDE">
                  <w:pPr>
                    <w:pStyle w:val="41"/>
                    <w:bidi w:val="0"/>
                    <w:rPr>
                      <w:rFonts w:hint="default"/>
                      <w:lang w:val="en-US" w:eastAsia="zh-CN"/>
                    </w:rPr>
                  </w:pPr>
                  <w:r>
                    <w:rPr>
                      <w:rFonts w:hint="eastAsia"/>
                      <w:lang w:val="en-US" w:eastAsia="zh-CN"/>
                    </w:rPr>
                    <w:t>/</w:t>
                  </w:r>
                </w:p>
              </w:tc>
              <w:tc>
                <w:tcPr>
                  <w:tcW w:w="687" w:type="pct"/>
                  <w:vAlign w:val="center"/>
                </w:tcPr>
                <w:p w14:paraId="3DE7EDD0">
                  <w:pPr>
                    <w:pStyle w:val="41"/>
                    <w:bidi w:val="0"/>
                    <w:rPr>
                      <w:rFonts w:hint="default"/>
                      <w:lang w:val="en-US" w:eastAsia="zh-CN"/>
                    </w:rPr>
                  </w:pPr>
                  <w:r>
                    <w:rPr>
                      <w:rFonts w:hint="eastAsia"/>
                      <w:lang w:val="en-US" w:eastAsia="zh-CN"/>
                    </w:rPr>
                    <w:t>/</w:t>
                  </w:r>
                </w:p>
              </w:tc>
              <w:tc>
                <w:tcPr>
                  <w:tcW w:w="771" w:type="pct"/>
                  <w:vAlign w:val="center"/>
                </w:tcPr>
                <w:p w14:paraId="6741F15D">
                  <w:pPr>
                    <w:pStyle w:val="41"/>
                    <w:bidi w:val="0"/>
                    <w:rPr>
                      <w:rFonts w:hint="eastAsia"/>
                      <w:lang w:val="en-US" w:eastAsia="zh-CN"/>
                    </w:rPr>
                  </w:pPr>
                  <w:r>
                    <w:rPr>
                      <w:rFonts w:hint="default"/>
                      <w:lang w:val="en-US" w:eastAsia="zh-CN"/>
                    </w:rPr>
                    <w:t>0.23078kg</w:t>
                  </w:r>
                </w:p>
              </w:tc>
              <w:tc>
                <w:tcPr>
                  <w:tcW w:w="740" w:type="pct"/>
                  <w:vAlign w:val="center"/>
                </w:tcPr>
                <w:p w14:paraId="739752FA">
                  <w:pPr>
                    <w:pStyle w:val="41"/>
                    <w:bidi w:val="0"/>
                    <w:rPr>
                      <w:rFonts w:hint="default"/>
                      <w:lang w:val="en-US" w:eastAsia="zh-CN"/>
                    </w:rPr>
                  </w:pPr>
                  <w:r>
                    <w:rPr>
                      <w:rFonts w:hint="eastAsia"/>
                      <w:lang w:val="en-US" w:eastAsia="zh-CN"/>
                    </w:rPr>
                    <w:t>0.05kg</w:t>
                  </w:r>
                </w:p>
              </w:tc>
              <w:tc>
                <w:tcPr>
                  <w:tcW w:w="521" w:type="pct"/>
                  <w:vAlign w:val="center"/>
                </w:tcPr>
                <w:p w14:paraId="08165C62">
                  <w:pPr>
                    <w:pStyle w:val="41"/>
                    <w:bidi w:val="0"/>
                    <w:rPr>
                      <w:rFonts w:hint="eastAsia"/>
                      <w:lang w:val="en-US" w:eastAsia="zh-CN"/>
                    </w:rPr>
                  </w:pPr>
                  <w:r>
                    <w:rPr>
                      <w:rFonts w:hint="eastAsia"/>
                      <w:lang w:val="en-US" w:eastAsia="zh-CN"/>
                    </w:rPr>
                    <w:t>固体</w:t>
                  </w:r>
                </w:p>
              </w:tc>
              <w:tc>
                <w:tcPr>
                  <w:tcW w:w="447" w:type="pct"/>
                  <w:vMerge w:val="continue"/>
                  <w:vAlign w:val="center"/>
                </w:tcPr>
                <w:p w14:paraId="65F09E93">
                  <w:pPr>
                    <w:pStyle w:val="41"/>
                    <w:bidi w:val="0"/>
                    <w:rPr>
                      <w:rFonts w:hint="eastAsia"/>
                      <w:lang w:val="en-US" w:eastAsia="zh-CN"/>
                    </w:rPr>
                  </w:pPr>
                </w:p>
              </w:tc>
            </w:tr>
            <w:tr w14:paraId="02E502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E8082B7">
                  <w:pPr>
                    <w:pStyle w:val="41"/>
                    <w:numPr>
                      <w:ilvl w:val="0"/>
                      <w:numId w:val="13"/>
                    </w:numPr>
                    <w:bidi w:val="0"/>
                    <w:ind w:left="454" w:leftChars="0" w:hanging="454" w:firstLineChars="0"/>
                    <w:jc w:val="center"/>
                    <w:rPr>
                      <w:rFonts w:hint="eastAsia"/>
                    </w:rPr>
                  </w:pPr>
                </w:p>
              </w:tc>
              <w:tc>
                <w:tcPr>
                  <w:tcW w:w="864" w:type="pct"/>
                  <w:vAlign w:val="center"/>
                </w:tcPr>
                <w:p w14:paraId="14085139">
                  <w:pPr>
                    <w:pStyle w:val="41"/>
                    <w:bidi w:val="0"/>
                    <w:rPr>
                      <w:rFonts w:hint="eastAsia"/>
                      <w:lang w:val="en-US" w:eastAsia="zh-CN"/>
                    </w:rPr>
                  </w:pPr>
                  <w:r>
                    <w:rPr>
                      <w:rFonts w:hint="default"/>
                      <w:lang w:val="en-US" w:eastAsia="zh-CN"/>
                    </w:rPr>
                    <w:t>卡波姆</w:t>
                  </w:r>
                </w:p>
              </w:tc>
              <w:tc>
                <w:tcPr>
                  <w:tcW w:w="669" w:type="pct"/>
                  <w:vAlign w:val="center"/>
                </w:tcPr>
                <w:p w14:paraId="480C7D20">
                  <w:pPr>
                    <w:pStyle w:val="41"/>
                    <w:bidi w:val="0"/>
                    <w:rPr>
                      <w:rFonts w:hint="default"/>
                      <w:lang w:val="en-US" w:eastAsia="zh-CN"/>
                    </w:rPr>
                  </w:pPr>
                  <w:r>
                    <w:rPr>
                      <w:rFonts w:hint="eastAsia"/>
                      <w:lang w:val="en-US" w:eastAsia="zh-CN"/>
                    </w:rPr>
                    <w:t>99.5%</w:t>
                  </w:r>
                </w:p>
              </w:tc>
              <w:tc>
                <w:tcPr>
                  <w:tcW w:w="687" w:type="pct"/>
                  <w:vAlign w:val="center"/>
                </w:tcPr>
                <w:p w14:paraId="3C39DD05">
                  <w:pPr>
                    <w:pStyle w:val="41"/>
                    <w:bidi w:val="0"/>
                    <w:rPr>
                      <w:rFonts w:hint="default"/>
                      <w:lang w:val="en-US" w:eastAsia="zh-CN"/>
                    </w:rPr>
                  </w:pPr>
                  <w:r>
                    <w:rPr>
                      <w:rFonts w:hint="eastAsia"/>
                      <w:lang w:val="en-US" w:eastAsia="zh-CN"/>
                    </w:rPr>
                    <w:t>100g/袋</w:t>
                  </w:r>
                </w:p>
              </w:tc>
              <w:tc>
                <w:tcPr>
                  <w:tcW w:w="771" w:type="pct"/>
                  <w:vAlign w:val="center"/>
                </w:tcPr>
                <w:p w14:paraId="575AB8C0">
                  <w:pPr>
                    <w:pStyle w:val="41"/>
                    <w:bidi w:val="0"/>
                    <w:rPr>
                      <w:rFonts w:hint="eastAsia"/>
                      <w:lang w:val="en-US" w:eastAsia="zh-CN"/>
                    </w:rPr>
                  </w:pPr>
                  <w:r>
                    <w:rPr>
                      <w:rFonts w:hint="default"/>
                      <w:lang w:val="en-US" w:eastAsia="zh-CN"/>
                    </w:rPr>
                    <w:t>0.01kg</w:t>
                  </w:r>
                </w:p>
              </w:tc>
              <w:tc>
                <w:tcPr>
                  <w:tcW w:w="740" w:type="pct"/>
                  <w:shd w:val="clear" w:color="auto" w:fill="auto"/>
                  <w:vAlign w:val="center"/>
                </w:tcPr>
                <w:p w14:paraId="60F2FDC8">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0.1kg</w:t>
                  </w:r>
                </w:p>
              </w:tc>
              <w:tc>
                <w:tcPr>
                  <w:tcW w:w="521" w:type="pct"/>
                  <w:vAlign w:val="center"/>
                </w:tcPr>
                <w:p w14:paraId="0DC7430E">
                  <w:pPr>
                    <w:pStyle w:val="41"/>
                    <w:bidi w:val="0"/>
                    <w:rPr>
                      <w:rFonts w:hint="eastAsia"/>
                      <w:lang w:val="en-US" w:eastAsia="zh-CN"/>
                    </w:rPr>
                  </w:pPr>
                  <w:r>
                    <w:rPr>
                      <w:rFonts w:hint="eastAsia"/>
                      <w:lang w:val="en-US" w:eastAsia="zh-CN"/>
                    </w:rPr>
                    <w:t>固体</w:t>
                  </w:r>
                </w:p>
              </w:tc>
              <w:tc>
                <w:tcPr>
                  <w:tcW w:w="447" w:type="pct"/>
                  <w:vMerge w:val="continue"/>
                  <w:vAlign w:val="center"/>
                </w:tcPr>
                <w:p w14:paraId="42A8D7D0">
                  <w:pPr>
                    <w:pStyle w:val="41"/>
                    <w:bidi w:val="0"/>
                    <w:rPr>
                      <w:rFonts w:hint="eastAsia"/>
                      <w:lang w:val="en-US" w:eastAsia="zh-CN"/>
                    </w:rPr>
                  </w:pPr>
                </w:p>
              </w:tc>
            </w:tr>
            <w:tr w14:paraId="754289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C99D947">
                  <w:pPr>
                    <w:pStyle w:val="41"/>
                    <w:numPr>
                      <w:ilvl w:val="0"/>
                      <w:numId w:val="13"/>
                    </w:numPr>
                    <w:bidi w:val="0"/>
                    <w:ind w:left="454" w:leftChars="0" w:hanging="454" w:firstLineChars="0"/>
                    <w:jc w:val="center"/>
                    <w:rPr>
                      <w:rFonts w:hint="eastAsia"/>
                    </w:rPr>
                  </w:pPr>
                </w:p>
              </w:tc>
              <w:tc>
                <w:tcPr>
                  <w:tcW w:w="864" w:type="pct"/>
                  <w:vAlign w:val="center"/>
                </w:tcPr>
                <w:p w14:paraId="452BE8B1">
                  <w:pPr>
                    <w:pStyle w:val="41"/>
                    <w:bidi w:val="0"/>
                    <w:rPr>
                      <w:rFonts w:hint="eastAsia"/>
                      <w:lang w:val="en-US" w:eastAsia="zh-CN"/>
                    </w:rPr>
                  </w:pPr>
                  <w:r>
                    <w:rPr>
                      <w:rFonts w:hint="default"/>
                      <w:lang w:val="en-US" w:eastAsia="zh-CN"/>
                    </w:rPr>
                    <w:t>甘油</w:t>
                  </w:r>
                </w:p>
              </w:tc>
              <w:tc>
                <w:tcPr>
                  <w:tcW w:w="669" w:type="pct"/>
                  <w:vAlign w:val="center"/>
                </w:tcPr>
                <w:p w14:paraId="459933B9">
                  <w:pPr>
                    <w:pStyle w:val="41"/>
                    <w:bidi w:val="0"/>
                    <w:rPr>
                      <w:rFonts w:hint="default"/>
                      <w:lang w:val="en-US" w:eastAsia="zh-CN"/>
                    </w:rPr>
                  </w:pPr>
                  <w:r>
                    <w:rPr>
                      <w:rFonts w:hint="eastAsia"/>
                      <w:lang w:val="en-US" w:eastAsia="zh-CN"/>
                    </w:rPr>
                    <w:t>99.7%</w:t>
                  </w:r>
                </w:p>
              </w:tc>
              <w:tc>
                <w:tcPr>
                  <w:tcW w:w="687" w:type="pct"/>
                  <w:vAlign w:val="center"/>
                </w:tcPr>
                <w:p w14:paraId="7B944DA8">
                  <w:pPr>
                    <w:pStyle w:val="41"/>
                    <w:bidi w:val="0"/>
                    <w:rPr>
                      <w:rFonts w:hint="eastAsia"/>
                      <w:lang w:val="en-US" w:eastAsia="zh-CN"/>
                    </w:rPr>
                  </w:pPr>
                  <w:r>
                    <w:rPr>
                      <w:rFonts w:hint="eastAsia"/>
                      <w:lang w:val="en-US" w:eastAsia="zh-CN"/>
                    </w:rPr>
                    <w:t>100g/瓶</w:t>
                  </w:r>
                </w:p>
              </w:tc>
              <w:tc>
                <w:tcPr>
                  <w:tcW w:w="771" w:type="pct"/>
                  <w:vAlign w:val="center"/>
                </w:tcPr>
                <w:p w14:paraId="706FB98E">
                  <w:pPr>
                    <w:pStyle w:val="41"/>
                    <w:bidi w:val="0"/>
                    <w:rPr>
                      <w:rFonts w:hint="eastAsia"/>
                      <w:lang w:val="en-US" w:eastAsia="zh-CN"/>
                    </w:rPr>
                  </w:pPr>
                  <w:r>
                    <w:rPr>
                      <w:rFonts w:hint="default"/>
                      <w:lang w:val="en-US" w:eastAsia="zh-CN"/>
                    </w:rPr>
                    <w:t>0.1kg</w:t>
                  </w:r>
                </w:p>
              </w:tc>
              <w:tc>
                <w:tcPr>
                  <w:tcW w:w="740" w:type="pct"/>
                  <w:shd w:val="clear" w:color="auto" w:fill="auto"/>
                  <w:vAlign w:val="center"/>
                </w:tcPr>
                <w:p w14:paraId="6712F2DF">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0.1kg</w:t>
                  </w:r>
                </w:p>
              </w:tc>
              <w:tc>
                <w:tcPr>
                  <w:tcW w:w="521" w:type="pct"/>
                  <w:vAlign w:val="center"/>
                </w:tcPr>
                <w:p w14:paraId="306C1537">
                  <w:pPr>
                    <w:pStyle w:val="41"/>
                    <w:bidi w:val="0"/>
                    <w:rPr>
                      <w:rFonts w:hint="eastAsia"/>
                      <w:lang w:val="en-US" w:eastAsia="zh-CN"/>
                    </w:rPr>
                  </w:pPr>
                  <w:r>
                    <w:rPr>
                      <w:rFonts w:hint="eastAsia"/>
                      <w:lang w:val="en-US" w:eastAsia="zh-CN"/>
                    </w:rPr>
                    <w:t>液体</w:t>
                  </w:r>
                </w:p>
              </w:tc>
              <w:tc>
                <w:tcPr>
                  <w:tcW w:w="447" w:type="pct"/>
                  <w:vMerge w:val="continue"/>
                  <w:vAlign w:val="center"/>
                </w:tcPr>
                <w:p w14:paraId="4BE7A0EF">
                  <w:pPr>
                    <w:pStyle w:val="41"/>
                    <w:bidi w:val="0"/>
                    <w:rPr>
                      <w:rFonts w:hint="eastAsia"/>
                      <w:lang w:val="en-US" w:eastAsia="zh-CN"/>
                    </w:rPr>
                  </w:pPr>
                </w:p>
              </w:tc>
            </w:tr>
            <w:tr w14:paraId="0208C5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4D77F13">
                  <w:pPr>
                    <w:pStyle w:val="41"/>
                    <w:numPr>
                      <w:ilvl w:val="0"/>
                      <w:numId w:val="13"/>
                    </w:numPr>
                    <w:bidi w:val="0"/>
                    <w:ind w:left="454" w:leftChars="0" w:hanging="454" w:firstLineChars="0"/>
                    <w:jc w:val="center"/>
                    <w:rPr>
                      <w:rFonts w:hint="eastAsia"/>
                    </w:rPr>
                  </w:pPr>
                </w:p>
              </w:tc>
              <w:tc>
                <w:tcPr>
                  <w:tcW w:w="864" w:type="pct"/>
                  <w:vAlign w:val="center"/>
                </w:tcPr>
                <w:p w14:paraId="081554AC">
                  <w:pPr>
                    <w:pStyle w:val="41"/>
                    <w:bidi w:val="0"/>
                    <w:rPr>
                      <w:rFonts w:hint="eastAsia"/>
                      <w:lang w:val="en-US" w:eastAsia="zh-CN"/>
                    </w:rPr>
                  </w:pPr>
                  <w:r>
                    <w:rPr>
                      <w:rFonts w:hint="default"/>
                      <w:lang w:val="en-US" w:eastAsia="zh-CN"/>
                    </w:rPr>
                    <w:t>尼泊金乙酯</w:t>
                  </w:r>
                </w:p>
              </w:tc>
              <w:tc>
                <w:tcPr>
                  <w:tcW w:w="669" w:type="pct"/>
                  <w:vAlign w:val="center"/>
                </w:tcPr>
                <w:p w14:paraId="067D486B">
                  <w:pPr>
                    <w:pStyle w:val="41"/>
                    <w:bidi w:val="0"/>
                    <w:rPr>
                      <w:rFonts w:hint="default"/>
                      <w:lang w:val="en-US" w:eastAsia="zh-CN"/>
                    </w:rPr>
                  </w:pPr>
                  <w:r>
                    <w:rPr>
                      <w:rFonts w:hint="eastAsia"/>
                      <w:lang w:val="en-US" w:eastAsia="zh-CN"/>
                    </w:rPr>
                    <w:t>99.99%</w:t>
                  </w:r>
                </w:p>
              </w:tc>
              <w:tc>
                <w:tcPr>
                  <w:tcW w:w="687" w:type="pct"/>
                  <w:vAlign w:val="center"/>
                </w:tcPr>
                <w:p w14:paraId="4B5F6191">
                  <w:pPr>
                    <w:pStyle w:val="41"/>
                    <w:bidi w:val="0"/>
                    <w:rPr>
                      <w:rFonts w:hint="eastAsia"/>
                      <w:lang w:val="en-US" w:eastAsia="zh-CN"/>
                    </w:rPr>
                  </w:pPr>
                  <w:r>
                    <w:rPr>
                      <w:rFonts w:hint="eastAsia"/>
                      <w:lang w:val="en-US" w:eastAsia="zh-CN"/>
                    </w:rPr>
                    <w:t>100g/瓶</w:t>
                  </w:r>
                </w:p>
              </w:tc>
              <w:tc>
                <w:tcPr>
                  <w:tcW w:w="771" w:type="pct"/>
                  <w:vAlign w:val="center"/>
                </w:tcPr>
                <w:p w14:paraId="07B0290D">
                  <w:pPr>
                    <w:pStyle w:val="41"/>
                    <w:bidi w:val="0"/>
                    <w:rPr>
                      <w:rFonts w:hint="eastAsia"/>
                      <w:lang w:val="en-US" w:eastAsia="zh-CN"/>
                    </w:rPr>
                  </w:pPr>
                  <w:r>
                    <w:rPr>
                      <w:rFonts w:hint="default"/>
                      <w:lang w:val="en-US" w:eastAsia="zh-CN"/>
                    </w:rPr>
                    <w:t>0.1kg</w:t>
                  </w:r>
                </w:p>
              </w:tc>
              <w:tc>
                <w:tcPr>
                  <w:tcW w:w="740" w:type="pct"/>
                  <w:shd w:val="clear" w:color="auto" w:fill="auto"/>
                  <w:vAlign w:val="center"/>
                </w:tcPr>
                <w:p w14:paraId="201EAEFE">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0.1kg</w:t>
                  </w:r>
                </w:p>
              </w:tc>
              <w:tc>
                <w:tcPr>
                  <w:tcW w:w="521" w:type="pct"/>
                  <w:vAlign w:val="center"/>
                </w:tcPr>
                <w:p w14:paraId="051B46CC">
                  <w:pPr>
                    <w:pStyle w:val="41"/>
                    <w:bidi w:val="0"/>
                    <w:rPr>
                      <w:rFonts w:hint="eastAsia"/>
                      <w:lang w:val="en-US" w:eastAsia="zh-CN"/>
                    </w:rPr>
                  </w:pPr>
                  <w:r>
                    <w:rPr>
                      <w:rFonts w:hint="eastAsia"/>
                      <w:lang w:val="en-US" w:eastAsia="zh-CN"/>
                    </w:rPr>
                    <w:t>固体</w:t>
                  </w:r>
                </w:p>
              </w:tc>
              <w:tc>
                <w:tcPr>
                  <w:tcW w:w="447" w:type="pct"/>
                  <w:vMerge w:val="continue"/>
                  <w:vAlign w:val="center"/>
                </w:tcPr>
                <w:p w14:paraId="65FD3B2C">
                  <w:pPr>
                    <w:pStyle w:val="41"/>
                    <w:bidi w:val="0"/>
                    <w:rPr>
                      <w:rFonts w:hint="eastAsia"/>
                      <w:lang w:val="en-US" w:eastAsia="zh-CN"/>
                    </w:rPr>
                  </w:pPr>
                </w:p>
              </w:tc>
            </w:tr>
            <w:tr w14:paraId="6617BB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38DDA9AF">
                  <w:pPr>
                    <w:pStyle w:val="41"/>
                    <w:numPr>
                      <w:ilvl w:val="0"/>
                      <w:numId w:val="13"/>
                    </w:numPr>
                    <w:bidi w:val="0"/>
                    <w:ind w:left="454" w:leftChars="0" w:hanging="454" w:firstLineChars="0"/>
                    <w:jc w:val="center"/>
                    <w:rPr>
                      <w:rFonts w:hint="eastAsia"/>
                    </w:rPr>
                  </w:pPr>
                </w:p>
              </w:tc>
              <w:tc>
                <w:tcPr>
                  <w:tcW w:w="864" w:type="pct"/>
                  <w:vAlign w:val="center"/>
                </w:tcPr>
                <w:p w14:paraId="76653C2A">
                  <w:pPr>
                    <w:pStyle w:val="41"/>
                    <w:bidi w:val="0"/>
                    <w:rPr>
                      <w:rFonts w:hint="eastAsia"/>
                      <w:lang w:val="en-US" w:eastAsia="zh-CN"/>
                    </w:rPr>
                  </w:pPr>
                  <w:r>
                    <w:rPr>
                      <w:rFonts w:hint="default"/>
                      <w:color w:val="auto"/>
                      <w:lang w:val="en-US" w:eastAsia="zh-CN"/>
                    </w:rPr>
                    <w:t>三乙醇胺</w:t>
                  </w:r>
                </w:p>
              </w:tc>
              <w:tc>
                <w:tcPr>
                  <w:tcW w:w="669" w:type="pct"/>
                  <w:vAlign w:val="center"/>
                </w:tcPr>
                <w:p w14:paraId="161F1DB4">
                  <w:pPr>
                    <w:pStyle w:val="41"/>
                    <w:bidi w:val="0"/>
                    <w:rPr>
                      <w:rFonts w:hint="default"/>
                      <w:lang w:val="en-US" w:eastAsia="zh-CN"/>
                    </w:rPr>
                  </w:pPr>
                  <w:r>
                    <w:rPr>
                      <w:rFonts w:hint="eastAsia"/>
                      <w:lang w:val="en-US" w:eastAsia="zh-CN"/>
                    </w:rPr>
                    <w:t>99.5%</w:t>
                  </w:r>
                </w:p>
              </w:tc>
              <w:tc>
                <w:tcPr>
                  <w:tcW w:w="687" w:type="pct"/>
                  <w:vAlign w:val="center"/>
                </w:tcPr>
                <w:p w14:paraId="4BD7B680">
                  <w:pPr>
                    <w:pStyle w:val="41"/>
                    <w:bidi w:val="0"/>
                    <w:rPr>
                      <w:rFonts w:hint="eastAsia"/>
                      <w:lang w:val="en-US" w:eastAsia="zh-CN"/>
                    </w:rPr>
                  </w:pPr>
                  <w:r>
                    <w:rPr>
                      <w:rFonts w:hint="eastAsia"/>
                      <w:lang w:val="en-US" w:eastAsia="zh-CN"/>
                    </w:rPr>
                    <w:t>100g/瓶</w:t>
                  </w:r>
                </w:p>
              </w:tc>
              <w:tc>
                <w:tcPr>
                  <w:tcW w:w="771" w:type="pct"/>
                  <w:vAlign w:val="center"/>
                </w:tcPr>
                <w:p w14:paraId="4A5EC428">
                  <w:pPr>
                    <w:pStyle w:val="41"/>
                    <w:bidi w:val="0"/>
                    <w:rPr>
                      <w:rFonts w:hint="eastAsia"/>
                      <w:lang w:val="en-US" w:eastAsia="zh-CN"/>
                    </w:rPr>
                  </w:pPr>
                  <w:r>
                    <w:rPr>
                      <w:rFonts w:hint="eastAsia"/>
                      <w:lang w:val="en-US" w:eastAsia="zh-CN"/>
                    </w:rPr>
                    <w:t>0.2kg</w:t>
                  </w:r>
                </w:p>
              </w:tc>
              <w:tc>
                <w:tcPr>
                  <w:tcW w:w="740" w:type="pct"/>
                  <w:shd w:val="clear" w:color="auto" w:fill="auto"/>
                  <w:vAlign w:val="center"/>
                </w:tcPr>
                <w:p w14:paraId="5C68449B">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0.1kg</w:t>
                  </w:r>
                </w:p>
              </w:tc>
              <w:tc>
                <w:tcPr>
                  <w:tcW w:w="521" w:type="pct"/>
                  <w:vAlign w:val="center"/>
                </w:tcPr>
                <w:p w14:paraId="73C4F9A3">
                  <w:pPr>
                    <w:pStyle w:val="41"/>
                    <w:bidi w:val="0"/>
                    <w:rPr>
                      <w:rFonts w:hint="eastAsia"/>
                      <w:lang w:val="en-US" w:eastAsia="zh-CN"/>
                    </w:rPr>
                  </w:pPr>
                  <w:r>
                    <w:rPr>
                      <w:rFonts w:hint="eastAsia"/>
                      <w:lang w:val="en-US" w:eastAsia="zh-CN"/>
                    </w:rPr>
                    <w:t>液体</w:t>
                  </w:r>
                </w:p>
              </w:tc>
              <w:tc>
                <w:tcPr>
                  <w:tcW w:w="447" w:type="pct"/>
                  <w:vMerge w:val="continue"/>
                  <w:vAlign w:val="center"/>
                </w:tcPr>
                <w:p w14:paraId="49E13754">
                  <w:pPr>
                    <w:pStyle w:val="41"/>
                    <w:bidi w:val="0"/>
                    <w:rPr>
                      <w:rFonts w:hint="eastAsia"/>
                      <w:lang w:val="en-US" w:eastAsia="zh-CN"/>
                    </w:rPr>
                  </w:pPr>
                </w:p>
              </w:tc>
            </w:tr>
            <w:tr w14:paraId="635886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2955109">
                  <w:pPr>
                    <w:pStyle w:val="41"/>
                    <w:numPr>
                      <w:ilvl w:val="0"/>
                      <w:numId w:val="13"/>
                    </w:numPr>
                    <w:bidi w:val="0"/>
                    <w:ind w:left="454" w:leftChars="0" w:hanging="454" w:firstLineChars="0"/>
                    <w:jc w:val="center"/>
                    <w:rPr>
                      <w:rFonts w:hint="eastAsia"/>
                    </w:rPr>
                  </w:pPr>
                </w:p>
              </w:tc>
              <w:tc>
                <w:tcPr>
                  <w:tcW w:w="864" w:type="pct"/>
                  <w:vAlign w:val="center"/>
                </w:tcPr>
                <w:p w14:paraId="4B35E7AE">
                  <w:pPr>
                    <w:pStyle w:val="41"/>
                    <w:bidi w:val="0"/>
                    <w:rPr>
                      <w:rFonts w:hint="default"/>
                      <w:lang w:val="en-US" w:eastAsia="zh-CN"/>
                    </w:rPr>
                  </w:pPr>
                  <w:r>
                    <w:rPr>
                      <w:rFonts w:hint="default"/>
                    </w:rPr>
                    <w:t>高纯氮</w:t>
                  </w:r>
                </w:p>
              </w:tc>
              <w:tc>
                <w:tcPr>
                  <w:tcW w:w="669" w:type="pct"/>
                  <w:vAlign w:val="center"/>
                </w:tcPr>
                <w:p w14:paraId="727C72CA">
                  <w:pPr>
                    <w:pStyle w:val="41"/>
                    <w:bidi w:val="0"/>
                    <w:rPr>
                      <w:rFonts w:hint="default" w:eastAsia="宋体"/>
                      <w:lang w:val="en-US" w:eastAsia="zh-CN"/>
                    </w:rPr>
                  </w:pPr>
                  <w:r>
                    <w:rPr>
                      <w:rFonts w:hint="eastAsia"/>
                      <w:lang w:val="en-US" w:eastAsia="zh-CN"/>
                    </w:rPr>
                    <w:t>99.999%</w:t>
                  </w:r>
                </w:p>
              </w:tc>
              <w:tc>
                <w:tcPr>
                  <w:tcW w:w="687" w:type="pct"/>
                  <w:vAlign w:val="center"/>
                </w:tcPr>
                <w:p w14:paraId="27237DE9">
                  <w:pPr>
                    <w:pStyle w:val="41"/>
                    <w:bidi w:val="0"/>
                    <w:rPr>
                      <w:rFonts w:hint="default"/>
                      <w:lang w:val="en-US" w:eastAsia="zh-CN"/>
                    </w:rPr>
                  </w:pPr>
                  <w:r>
                    <w:t>40</w:t>
                  </w:r>
                  <w:r>
                    <w:rPr>
                      <w:rFonts w:hint="default"/>
                    </w:rPr>
                    <w:t>L/瓶</w:t>
                  </w:r>
                </w:p>
              </w:tc>
              <w:tc>
                <w:tcPr>
                  <w:tcW w:w="771" w:type="pct"/>
                  <w:vAlign w:val="center"/>
                </w:tcPr>
                <w:p w14:paraId="0B2A37D8">
                  <w:pPr>
                    <w:pStyle w:val="41"/>
                    <w:bidi w:val="0"/>
                    <w:rPr>
                      <w:rFonts w:hint="default"/>
                      <w:lang w:val="en-US" w:eastAsia="zh-CN"/>
                    </w:rPr>
                  </w:pPr>
                  <w:r>
                    <w:rPr>
                      <w:rFonts w:hint="default"/>
                    </w:rPr>
                    <w:t>1</w:t>
                  </w:r>
                  <w:r>
                    <w:t>4</w:t>
                  </w:r>
                  <w:r>
                    <w:rPr>
                      <w:rFonts w:hint="default"/>
                    </w:rPr>
                    <w:t>瓶</w:t>
                  </w:r>
                </w:p>
              </w:tc>
              <w:tc>
                <w:tcPr>
                  <w:tcW w:w="740" w:type="pct"/>
                  <w:vAlign w:val="center"/>
                </w:tcPr>
                <w:p w14:paraId="6FDE7340">
                  <w:pPr>
                    <w:pStyle w:val="41"/>
                    <w:bidi w:val="0"/>
                    <w:rPr>
                      <w:rFonts w:hint="default"/>
                      <w:lang w:val="en-US" w:eastAsia="zh-CN"/>
                    </w:rPr>
                  </w:pPr>
                  <w:r>
                    <w:rPr>
                      <w:rFonts w:hint="default"/>
                    </w:rPr>
                    <w:t>4瓶</w:t>
                  </w:r>
                </w:p>
              </w:tc>
              <w:tc>
                <w:tcPr>
                  <w:tcW w:w="521" w:type="pct"/>
                  <w:vAlign w:val="center"/>
                </w:tcPr>
                <w:p w14:paraId="56A64314">
                  <w:pPr>
                    <w:pStyle w:val="41"/>
                    <w:bidi w:val="0"/>
                    <w:rPr>
                      <w:rFonts w:hint="default"/>
                      <w:lang w:val="en-US" w:eastAsia="zh-CN"/>
                    </w:rPr>
                  </w:pPr>
                  <w:r>
                    <w:rPr>
                      <w:rFonts w:hint="default"/>
                    </w:rPr>
                    <w:t>气体</w:t>
                  </w:r>
                </w:p>
              </w:tc>
              <w:tc>
                <w:tcPr>
                  <w:tcW w:w="447" w:type="pct"/>
                  <w:vMerge w:val="continue"/>
                  <w:vAlign w:val="center"/>
                </w:tcPr>
                <w:p w14:paraId="2295E360">
                  <w:pPr>
                    <w:pStyle w:val="41"/>
                    <w:bidi w:val="0"/>
                    <w:rPr>
                      <w:rFonts w:hint="eastAsia"/>
                      <w:lang w:val="en-US" w:eastAsia="zh-CN"/>
                    </w:rPr>
                  </w:pPr>
                </w:p>
              </w:tc>
            </w:tr>
            <w:tr w14:paraId="33AC91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20303B33">
                  <w:pPr>
                    <w:pStyle w:val="41"/>
                    <w:numPr>
                      <w:ilvl w:val="0"/>
                      <w:numId w:val="13"/>
                    </w:numPr>
                    <w:bidi w:val="0"/>
                    <w:ind w:left="454" w:leftChars="0" w:hanging="454" w:firstLineChars="0"/>
                    <w:jc w:val="center"/>
                    <w:rPr>
                      <w:rFonts w:hint="eastAsia"/>
                    </w:rPr>
                  </w:pPr>
                </w:p>
              </w:tc>
              <w:tc>
                <w:tcPr>
                  <w:tcW w:w="864" w:type="pct"/>
                  <w:vAlign w:val="center"/>
                </w:tcPr>
                <w:p w14:paraId="4DD56141">
                  <w:pPr>
                    <w:pStyle w:val="41"/>
                    <w:bidi w:val="0"/>
                    <w:rPr>
                      <w:rFonts w:hint="default"/>
                      <w:lang w:val="en-US" w:eastAsia="zh-CN"/>
                    </w:rPr>
                  </w:pPr>
                  <w:r>
                    <w:t>培养基</w:t>
                  </w:r>
                </w:p>
              </w:tc>
              <w:tc>
                <w:tcPr>
                  <w:tcW w:w="669" w:type="pct"/>
                  <w:vAlign w:val="center"/>
                </w:tcPr>
                <w:p w14:paraId="1B7EFBB0">
                  <w:pPr>
                    <w:pStyle w:val="41"/>
                    <w:bidi w:val="0"/>
                    <w:rPr>
                      <w:rFonts w:hint="eastAsia" w:eastAsia="宋体"/>
                      <w:lang w:val="en-US" w:eastAsia="zh-CN"/>
                    </w:rPr>
                  </w:pPr>
                  <w:r>
                    <w:rPr>
                      <w:rFonts w:hint="eastAsia"/>
                      <w:lang w:val="en-US" w:eastAsia="zh-CN"/>
                    </w:rPr>
                    <w:t>/</w:t>
                  </w:r>
                </w:p>
              </w:tc>
              <w:tc>
                <w:tcPr>
                  <w:tcW w:w="687" w:type="pct"/>
                  <w:vAlign w:val="center"/>
                </w:tcPr>
                <w:p w14:paraId="3DDD4F38">
                  <w:pPr>
                    <w:pStyle w:val="41"/>
                    <w:bidi w:val="0"/>
                    <w:rPr>
                      <w:rFonts w:hint="eastAsia"/>
                      <w:lang w:val="en-US" w:eastAsia="zh-CN"/>
                    </w:rPr>
                  </w:pPr>
                  <w:r>
                    <w:rPr>
                      <w:rFonts w:hint="eastAsia"/>
                      <w:lang w:val="en-US" w:eastAsia="zh-CN"/>
                    </w:rPr>
                    <w:t>0.2</w:t>
                  </w:r>
                  <w:r>
                    <w:rPr>
                      <w:rFonts w:hint="eastAsia"/>
                    </w:rPr>
                    <w:t>kg</w:t>
                  </w:r>
                  <w:r>
                    <w:t>/</w:t>
                  </w:r>
                  <w:r>
                    <w:rPr>
                      <w:rFonts w:hint="eastAsia"/>
                    </w:rPr>
                    <w:t>瓶</w:t>
                  </w:r>
                </w:p>
              </w:tc>
              <w:tc>
                <w:tcPr>
                  <w:tcW w:w="771" w:type="pct"/>
                  <w:vAlign w:val="center"/>
                </w:tcPr>
                <w:p w14:paraId="344AE8D4">
                  <w:pPr>
                    <w:pStyle w:val="41"/>
                    <w:bidi w:val="0"/>
                    <w:rPr>
                      <w:rFonts w:hint="eastAsia"/>
                      <w:lang w:val="en-US" w:eastAsia="zh-CN"/>
                    </w:rPr>
                  </w:pPr>
                  <w:r>
                    <w:t>20kg</w:t>
                  </w:r>
                </w:p>
              </w:tc>
              <w:tc>
                <w:tcPr>
                  <w:tcW w:w="740" w:type="pct"/>
                  <w:vAlign w:val="center"/>
                </w:tcPr>
                <w:p w14:paraId="443543F5">
                  <w:pPr>
                    <w:pStyle w:val="41"/>
                    <w:bidi w:val="0"/>
                    <w:rPr>
                      <w:rFonts w:hint="eastAsia"/>
                      <w:lang w:val="en-US" w:eastAsia="zh-CN"/>
                    </w:rPr>
                  </w:pPr>
                  <w:r>
                    <w:rPr>
                      <w:rFonts w:hint="eastAsia"/>
                    </w:rPr>
                    <w:t>10</w:t>
                  </w:r>
                  <w:r>
                    <w:t>kg</w:t>
                  </w:r>
                </w:p>
              </w:tc>
              <w:tc>
                <w:tcPr>
                  <w:tcW w:w="521" w:type="pct"/>
                  <w:vAlign w:val="center"/>
                </w:tcPr>
                <w:p w14:paraId="7B8C12E9">
                  <w:pPr>
                    <w:pStyle w:val="41"/>
                    <w:bidi w:val="0"/>
                    <w:rPr>
                      <w:rFonts w:hint="eastAsia"/>
                      <w:lang w:val="en-US" w:eastAsia="zh-CN"/>
                    </w:rPr>
                  </w:pPr>
                  <w:r>
                    <w:rPr>
                      <w:rFonts w:hint="eastAsia"/>
                    </w:rPr>
                    <w:t>固</w:t>
                  </w:r>
                  <w:r>
                    <w:rPr>
                      <w:rFonts w:hint="eastAsia"/>
                      <w:lang w:eastAsia="zh-CN"/>
                    </w:rPr>
                    <w:t>体</w:t>
                  </w:r>
                </w:p>
              </w:tc>
              <w:tc>
                <w:tcPr>
                  <w:tcW w:w="447" w:type="pct"/>
                  <w:vMerge w:val="restart"/>
                  <w:vAlign w:val="center"/>
                </w:tcPr>
                <w:p w14:paraId="2893524D">
                  <w:pPr>
                    <w:pStyle w:val="41"/>
                    <w:bidi w:val="0"/>
                    <w:rPr>
                      <w:rFonts w:hint="default"/>
                      <w:lang w:val="en-US" w:eastAsia="zh-CN"/>
                    </w:rPr>
                  </w:pPr>
                  <w:r>
                    <w:rPr>
                      <w:rFonts w:hint="eastAsia"/>
                      <w:lang w:val="en-US" w:eastAsia="zh-CN"/>
                    </w:rPr>
                    <w:t>6号楼（重组蛋白药物及微生物诊断试剂研发实验楼）</w:t>
                  </w:r>
                </w:p>
              </w:tc>
            </w:tr>
            <w:tr w14:paraId="1B2B6D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28F45BB">
                  <w:pPr>
                    <w:pStyle w:val="41"/>
                    <w:numPr>
                      <w:ilvl w:val="0"/>
                      <w:numId w:val="13"/>
                    </w:numPr>
                    <w:bidi w:val="0"/>
                    <w:ind w:left="454" w:leftChars="0" w:hanging="454" w:firstLineChars="0"/>
                    <w:jc w:val="center"/>
                    <w:rPr>
                      <w:rFonts w:hint="eastAsia"/>
                    </w:rPr>
                  </w:pPr>
                </w:p>
              </w:tc>
              <w:tc>
                <w:tcPr>
                  <w:tcW w:w="864" w:type="pct"/>
                  <w:vAlign w:val="center"/>
                </w:tcPr>
                <w:p w14:paraId="53C5D986">
                  <w:pPr>
                    <w:pStyle w:val="41"/>
                    <w:bidi w:val="0"/>
                    <w:rPr>
                      <w:rFonts w:hint="default"/>
                      <w:lang w:val="en-US" w:eastAsia="zh-CN"/>
                    </w:rPr>
                  </w:pPr>
                  <w:r>
                    <w:t>氢氧化钠</w:t>
                  </w:r>
                </w:p>
              </w:tc>
              <w:tc>
                <w:tcPr>
                  <w:tcW w:w="669" w:type="pct"/>
                  <w:shd w:val="clear" w:color="auto" w:fill="auto"/>
                  <w:vAlign w:val="center"/>
                </w:tcPr>
                <w:p w14:paraId="01598C1F">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99.99%</w:t>
                  </w:r>
                </w:p>
              </w:tc>
              <w:tc>
                <w:tcPr>
                  <w:tcW w:w="687" w:type="pct"/>
                  <w:vAlign w:val="center"/>
                </w:tcPr>
                <w:p w14:paraId="7E035252">
                  <w:pPr>
                    <w:pStyle w:val="41"/>
                    <w:bidi w:val="0"/>
                    <w:rPr>
                      <w:rFonts w:hint="default"/>
                      <w:lang w:val="en-US" w:eastAsia="zh-CN"/>
                    </w:rPr>
                  </w:pPr>
                  <w:r>
                    <w:rPr>
                      <w:rFonts w:hint="eastAsia"/>
                      <w:lang w:val="en-US" w:eastAsia="zh-CN"/>
                    </w:rPr>
                    <w:t>500g/瓶</w:t>
                  </w:r>
                </w:p>
              </w:tc>
              <w:tc>
                <w:tcPr>
                  <w:tcW w:w="771" w:type="pct"/>
                  <w:vAlign w:val="center"/>
                </w:tcPr>
                <w:p w14:paraId="539D4A7D">
                  <w:pPr>
                    <w:pStyle w:val="41"/>
                    <w:bidi w:val="0"/>
                    <w:rPr>
                      <w:rFonts w:hint="eastAsia"/>
                      <w:lang w:val="en-US" w:eastAsia="zh-CN"/>
                    </w:rPr>
                  </w:pPr>
                  <w:r>
                    <w:t>30kg</w:t>
                  </w:r>
                </w:p>
              </w:tc>
              <w:tc>
                <w:tcPr>
                  <w:tcW w:w="740" w:type="pct"/>
                  <w:vAlign w:val="center"/>
                </w:tcPr>
                <w:p w14:paraId="74486D50">
                  <w:pPr>
                    <w:pStyle w:val="41"/>
                    <w:bidi w:val="0"/>
                    <w:rPr>
                      <w:rFonts w:hint="eastAsia"/>
                      <w:lang w:val="en-US" w:eastAsia="zh-CN"/>
                    </w:rPr>
                  </w:pPr>
                  <w:r>
                    <w:rPr>
                      <w:rFonts w:hint="eastAsia"/>
                    </w:rPr>
                    <w:t>20</w:t>
                  </w:r>
                  <w:r>
                    <w:t>kg</w:t>
                  </w:r>
                </w:p>
              </w:tc>
              <w:tc>
                <w:tcPr>
                  <w:tcW w:w="521" w:type="pct"/>
                  <w:vAlign w:val="center"/>
                </w:tcPr>
                <w:p w14:paraId="35DA9D1F">
                  <w:pPr>
                    <w:pStyle w:val="41"/>
                    <w:bidi w:val="0"/>
                    <w:rPr>
                      <w:rFonts w:hint="eastAsia"/>
                      <w:lang w:val="en-US" w:eastAsia="zh-CN"/>
                    </w:rPr>
                  </w:pPr>
                  <w:r>
                    <w:rPr>
                      <w:rFonts w:hint="eastAsia"/>
                      <w:lang w:val="en-US" w:eastAsia="zh-CN"/>
                    </w:rPr>
                    <w:t>固</w:t>
                  </w:r>
                  <w:r>
                    <w:rPr>
                      <w:rFonts w:hint="eastAsia"/>
                      <w:lang w:eastAsia="zh-CN"/>
                    </w:rPr>
                    <w:t>体</w:t>
                  </w:r>
                </w:p>
              </w:tc>
              <w:tc>
                <w:tcPr>
                  <w:tcW w:w="447" w:type="pct"/>
                  <w:vMerge w:val="continue"/>
                  <w:vAlign w:val="center"/>
                </w:tcPr>
                <w:p w14:paraId="33280838">
                  <w:pPr>
                    <w:pStyle w:val="41"/>
                    <w:bidi w:val="0"/>
                    <w:rPr>
                      <w:rFonts w:hint="eastAsia"/>
                      <w:lang w:val="en-US" w:eastAsia="zh-CN"/>
                    </w:rPr>
                  </w:pPr>
                </w:p>
              </w:tc>
            </w:tr>
            <w:tr w14:paraId="6CE7BD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647EDF4">
                  <w:pPr>
                    <w:pStyle w:val="41"/>
                    <w:numPr>
                      <w:ilvl w:val="0"/>
                      <w:numId w:val="13"/>
                    </w:numPr>
                    <w:bidi w:val="0"/>
                    <w:ind w:left="454" w:leftChars="0" w:hanging="454" w:firstLineChars="0"/>
                    <w:jc w:val="center"/>
                    <w:rPr>
                      <w:rFonts w:hint="eastAsia"/>
                    </w:rPr>
                  </w:pPr>
                </w:p>
              </w:tc>
              <w:tc>
                <w:tcPr>
                  <w:tcW w:w="864" w:type="pct"/>
                  <w:vAlign w:val="center"/>
                </w:tcPr>
                <w:p w14:paraId="4C4D7C30">
                  <w:pPr>
                    <w:pStyle w:val="41"/>
                    <w:bidi w:val="0"/>
                    <w:rPr>
                      <w:rFonts w:hint="default"/>
                      <w:lang w:val="en-US" w:eastAsia="zh-CN"/>
                    </w:rPr>
                  </w:pPr>
                  <w:r>
                    <w:rPr>
                      <w:rFonts w:hint="eastAsia"/>
                      <w:lang w:eastAsia="zh-CN"/>
                    </w:rPr>
                    <w:t>磷酸二氢钠</w:t>
                  </w:r>
                </w:p>
              </w:tc>
              <w:tc>
                <w:tcPr>
                  <w:tcW w:w="669" w:type="pct"/>
                  <w:shd w:val="clear" w:color="auto" w:fill="auto"/>
                  <w:vAlign w:val="center"/>
                </w:tcPr>
                <w:p w14:paraId="49279E59">
                  <w:pPr>
                    <w:pStyle w:val="41"/>
                    <w:bidi w:val="0"/>
                    <w:rPr>
                      <w:rFonts w:hint="eastAsia"/>
                      <w:lang w:val="en-US" w:eastAsia="zh-CN"/>
                    </w:rPr>
                  </w:pPr>
                  <w:r>
                    <w:rPr>
                      <w:rFonts w:hint="eastAsia"/>
                      <w:lang w:val="en-US" w:eastAsia="zh-CN"/>
                    </w:rPr>
                    <w:t>99.99%</w:t>
                  </w:r>
                </w:p>
              </w:tc>
              <w:tc>
                <w:tcPr>
                  <w:tcW w:w="687" w:type="pct"/>
                  <w:vAlign w:val="center"/>
                </w:tcPr>
                <w:p w14:paraId="709AD963">
                  <w:pPr>
                    <w:pStyle w:val="41"/>
                    <w:bidi w:val="0"/>
                    <w:rPr>
                      <w:rFonts w:hint="eastAsia"/>
                      <w:lang w:val="en-US" w:eastAsia="zh-CN"/>
                    </w:rPr>
                  </w:pPr>
                  <w:r>
                    <w:rPr>
                      <w:rFonts w:hint="eastAsia"/>
                      <w:lang w:val="en-US" w:eastAsia="zh-CN"/>
                    </w:rPr>
                    <w:t>500g/瓶</w:t>
                  </w:r>
                </w:p>
              </w:tc>
              <w:tc>
                <w:tcPr>
                  <w:tcW w:w="771" w:type="pct"/>
                  <w:vAlign w:val="center"/>
                </w:tcPr>
                <w:p w14:paraId="26146D20">
                  <w:pPr>
                    <w:pStyle w:val="41"/>
                    <w:bidi w:val="0"/>
                    <w:rPr>
                      <w:rFonts w:hint="eastAsia"/>
                      <w:lang w:val="en-US" w:eastAsia="zh-CN"/>
                    </w:rPr>
                  </w:pPr>
                  <w:r>
                    <w:rPr>
                      <w:rFonts w:hint="eastAsia"/>
                    </w:rPr>
                    <w:t>10</w:t>
                  </w:r>
                  <w:r>
                    <w:t>kg</w:t>
                  </w:r>
                </w:p>
              </w:tc>
              <w:tc>
                <w:tcPr>
                  <w:tcW w:w="740" w:type="pct"/>
                  <w:vAlign w:val="center"/>
                </w:tcPr>
                <w:p w14:paraId="7ABDF45D">
                  <w:pPr>
                    <w:pStyle w:val="41"/>
                    <w:bidi w:val="0"/>
                    <w:rPr>
                      <w:rFonts w:hint="eastAsia"/>
                      <w:lang w:val="en-US" w:eastAsia="zh-CN"/>
                    </w:rPr>
                  </w:pPr>
                  <w:r>
                    <w:rPr>
                      <w:rFonts w:hint="eastAsia"/>
                    </w:rPr>
                    <w:t>10</w:t>
                  </w:r>
                  <w:r>
                    <w:t>kg</w:t>
                  </w:r>
                </w:p>
              </w:tc>
              <w:tc>
                <w:tcPr>
                  <w:tcW w:w="521" w:type="pct"/>
                  <w:vAlign w:val="center"/>
                </w:tcPr>
                <w:p w14:paraId="04261547">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206BC780">
                  <w:pPr>
                    <w:pStyle w:val="41"/>
                    <w:bidi w:val="0"/>
                    <w:rPr>
                      <w:rFonts w:hint="eastAsia"/>
                      <w:lang w:val="en-US" w:eastAsia="zh-CN"/>
                    </w:rPr>
                  </w:pPr>
                </w:p>
              </w:tc>
            </w:tr>
            <w:tr w14:paraId="54B86B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31E9349D">
                  <w:pPr>
                    <w:pStyle w:val="41"/>
                    <w:numPr>
                      <w:ilvl w:val="0"/>
                      <w:numId w:val="13"/>
                    </w:numPr>
                    <w:bidi w:val="0"/>
                    <w:ind w:left="454" w:leftChars="0" w:hanging="454" w:firstLineChars="0"/>
                    <w:jc w:val="center"/>
                    <w:rPr>
                      <w:rFonts w:hint="eastAsia"/>
                    </w:rPr>
                  </w:pPr>
                </w:p>
              </w:tc>
              <w:tc>
                <w:tcPr>
                  <w:tcW w:w="864" w:type="pct"/>
                  <w:vAlign w:val="center"/>
                </w:tcPr>
                <w:p w14:paraId="452A56B3">
                  <w:pPr>
                    <w:pStyle w:val="41"/>
                    <w:bidi w:val="0"/>
                    <w:rPr>
                      <w:rFonts w:hint="default"/>
                      <w:lang w:val="en-US" w:eastAsia="zh-CN"/>
                    </w:rPr>
                  </w:pPr>
                  <w:r>
                    <w:t>磷酸氢二钠</w:t>
                  </w:r>
                </w:p>
              </w:tc>
              <w:tc>
                <w:tcPr>
                  <w:tcW w:w="669" w:type="pct"/>
                  <w:shd w:val="clear" w:color="auto" w:fill="auto"/>
                  <w:vAlign w:val="center"/>
                </w:tcPr>
                <w:p w14:paraId="09A6AC54">
                  <w:pPr>
                    <w:pStyle w:val="41"/>
                    <w:bidi w:val="0"/>
                    <w:rPr>
                      <w:rFonts w:hint="default"/>
                      <w:lang w:val="en-US" w:eastAsia="zh-CN"/>
                    </w:rPr>
                  </w:pPr>
                  <w:r>
                    <w:rPr>
                      <w:rFonts w:hint="eastAsia"/>
                      <w:lang w:val="en-US" w:eastAsia="zh-CN"/>
                    </w:rPr>
                    <w:t>99.99%</w:t>
                  </w:r>
                </w:p>
              </w:tc>
              <w:tc>
                <w:tcPr>
                  <w:tcW w:w="687" w:type="pct"/>
                  <w:vAlign w:val="center"/>
                </w:tcPr>
                <w:p w14:paraId="1A3FE901">
                  <w:pPr>
                    <w:pStyle w:val="41"/>
                    <w:bidi w:val="0"/>
                    <w:rPr>
                      <w:rFonts w:hint="eastAsia"/>
                      <w:lang w:val="en-US" w:eastAsia="zh-CN"/>
                    </w:rPr>
                  </w:pPr>
                  <w:r>
                    <w:rPr>
                      <w:rFonts w:hint="eastAsia"/>
                      <w:lang w:val="en-US" w:eastAsia="zh-CN"/>
                    </w:rPr>
                    <w:t>500g/瓶</w:t>
                  </w:r>
                </w:p>
              </w:tc>
              <w:tc>
                <w:tcPr>
                  <w:tcW w:w="771" w:type="pct"/>
                  <w:vAlign w:val="center"/>
                </w:tcPr>
                <w:p w14:paraId="264AEC4A">
                  <w:pPr>
                    <w:pStyle w:val="41"/>
                    <w:bidi w:val="0"/>
                    <w:rPr>
                      <w:rFonts w:hint="eastAsia"/>
                      <w:lang w:val="en-US" w:eastAsia="zh-CN"/>
                    </w:rPr>
                  </w:pPr>
                  <w:r>
                    <w:rPr>
                      <w:rFonts w:hint="eastAsia"/>
                    </w:rPr>
                    <w:t>20</w:t>
                  </w:r>
                  <w:r>
                    <w:t>kg</w:t>
                  </w:r>
                </w:p>
              </w:tc>
              <w:tc>
                <w:tcPr>
                  <w:tcW w:w="740" w:type="pct"/>
                  <w:vAlign w:val="center"/>
                </w:tcPr>
                <w:p w14:paraId="42792AFF">
                  <w:pPr>
                    <w:pStyle w:val="41"/>
                    <w:bidi w:val="0"/>
                    <w:rPr>
                      <w:rFonts w:hint="eastAsia"/>
                      <w:lang w:val="en-US" w:eastAsia="zh-CN"/>
                    </w:rPr>
                  </w:pPr>
                  <w:r>
                    <w:rPr>
                      <w:rFonts w:hint="eastAsia"/>
                    </w:rPr>
                    <w:t>15</w:t>
                  </w:r>
                  <w:r>
                    <w:t>kg</w:t>
                  </w:r>
                </w:p>
              </w:tc>
              <w:tc>
                <w:tcPr>
                  <w:tcW w:w="521" w:type="pct"/>
                  <w:vAlign w:val="center"/>
                </w:tcPr>
                <w:p w14:paraId="4F4246C0">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6F8B674E">
                  <w:pPr>
                    <w:pStyle w:val="41"/>
                    <w:bidi w:val="0"/>
                    <w:rPr>
                      <w:rFonts w:hint="eastAsia"/>
                      <w:lang w:val="en-US" w:eastAsia="zh-CN"/>
                    </w:rPr>
                  </w:pPr>
                </w:p>
              </w:tc>
            </w:tr>
            <w:tr w14:paraId="02E062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97AD475">
                  <w:pPr>
                    <w:pStyle w:val="41"/>
                    <w:numPr>
                      <w:ilvl w:val="0"/>
                      <w:numId w:val="13"/>
                    </w:numPr>
                    <w:bidi w:val="0"/>
                    <w:ind w:left="454" w:leftChars="0" w:hanging="454" w:firstLineChars="0"/>
                    <w:jc w:val="center"/>
                    <w:rPr>
                      <w:rFonts w:hint="eastAsia"/>
                    </w:rPr>
                  </w:pPr>
                </w:p>
              </w:tc>
              <w:tc>
                <w:tcPr>
                  <w:tcW w:w="864" w:type="pct"/>
                  <w:vAlign w:val="center"/>
                </w:tcPr>
                <w:p w14:paraId="3B63718B">
                  <w:pPr>
                    <w:pStyle w:val="41"/>
                    <w:bidi w:val="0"/>
                    <w:rPr>
                      <w:rFonts w:hint="default"/>
                      <w:lang w:val="en-US" w:eastAsia="zh-CN"/>
                    </w:rPr>
                  </w:pPr>
                  <w:r>
                    <w:t>氯化钠</w:t>
                  </w:r>
                </w:p>
              </w:tc>
              <w:tc>
                <w:tcPr>
                  <w:tcW w:w="669" w:type="pct"/>
                  <w:shd w:val="clear" w:color="auto" w:fill="auto"/>
                  <w:vAlign w:val="center"/>
                </w:tcPr>
                <w:p w14:paraId="18F9EA9A">
                  <w:pPr>
                    <w:pStyle w:val="41"/>
                    <w:bidi w:val="0"/>
                    <w:rPr>
                      <w:rFonts w:hint="eastAsia"/>
                      <w:lang w:val="en-US" w:eastAsia="zh-CN"/>
                    </w:rPr>
                  </w:pPr>
                  <w:r>
                    <w:rPr>
                      <w:rFonts w:hint="eastAsia"/>
                      <w:lang w:val="en-US" w:eastAsia="zh-CN"/>
                    </w:rPr>
                    <w:t>99.99%</w:t>
                  </w:r>
                </w:p>
              </w:tc>
              <w:tc>
                <w:tcPr>
                  <w:tcW w:w="687" w:type="pct"/>
                  <w:vAlign w:val="center"/>
                </w:tcPr>
                <w:p w14:paraId="7D9952E2">
                  <w:pPr>
                    <w:pStyle w:val="41"/>
                    <w:bidi w:val="0"/>
                    <w:rPr>
                      <w:rFonts w:hint="eastAsia"/>
                      <w:lang w:val="en-US" w:eastAsia="zh-CN"/>
                    </w:rPr>
                  </w:pPr>
                  <w:r>
                    <w:rPr>
                      <w:rFonts w:hint="eastAsia"/>
                      <w:lang w:val="en-US" w:eastAsia="zh-CN"/>
                    </w:rPr>
                    <w:t>500g/瓶</w:t>
                  </w:r>
                </w:p>
              </w:tc>
              <w:tc>
                <w:tcPr>
                  <w:tcW w:w="771" w:type="pct"/>
                  <w:vAlign w:val="center"/>
                </w:tcPr>
                <w:p w14:paraId="2DFDE39C">
                  <w:pPr>
                    <w:pStyle w:val="41"/>
                    <w:bidi w:val="0"/>
                    <w:rPr>
                      <w:rFonts w:hint="eastAsia"/>
                      <w:lang w:val="en-US" w:eastAsia="zh-CN"/>
                    </w:rPr>
                  </w:pPr>
                  <w:r>
                    <w:t>50kg</w:t>
                  </w:r>
                </w:p>
              </w:tc>
              <w:tc>
                <w:tcPr>
                  <w:tcW w:w="740" w:type="pct"/>
                  <w:vAlign w:val="center"/>
                </w:tcPr>
                <w:p w14:paraId="40D424D1">
                  <w:pPr>
                    <w:pStyle w:val="41"/>
                    <w:bidi w:val="0"/>
                    <w:rPr>
                      <w:rFonts w:hint="eastAsia"/>
                      <w:lang w:val="en-US" w:eastAsia="zh-CN"/>
                    </w:rPr>
                  </w:pPr>
                  <w:r>
                    <w:rPr>
                      <w:rFonts w:hint="eastAsia"/>
                    </w:rPr>
                    <w:t>50</w:t>
                  </w:r>
                  <w:r>
                    <w:t>kg</w:t>
                  </w:r>
                </w:p>
              </w:tc>
              <w:tc>
                <w:tcPr>
                  <w:tcW w:w="521" w:type="pct"/>
                  <w:vAlign w:val="center"/>
                </w:tcPr>
                <w:p w14:paraId="05781B25">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58DBAA7C">
                  <w:pPr>
                    <w:pStyle w:val="41"/>
                    <w:bidi w:val="0"/>
                    <w:rPr>
                      <w:rFonts w:hint="eastAsia"/>
                      <w:lang w:val="en-US" w:eastAsia="zh-CN"/>
                    </w:rPr>
                  </w:pPr>
                </w:p>
              </w:tc>
            </w:tr>
            <w:tr w14:paraId="434305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68BC0D3">
                  <w:pPr>
                    <w:pStyle w:val="41"/>
                    <w:numPr>
                      <w:ilvl w:val="0"/>
                      <w:numId w:val="13"/>
                    </w:numPr>
                    <w:bidi w:val="0"/>
                    <w:ind w:left="454" w:leftChars="0" w:hanging="454" w:firstLineChars="0"/>
                    <w:jc w:val="center"/>
                    <w:rPr>
                      <w:rFonts w:hint="eastAsia"/>
                    </w:rPr>
                  </w:pPr>
                </w:p>
              </w:tc>
              <w:tc>
                <w:tcPr>
                  <w:tcW w:w="864" w:type="pct"/>
                  <w:vAlign w:val="center"/>
                </w:tcPr>
                <w:p w14:paraId="71A38F61">
                  <w:pPr>
                    <w:pStyle w:val="41"/>
                    <w:bidi w:val="0"/>
                    <w:rPr>
                      <w:rFonts w:hint="default"/>
                      <w:lang w:val="en-US" w:eastAsia="zh-CN"/>
                    </w:rPr>
                  </w:pPr>
                  <w:r>
                    <w:t>柠檬酸</w:t>
                  </w:r>
                </w:p>
              </w:tc>
              <w:tc>
                <w:tcPr>
                  <w:tcW w:w="669" w:type="pct"/>
                  <w:shd w:val="clear" w:color="auto" w:fill="auto"/>
                  <w:vAlign w:val="center"/>
                </w:tcPr>
                <w:p w14:paraId="4E8DCBAD">
                  <w:pPr>
                    <w:pStyle w:val="41"/>
                    <w:bidi w:val="0"/>
                    <w:rPr>
                      <w:rFonts w:hint="default"/>
                      <w:lang w:val="en-US" w:eastAsia="zh-CN"/>
                    </w:rPr>
                  </w:pPr>
                  <w:r>
                    <w:rPr>
                      <w:rFonts w:hint="eastAsia"/>
                      <w:lang w:val="en-US" w:eastAsia="zh-CN"/>
                    </w:rPr>
                    <w:t>99.99%</w:t>
                  </w:r>
                </w:p>
              </w:tc>
              <w:tc>
                <w:tcPr>
                  <w:tcW w:w="687" w:type="pct"/>
                  <w:vAlign w:val="center"/>
                </w:tcPr>
                <w:p w14:paraId="738A1B48">
                  <w:pPr>
                    <w:pStyle w:val="41"/>
                    <w:bidi w:val="0"/>
                    <w:rPr>
                      <w:rFonts w:hint="eastAsia"/>
                      <w:lang w:val="en-US" w:eastAsia="zh-CN"/>
                    </w:rPr>
                  </w:pPr>
                  <w:r>
                    <w:rPr>
                      <w:rFonts w:hint="eastAsia"/>
                      <w:lang w:val="en-US" w:eastAsia="zh-CN"/>
                    </w:rPr>
                    <w:t>500g/瓶</w:t>
                  </w:r>
                </w:p>
              </w:tc>
              <w:tc>
                <w:tcPr>
                  <w:tcW w:w="771" w:type="pct"/>
                  <w:vAlign w:val="center"/>
                </w:tcPr>
                <w:p w14:paraId="0531CC55">
                  <w:pPr>
                    <w:pStyle w:val="41"/>
                    <w:bidi w:val="0"/>
                    <w:rPr>
                      <w:rFonts w:hint="eastAsia"/>
                      <w:lang w:val="en-US" w:eastAsia="zh-CN"/>
                    </w:rPr>
                  </w:pPr>
                  <w:r>
                    <w:t>50kg</w:t>
                  </w:r>
                </w:p>
              </w:tc>
              <w:tc>
                <w:tcPr>
                  <w:tcW w:w="740" w:type="pct"/>
                  <w:vAlign w:val="center"/>
                </w:tcPr>
                <w:p w14:paraId="0B974974">
                  <w:pPr>
                    <w:pStyle w:val="41"/>
                    <w:bidi w:val="0"/>
                    <w:rPr>
                      <w:rFonts w:hint="eastAsia"/>
                      <w:lang w:val="en-US" w:eastAsia="zh-CN"/>
                    </w:rPr>
                  </w:pPr>
                  <w:r>
                    <w:rPr>
                      <w:rFonts w:hint="eastAsia"/>
                    </w:rPr>
                    <w:t>50</w:t>
                  </w:r>
                  <w:r>
                    <w:t>kg</w:t>
                  </w:r>
                </w:p>
              </w:tc>
              <w:tc>
                <w:tcPr>
                  <w:tcW w:w="521" w:type="pct"/>
                  <w:vAlign w:val="center"/>
                </w:tcPr>
                <w:p w14:paraId="6F464AA1">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1BC8B23E">
                  <w:pPr>
                    <w:pStyle w:val="41"/>
                    <w:bidi w:val="0"/>
                    <w:rPr>
                      <w:rFonts w:hint="eastAsia"/>
                      <w:lang w:val="en-US" w:eastAsia="zh-CN"/>
                    </w:rPr>
                  </w:pPr>
                </w:p>
              </w:tc>
            </w:tr>
            <w:tr w14:paraId="314DE8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2C3F53BC">
                  <w:pPr>
                    <w:pStyle w:val="41"/>
                    <w:numPr>
                      <w:ilvl w:val="0"/>
                      <w:numId w:val="13"/>
                    </w:numPr>
                    <w:bidi w:val="0"/>
                    <w:ind w:left="454" w:leftChars="0" w:hanging="454" w:firstLineChars="0"/>
                    <w:jc w:val="center"/>
                    <w:rPr>
                      <w:rFonts w:hint="eastAsia"/>
                    </w:rPr>
                  </w:pPr>
                </w:p>
              </w:tc>
              <w:tc>
                <w:tcPr>
                  <w:tcW w:w="864" w:type="pct"/>
                  <w:vAlign w:val="center"/>
                </w:tcPr>
                <w:p w14:paraId="5D96A8DE">
                  <w:pPr>
                    <w:pStyle w:val="41"/>
                    <w:bidi w:val="0"/>
                    <w:rPr>
                      <w:rFonts w:hint="default"/>
                      <w:lang w:val="en-US" w:eastAsia="zh-CN"/>
                    </w:rPr>
                  </w:pPr>
                  <w:r>
                    <w:t>Tris-base</w:t>
                  </w:r>
                  <w:r>
                    <w:rPr>
                      <w:rFonts w:hint="eastAsia"/>
                      <w:lang w:eastAsia="zh-CN"/>
                    </w:rPr>
                    <w:t>（</w:t>
                  </w:r>
                  <w:r>
                    <w:t>三羟甲基</w:t>
                  </w:r>
                  <w:r>
                    <w:rPr>
                      <w:rFonts w:hint="eastAsia"/>
                      <w:lang w:eastAsia="zh-CN"/>
                    </w:rPr>
                    <w:t>氨基</w:t>
                  </w:r>
                  <w:r>
                    <w:t>甲烷</w:t>
                  </w:r>
                  <w:r>
                    <w:rPr>
                      <w:rFonts w:hint="eastAsia"/>
                      <w:lang w:eastAsia="zh-CN"/>
                    </w:rPr>
                    <w:t>）</w:t>
                  </w:r>
                </w:p>
              </w:tc>
              <w:tc>
                <w:tcPr>
                  <w:tcW w:w="669" w:type="pct"/>
                  <w:shd w:val="clear" w:color="auto" w:fill="auto"/>
                  <w:vAlign w:val="center"/>
                </w:tcPr>
                <w:p w14:paraId="1327D519">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99.5%</w:t>
                  </w:r>
                </w:p>
              </w:tc>
              <w:tc>
                <w:tcPr>
                  <w:tcW w:w="687" w:type="pct"/>
                  <w:vAlign w:val="center"/>
                </w:tcPr>
                <w:p w14:paraId="67BFFF67">
                  <w:pPr>
                    <w:pStyle w:val="41"/>
                    <w:bidi w:val="0"/>
                    <w:rPr>
                      <w:rFonts w:hint="eastAsia"/>
                      <w:lang w:val="en-US" w:eastAsia="zh-CN"/>
                    </w:rPr>
                  </w:pPr>
                  <w:r>
                    <w:rPr>
                      <w:rFonts w:hint="eastAsia"/>
                      <w:lang w:val="en-US" w:eastAsia="zh-CN"/>
                    </w:rPr>
                    <w:t>500g/瓶</w:t>
                  </w:r>
                </w:p>
              </w:tc>
              <w:tc>
                <w:tcPr>
                  <w:tcW w:w="771" w:type="pct"/>
                  <w:vAlign w:val="center"/>
                </w:tcPr>
                <w:p w14:paraId="05C82232">
                  <w:pPr>
                    <w:pStyle w:val="41"/>
                    <w:bidi w:val="0"/>
                    <w:rPr>
                      <w:rFonts w:hint="eastAsia"/>
                      <w:lang w:val="en-US" w:eastAsia="zh-CN"/>
                    </w:rPr>
                  </w:pPr>
                  <w:r>
                    <w:t>3kg</w:t>
                  </w:r>
                </w:p>
              </w:tc>
              <w:tc>
                <w:tcPr>
                  <w:tcW w:w="740" w:type="pct"/>
                  <w:vAlign w:val="center"/>
                </w:tcPr>
                <w:p w14:paraId="5A01DE6A">
                  <w:pPr>
                    <w:pStyle w:val="41"/>
                    <w:bidi w:val="0"/>
                    <w:rPr>
                      <w:rFonts w:hint="eastAsia"/>
                      <w:lang w:val="en-US" w:eastAsia="zh-CN"/>
                    </w:rPr>
                  </w:pPr>
                  <w:r>
                    <w:rPr>
                      <w:rFonts w:hint="eastAsia"/>
                      <w:lang w:val="en-US" w:eastAsia="zh-CN"/>
                    </w:rPr>
                    <w:t>3</w:t>
                  </w:r>
                  <w:r>
                    <w:t>kg</w:t>
                  </w:r>
                </w:p>
              </w:tc>
              <w:tc>
                <w:tcPr>
                  <w:tcW w:w="521" w:type="pct"/>
                  <w:vAlign w:val="center"/>
                </w:tcPr>
                <w:p w14:paraId="785BA5BD">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628E78D1">
                  <w:pPr>
                    <w:pStyle w:val="41"/>
                    <w:bidi w:val="0"/>
                    <w:rPr>
                      <w:rFonts w:hint="eastAsia"/>
                      <w:lang w:val="en-US" w:eastAsia="zh-CN"/>
                    </w:rPr>
                  </w:pPr>
                </w:p>
              </w:tc>
            </w:tr>
            <w:tr w14:paraId="54B486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96" w:type="pct"/>
                  <w:vAlign w:val="center"/>
                </w:tcPr>
                <w:p w14:paraId="02948491">
                  <w:pPr>
                    <w:pStyle w:val="41"/>
                    <w:numPr>
                      <w:ilvl w:val="0"/>
                      <w:numId w:val="13"/>
                    </w:numPr>
                    <w:bidi w:val="0"/>
                    <w:ind w:left="454" w:leftChars="0" w:hanging="454" w:firstLineChars="0"/>
                    <w:jc w:val="center"/>
                    <w:rPr>
                      <w:rFonts w:hint="eastAsia"/>
                    </w:rPr>
                  </w:pPr>
                </w:p>
              </w:tc>
              <w:tc>
                <w:tcPr>
                  <w:tcW w:w="864" w:type="pct"/>
                  <w:vAlign w:val="center"/>
                </w:tcPr>
                <w:p w14:paraId="0E7FFA52">
                  <w:pPr>
                    <w:pStyle w:val="41"/>
                    <w:bidi w:val="0"/>
                    <w:rPr>
                      <w:rFonts w:hint="default"/>
                      <w:lang w:val="en-US" w:eastAsia="zh-CN"/>
                    </w:rPr>
                  </w:pPr>
                  <w:r>
                    <w:t>种细胞</w:t>
                  </w:r>
                </w:p>
              </w:tc>
              <w:tc>
                <w:tcPr>
                  <w:tcW w:w="669" w:type="pct"/>
                  <w:vAlign w:val="center"/>
                </w:tcPr>
                <w:p w14:paraId="03636F3C">
                  <w:pPr>
                    <w:pStyle w:val="41"/>
                    <w:bidi w:val="0"/>
                    <w:rPr>
                      <w:rFonts w:hint="eastAsia" w:eastAsia="宋体"/>
                      <w:lang w:val="en-US" w:eastAsia="zh-CN"/>
                    </w:rPr>
                  </w:pPr>
                  <w:r>
                    <w:rPr>
                      <w:rFonts w:hint="eastAsia"/>
                      <w:lang w:val="en-US" w:eastAsia="zh-CN"/>
                    </w:rPr>
                    <w:t>/</w:t>
                  </w:r>
                </w:p>
              </w:tc>
              <w:tc>
                <w:tcPr>
                  <w:tcW w:w="687" w:type="pct"/>
                  <w:vAlign w:val="center"/>
                </w:tcPr>
                <w:p w14:paraId="3AC95C21">
                  <w:pPr>
                    <w:pStyle w:val="41"/>
                    <w:bidi w:val="0"/>
                    <w:rPr>
                      <w:rFonts w:hint="eastAsia"/>
                      <w:lang w:val="en-US" w:eastAsia="zh-CN"/>
                    </w:rPr>
                  </w:pPr>
                  <w:r>
                    <w:rPr>
                      <w:rFonts w:hint="eastAsia"/>
                      <w:lang w:val="en-US" w:eastAsia="zh-CN"/>
                    </w:rPr>
                    <w:t>10g/瓶</w:t>
                  </w:r>
                </w:p>
              </w:tc>
              <w:tc>
                <w:tcPr>
                  <w:tcW w:w="771" w:type="pct"/>
                  <w:vAlign w:val="center"/>
                </w:tcPr>
                <w:p w14:paraId="4F1F56CE">
                  <w:pPr>
                    <w:pStyle w:val="41"/>
                    <w:bidi w:val="0"/>
                    <w:rPr>
                      <w:rFonts w:hint="eastAsia"/>
                      <w:lang w:val="en-US" w:eastAsia="zh-CN"/>
                    </w:rPr>
                  </w:pPr>
                  <w:r>
                    <w:rPr>
                      <w:rFonts w:hint="eastAsia"/>
                    </w:rPr>
                    <w:t>0.2</w:t>
                  </w:r>
                  <w:r>
                    <w:t>kg</w:t>
                  </w:r>
                </w:p>
              </w:tc>
              <w:tc>
                <w:tcPr>
                  <w:tcW w:w="740" w:type="pct"/>
                  <w:vAlign w:val="center"/>
                </w:tcPr>
                <w:p w14:paraId="7C11C891">
                  <w:pPr>
                    <w:pStyle w:val="41"/>
                    <w:bidi w:val="0"/>
                    <w:rPr>
                      <w:rFonts w:hint="eastAsia"/>
                      <w:lang w:val="en-US" w:eastAsia="zh-CN"/>
                    </w:rPr>
                  </w:pPr>
                  <w:r>
                    <w:rPr>
                      <w:rFonts w:hint="eastAsia"/>
                    </w:rPr>
                    <w:t>0.1</w:t>
                  </w:r>
                  <w:r>
                    <w:t>kg</w:t>
                  </w:r>
                </w:p>
              </w:tc>
              <w:tc>
                <w:tcPr>
                  <w:tcW w:w="521" w:type="pct"/>
                  <w:vAlign w:val="center"/>
                </w:tcPr>
                <w:p w14:paraId="15AE36B0">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4E351AEC">
                  <w:pPr>
                    <w:pStyle w:val="41"/>
                    <w:bidi w:val="0"/>
                    <w:rPr>
                      <w:rFonts w:hint="eastAsia"/>
                      <w:lang w:val="en-US" w:eastAsia="zh-CN"/>
                    </w:rPr>
                  </w:pPr>
                </w:p>
              </w:tc>
            </w:tr>
            <w:tr w14:paraId="417BBB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27CC2CA">
                  <w:pPr>
                    <w:pStyle w:val="41"/>
                    <w:numPr>
                      <w:ilvl w:val="0"/>
                      <w:numId w:val="13"/>
                    </w:numPr>
                    <w:bidi w:val="0"/>
                    <w:ind w:left="454" w:leftChars="0" w:hanging="454" w:firstLineChars="0"/>
                    <w:jc w:val="center"/>
                    <w:rPr>
                      <w:rFonts w:hint="eastAsia"/>
                    </w:rPr>
                  </w:pPr>
                </w:p>
              </w:tc>
              <w:tc>
                <w:tcPr>
                  <w:tcW w:w="864" w:type="pct"/>
                  <w:vAlign w:val="center"/>
                </w:tcPr>
                <w:p w14:paraId="757C44CA">
                  <w:pPr>
                    <w:pStyle w:val="41"/>
                    <w:bidi w:val="0"/>
                    <w:rPr>
                      <w:rFonts w:hint="default"/>
                      <w:lang w:val="en-US" w:eastAsia="zh-CN"/>
                    </w:rPr>
                  </w:pPr>
                  <w:r>
                    <w:t>氨芐西林三水</w:t>
                  </w:r>
                </w:p>
              </w:tc>
              <w:tc>
                <w:tcPr>
                  <w:tcW w:w="669" w:type="pct"/>
                  <w:shd w:val="clear" w:color="auto" w:fill="auto"/>
                  <w:vAlign w:val="center"/>
                </w:tcPr>
                <w:p w14:paraId="4F58287F">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96%</w:t>
                  </w:r>
                </w:p>
              </w:tc>
              <w:tc>
                <w:tcPr>
                  <w:tcW w:w="687" w:type="pct"/>
                  <w:vAlign w:val="center"/>
                </w:tcPr>
                <w:p w14:paraId="2C61AF05">
                  <w:pPr>
                    <w:pStyle w:val="41"/>
                    <w:bidi w:val="0"/>
                    <w:rPr>
                      <w:rFonts w:hint="default"/>
                      <w:lang w:val="en-US" w:eastAsia="zh-CN"/>
                    </w:rPr>
                  </w:pPr>
                  <w:r>
                    <w:t>0.5g</w:t>
                  </w:r>
                  <w:r>
                    <w:rPr>
                      <w:rFonts w:hint="eastAsia"/>
                      <w:lang w:val="en-US" w:eastAsia="zh-CN"/>
                    </w:rPr>
                    <w:t>/袋</w:t>
                  </w:r>
                </w:p>
              </w:tc>
              <w:tc>
                <w:tcPr>
                  <w:tcW w:w="771" w:type="pct"/>
                  <w:vAlign w:val="center"/>
                </w:tcPr>
                <w:p w14:paraId="68D42383">
                  <w:pPr>
                    <w:pStyle w:val="41"/>
                    <w:bidi w:val="0"/>
                    <w:rPr>
                      <w:rFonts w:hint="eastAsia"/>
                      <w:lang w:val="en-US" w:eastAsia="zh-CN"/>
                    </w:rPr>
                  </w:pPr>
                  <w:r>
                    <w:t>0.5g</w:t>
                  </w:r>
                </w:p>
              </w:tc>
              <w:tc>
                <w:tcPr>
                  <w:tcW w:w="740" w:type="pct"/>
                  <w:vAlign w:val="center"/>
                </w:tcPr>
                <w:p w14:paraId="679E3280">
                  <w:pPr>
                    <w:pStyle w:val="41"/>
                    <w:bidi w:val="0"/>
                    <w:rPr>
                      <w:rFonts w:hint="eastAsia"/>
                      <w:lang w:val="en-US" w:eastAsia="zh-CN"/>
                    </w:rPr>
                  </w:pPr>
                  <w:r>
                    <w:t>0.5g</w:t>
                  </w:r>
                </w:p>
              </w:tc>
              <w:tc>
                <w:tcPr>
                  <w:tcW w:w="521" w:type="pct"/>
                  <w:vAlign w:val="center"/>
                </w:tcPr>
                <w:p w14:paraId="42441FE0">
                  <w:pPr>
                    <w:pStyle w:val="41"/>
                    <w:bidi w:val="0"/>
                    <w:rPr>
                      <w:rFonts w:hint="default"/>
                      <w:lang w:val="en-US" w:eastAsia="zh-CN"/>
                    </w:rPr>
                  </w:pPr>
                  <w:r>
                    <w:rPr>
                      <w:rFonts w:hint="eastAsia"/>
                      <w:lang w:val="en-US" w:eastAsia="zh-CN"/>
                    </w:rPr>
                    <w:t>液体</w:t>
                  </w:r>
                </w:p>
              </w:tc>
              <w:tc>
                <w:tcPr>
                  <w:tcW w:w="447" w:type="pct"/>
                  <w:vMerge w:val="continue"/>
                  <w:vAlign w:val="center"/>
                </w:tcPr>
                <w:p w14:paraId="429FCC50">
                  <w:pPr>
                    <w:pStyle w:val="41"/>
                    <w:bidi w:val="0"/>
                    <w:rPr>
                      <w:rFonts w:hint="eastAsia"/>
                      <w:lang w:val="en-US" w:eastAsia="zh-CN"/>
                    </w:rPr>
                  </w:pPr>
                </w:p>
              </w:tc>
            </w:tr>
            <w:tr w14:paraId="44242C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A4C9D7C">
                  <w:pPr>
                    <w:pStyle w:val="41"/>
                    <w:numPr>
                      <w:ilvl w:val="0"/>
                      <w:numId w:val="13"/>
                    </w:numPr>
                    <w:bidi w:val="0"/>
                    <w:ind w:left="454" w:leftChars="0" w:hanging="454" w:firstLineChars="0"/>
                    <w:jc w:val="center"/>
                    <w:rPr>
                      <w:rFonts w:hint="eastAsia"/>
                    </w:rPr>
                  </w:pPr>
                </w:p>
              </w:tc>
              <w:tc>
                <w:tcPr>
                  <w:tcW w:w="864" w:type="pct"/>
                  <w:vAlign w:val="center"/>
                </w:tcPr>
                <w:p w14:paraId="2F8C5D07">
                  <w:pPr>
                    <w:pStyle w:val="41"/>
                    <w:bidi w:val="0"/>
                    <w:rPr>
                      <w:rFonts w:hint="default"/>
                      <w:lang w:val="en-US" w:eastAsia="zh-CN"/>
                    </w:rPr>
                  </w:pPr>
                  <w:r>
                    <w:t>阿莫西林</w:t>
                  </w:r>
                </w:p>
              </w:tc>
              <w:tc>
                <w:tcPr>
                  <w:tcW w:w="669" w:type="pct"/>
                  <w:shd w:val="clear" w:color="auto" w:fill="auto"/>
                  <w:vAlign w:val="center"/>
                </w:tcPr>
                <w:p w14:paraId="4E6A58E4">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w:t>
                  </w:r>
                </w:p>
              </w:tc>
              <w:tc>
                <w:tcPr>
                  <w:tcW w:w="687" w:type="pct"/>
                  <w:vAlign w:val="center"/>
                </w:tcPr>
                <w:p w14:paraId="0A3DA7A2">
                  <w:pPr>
                    <w:pStyle w:val="41"/>
                    <w:bidi w:val="0"/>
                    <w:rPr>
                      <w:rFonts w:hint="eastAsia"/>
                      <w:lang w:val="en-US" w:eastAsia="zh-CN"/>
                    </w:rPr>
                  </w:pPr>
                  <w:r>
                    <w:t>0.5g</w:t>
                  </w:r>
                  <w:r>
                    <w:rPr>
                      <w:rFonts w:hint="eastAsia"/>
                      <w:lang w:val="en-US" w:eastAsia="zh-CN"/>
                    </w:rPr>
                    <w:t>/袋</w:t>
                  </w:r>
                </w:p>
              </w:tc>
              <w:tc>
                <w:tcPr>
                  <w:tcW w:w="771" w:type="pct"/>
                  <w:vAlign w:val="center"/>
                </w:tcPr>
                <w:p w14:paraId="2D706891">
                  <w:pPr>
                    <w:pStyle w:val="41"/>
                    <w:bidi w:val="0"/>
                    <w:rPr>
                      <w:rFonts w:hint="eastAsia"/>
                      <w:lang w:val="en-US" w:eastAsia="zh-CN"/>
                    </w:rPr>
                  </w:pPr>
                  <w:r>
                    <w:t>0.5g</w:t>
                  </w:r>
                </w:p>
              </w:tc>
              <w:tc>
                <w:tcPr>
                  <w:tcW w:w="740" w:type="pct"/>
                  <w:vAlign w:val="center"/>
                </w:tcPr>
                <w:p w14:paraId="3808569C">
                  <w:pPr>
                    <w:pStyle w:val="41"/>
                    <w:bidi w:val="0"/>
                    <w:rPr>
                      <w:rFonts w:hint="eastAsia"/>
                      <w:lang w:val="en-US" w:eastAsia="zh-CN"/>
                    </w:rPr>
                  </w:pPr>
                  <w:r>
                    <w:t>0.5g</w:t>
                  </w:r>
                </w:p>
              </w:tc>
              <w:tc>
                <w:tcPr>
                  <w:tcW w:w="521" w:type="pct"/>
                  <w:vAlign w:val="center"/>
                </w:tcPr>
                <w:p w14:paraId="10BA8FDD">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5B2FC6CC">
                  <w:pPr>
                    <w:pStyle w:val="41"/>
                    <w:bidi w:val="0"/>
                    <w:rPr>
                      <w:rFonts w:hint="eastAsia"/>
                      <w:lang w:val="en-US" w:eastAsia="zh-CN"/>
                    </w:rPr>
                  </w:pPr>
                </w:p>
              </w:tc>
            </w:tr>
            <w:tr w14:paraId="4C1D50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B444407">
                  <w:pPr>
                    <w:pStyle w:val="41"/>
                    <w:numPr>
                      <w:ilvl w:val="0"/>
                      <w:numId w:val="13"/>
                    </w:numPr>
                    <w:bidi w:val="0"/>
                    <w:ind w:left="454" w:leftChars="0" w:hanging="454" w:firstLineChars="0"/>
                    <w:jc w:val="center"/>
                    <w:rPr>
                      <w:rFonts w:hint="eastAsia"/>
                    </w:rPr>
                  </w:pPr>
                </w:p>
              </w:tc>
              <w:tc>
                <w:tcPr>
                  <w:tcW w:w="864" w:type="pct"/>
                  <w:vAlign w:val="center"/>
                </w:tcPr>
                <w:p w14:paraId="5ED2691F">
                  <w:pPr>
                    <w:pStyle w:val="41"/>
                    <w:bidi w:val="0"/>
                    <w:rPr>
                      <w:rFonts w:hint="default"/>
                      <w:lang w:val="en-US" w:eastAsia="zh-CN"/>
                    </w:rPr>
                  </w:pPr>
                  <w:r>
                    <w:rPr>
                      <w:rFonts w:hint="eastAsia"/>
                      <w:lang w:eastAsia="zh-CN"/>
                    </w:rPr>
                    <w:t>苯</w:t>
                  </w:r>
                  <w:r>
                    <w:t>唑西林钠</w:t>
                  </w:r>
                </w:p>
              </w:tc>
              <w:tc>
                <w:tcPr>
                  <w:tcW w:w="669" w:type="pct"/>
                  <w:vAlign w:val="center"/>
                </w:tcPr>
                <w:p w14:paraId="35B76A02">
                  <w:pPr>
                    <w:pStyle w:val="41"/>
                    <w:bidi w:val="0"/>
                    <w:rPr>
                      <w:rFonts w:hint="default"/>
                      <w:lang w:val="en-US" w:eastAsia="zh-CN"/>
                    </w:rPr>
                  </w:pPr>
                  <w:r>
                    <w:rPr>
                      <w:rFonts w:hint="eastAsia"/>
                      <w:lang w:val="en-US" w:eastAsia="zh-CN"/>
                    </w:rPr>
                    <w:t>/</w:t>
                  </w:r>
                </w:p>
              </w:tc>
              <w:tc>
                <w:tcPr>
                  <w:tcW w:w="687" w:type="pct"/>
                  <w:vAlign w:val="center"/>
                </w:tcPr>
                <w:p w14:paraId="662927B7">
                  <w:pPr>
                    <w:pStyle w:val="41"/>
                    <w:bidi w:val="0"/>
                    <w:rPr>
                      <w:rFonts w:hint="eastAsia"/>
                      <w:lang w:val="en-US" w:eastAsia="zh-CN"/>
                    </w:rPr>
                  </w:pPr>
                  <w:r>
                    <w:t>0.5g</w:t>
                  </w:r>
                  <w:r>
                    <w:rPr>
                      <w:rFonts w:hint="eastAsia"/>
                      <w:lang w:val="en-US" w:eastAsia="zh-CN"/>
                    </w:rPr>
                    <w:t>/袋</w:t>
                  </w:r>
                </w:p>
              </w:tc>
              <w:tc>
                <w:tcPr>
                  <w:tcW w:w="771" w:type="pct"/>
                  <w:vAlign w:val="center"/>
                </w:tcPr>
                <w:p w14:paraId="1D628EA3">
                  <w:pPr>
                    <w:pStyle w:val="41"/>
                    <w:bidi w:val="0"/>
                    <w:rPr>
                      <w:rFonts w:hint="eastAsia"/>
                      <w:lang w:val="en-US" w:eastAsia="zh-CN"/>
                    </w:rPr>
                  </w:pPr>
                  <w:r>
                    <w:t>0.5g</w:t>
                  </w:r>
                </w:p>
              </w:tc>
              <w:tc>
                <w:tcPr>
                  <w:tcW w:w="740" w:type="pct"/>
                  <w:vAlign w:val="center"/>
                </w:tcPr>
                <w:p w14:paraId="2936AFFD">
                  <w:pPr>
                    <w:pStyle w:val="41"/>
                    <w:bidi w:val="0"/>
                    <w:rPr>
                      <w:rFonts w:hint="eastAsia"/>
                      <w:lang w:val="en-US" w:eastAsia="zh-CN"/>
                    </w:rPr>
                  </w:pPr>
                  <w:r>
                    <w:t>0.5g</w:t>
                  </w:r>
                </w:p>
              </w:tc>
              <w:tc>
                <w:tcPr>
                  <w:tcW w:w="521" w:type="pct"/>
                  <w:vAlign w:val="center"/>
                </w:tcPr>
                <w:p w14:paraId="3A092CF5">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30A0C831">
                  <w:pPr>
                    <w:pStyle w:val="41"/>
                    <w:bidi w:val="0"/>
                    <w:rPr>
                      <w:rFonts w:hint="eastAsia"/>
                      <w:lang w:val="en-US" w:eastAsia="zh-CN"/>
                    </w:rPr>
                  </w:pPr>
                </w:p>
              </w:tc>
            </w:tr>
            <w:tr w14:paraId="35C32D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01A3A9F">
                  <w:pPr>
                    <w:pStyle w:val="41"/>
                    <w:numPr>
                      <w:ilvl w:val="0"/>
                      <w:numId w:val="13"/>
                    </w:numPr>
                    <w:bidi w:val="0"/>
                    <w:ind w:left="454" w:leftChars="0" w:hanging="454" w:firstLineChars="0"/>
                    <w:jc w:val="center"/>
                    <w:rPr>
                      <w:rFonts w:hint="eastAsia"/>
                    </w:rPr>
                  </w:pPr>
                </w:p>
              </w:tc>
              <w:tc>
                <w:tcPr>
                  <w:tcW w:w="864" w:type="pct"/>
                  <w:vAlign w:val="center"/>
                </w:tcPr>
                <w:p w14:paraId="0F708187">
                  <w:pPr>
                    <w:pStyle w:val="41"/>
                    <w:bidi w:val="0"/>
                    <w:rPr>
                      <w:rFonts w:hint="default"/>
                      <w:lang w:val="en-US" w:eastAsia="zh-CN"/>
                    </w:rPr>
                  </w:pPr>
                  <w:r>
                    <w:t>硫酸阿米卡星</w:t>
                  </w:r>
                </w:p>
              </w:tc>
              <w:tc>
                <w:tcPr>
                  <w:tcW w:w="669" w:type="pct"/>
                  <w:vAlign w:val="center"/>
                </w:tcPr>
                <w:p w14:paraId="3A3CAD6A">
                  <w:pPr>
                    <w:pStyle w:val="41"/>
                    <w:bidi w:val="0"/>
                    <w:rPr>
                      <w:rFonts w:hint="eastAsia" w:eastAsia="宋体"/>
                      <w:lang w:val="en-US" w:eastAsia="zh-CN"/>
                    </w:rPr>
                  </w:pPr>
                  <w:r>
                    <w:rPr>
                      <w:rFonts w:hint="eastAsia"/>
                      <w:lang w:val="en-US" w:eastAsia="zh-CN"/>
                    </w:rPr>
                    <w:t>/</w:t>
                  </w:r>
                </w:p>
              </w:tc>
              <w:tc>
                <w:tcPr>
                  <w:tcW w:w="687" w:type="pct"/>
                  <w:vAlign w:val="center"/>
                </w:tcPr>
                <w:p w14:paraId="5323C952">
                  <w:pPr>
                    <w:pStyle w:val="41"/>
                    <w:bidi w:val="0"/>
                    <w:rPr>
                      <w:rFonts w:hint="eastAsia"/>
                      <w:lang w:val="en-US" w:eastAsia="zh-CN"/>
                    </w:rPr>
                  </w:pPr>
                  <w:r>
                    <w:t>0.5g</w:t>
                  </w:r>
                  <w:r>
                    <w:rPr>
                      <w:rFonts w:hint="eastAsia"/>
                      <w:lang w:val="en-US" w:eastAsia="zh-CN"/>
                    </w:rPr>
                    <w:t>/袋</w:t>
                  </w:r>
                </w:p>
              </w:tc>
              <w:tc>
                <w:tcPr>
                  <w:tcW w:w="771" w:type="pct"/>
                  <w:vAlign w:val="center"/>
                </w:tcPr>
                <w:p w14:paraId="5D1DE10C">
                  <w:pPr>
                    <w:pStyle w:val="41"/>
                    <w:bidi w:val="0"/>
                    <w:rPr>
                      <w:rFonts w:hint="eastAsia"/>
                      <w:lang w:val="en-US" w:eastAsia="zh-CN"/>
                    </w:rPr>
                  </w:pPr>
                  <w:r>
                    <w:t>0.5g</w:t>
                  </w:r>
                </w:p>
              </w:tc>
              <w:tc>
                <w:tcPr>
                  <w:tcW w:w="740" w:type="pct"/>
                  <w:vAlign w:val="center"/>
                </w:tcPr>
                <w:p w14:paraId="217E0F18">
                  <w:pPr>
                    <w:pStyle w:val="41"/>
                    <w:bidi w:val="0"/>
                    <w:rPr>
                      <w:rFonts w:hint="eastAsia"/>
                      <w:lang w:val="en-US" w:eastAsia="zh-CN"/>
                    </w:rPr>
                  </w:pPr>
                  <w:r>
                    <w:t>0.5g</w:t>
                  </w:r>
                </w:p>
              </w:tc>
              <w:tc>
                <w:tcPr>
                  <w:tcW w:w="521" w:type="pct"/>
                  <w:vAlign w:val="center"/>
                </w:tcPr>
                <w:p w14:paraId="6B116B8F">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7657AC3B">
                  <w:pPr>
                    <w:pStyle w:val="41"/>
                    <w:bidi w:val="0"/>
                    <w:rPr>
                      <w:rFonts w:hint="eastAsia"/>
                      <w:lang w:val="en-US" w:eastAsia="zh-CN"/>
                    </w:rPr>
                  </w:pPr>
                </w:p>
              </w:tc>
            </w:tr>
            <w:tr w14:paraId="6F6F41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EAC1CAE">
                  <w:pPr>
                    <w:pStyle w:val="41"/>
                    <w:numPr>
                      <w:ilvl w:val="0"/>
                      <w:numId w:val="13"/>
                    </w:numPr>
                    <w:bidi w:val="0"/>
                    <w:ind w:left="454" w:leftChars="0" w:hanging="454" w:firstLineChars="0"/>
                    <w:jc w:val="center"/>
                    <w:rPr>
                      <w:rFonts w:hint="eastAsia"/>
                    </w:rPr>
                  </w:pPr>
                </w:p>
              </w:tc>
              <w:tc>
                <w:tcPr>
                  <w:tcW w:w="864" w:type="pct"/>
                  <w:vAlign w:val="center"/>
                </w:tcPr>
                <w:p w14:paraId="12046DC2">
                  <w:pPr>
                    <w:pStyle w:val="41"/>
                    <w:bidi w:val="0"/>
                    <w:rPr>
                      <w:rFonts w:hint="default"/>
                      <w:lang w:val="en-US" w:eastAsia="zh-CN"/>
                    </w:rPr>
                  </w:pPr>
                  <w:r>
                    <w:t>硫酸庆大霉素</w:t>
                  </w:r>
                </w:p>
              </w:tc>
              <w:tc>
                <w:tcPr>
                  <w:tcW w:w="669" w:type="pct"/>
                  <w:vAlign w:val="center"/>
                </w:tcPr>
                <w:p w14:paraId="3E257E5C">
                  <w:pPr>
                    <w:pStyle w:val="41"/>
                    <w:bidi w:val="0"/>
                    <w:rPr>
                      <w:rFonts w:hint="eastAsia" w:eastAsia="宋体"/>
                      <w:lang w:val="en-US" w:eastAsia="zh-CN"/>
                    </w:rPr>
                  </w:pPr>
                  <w:r>
                    <w:rPr>
                      <w:rFonts w:hint="eastAsia"/>
                      <w:lang w:val="en-US" w:eastAsia="zh-CN"/>
                    </w:rPr>
                    <w:t>/</w:t>
                  </w:r>
                </w:p>
              </w:tc>
              <w:tc>
                <w:tcPr>
                  <w:tcW w:w="687" w:type="pct"/>
                  <w:vAlign w:val="center"/>
                </w:tcPr>
                <w:p w14:paraId="3AA763E5">
                  <w:pPr>
                    <w:pStyle w:val="41"/>
                    <w:bidi w:val="0"/>
                    <w:rPr>
                      <w:rFonts w:hint="eastAsia"/>
                      <w:lang w:val="en-US" w:eastAsia="zh-CN"/>
                    </w:rPr>
                  </w:pPr>
                  <w:r>
                    <w:t>0.5g</w:t>
                  </w:r>
                  <w:r>
                    <w:rPr>
                      <w:rFonts w:hint="eastAsia"/>
                      <w:lang w:val="en-US" w:eastAsia="zh-CN"/>
                    </w:rPr>
                    <w:t>/袋</w:t>
                  </w:r>
                </w:p>
              </w:tc>
              <w:tc>
                <w:tcPr>
                  <w:tcW w:w="771" w:type="pct"/>
                  <w:vAlign w:val="center"/>
                </w:tcPr>
                <w:p w14:paraId="3AF242EF">
                  <w:pPr>
                    <w:pStyle w:val="41"/>
                    <w:bidi w:val="0"/>
                    <w:rPr>
                      <w:rFonts w:hint="eastAsia"/>
                      <w:lang w:val="en-US" w:eastAsia="zh-CN"/>
                    </w:rPr>
                  </w:pPr>
                  <w:r>
                    <w:t>0.5g</w:t>
                  </w:r>
                </w:p>
              </w:tc>
              <w:tc>
                <w:tcPr>
                  <w:tcW w:w="740" w:type="pct"/>
                  <w:vAlign w:val="center"/>
                </w:tcPr>
                <w:p w14:paraId="5703FDEC">
                  <w:pPr>
                    <w:pStyle w:val="41"/>
                    <w:bidi w:val="0"/>
                    <w:rPr>
                      <w:rFonts w:hint="eastAsia"/>
                      <w:lang w:val="en-US" w:eastAsia="zh-CN"/>
                    </w:rPr>
                  </w:pPr>
                  <w:r>
                    <w:t>0.5g</w:t>
                  </w:r>
                </w:p>
              </w:tc>
              <w:tc>
                <w:tcPr>
                  <w:tcW w:w="521" w:type="pct"/>
                  <w:vAlign w:val="center"/>
                </w:tcPr>
                <w:p w14:paraId="608488AE">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21BF3F58">
                  <w:pPr>
                    <w:pStyle w:val="41"/>
                    <w:bidi w:val="0"/>
                    <w:rPr>
                      <w:rFonts w:hint="eastAsia"/>
                      <w:lang w:val="en-US" w:eastAsia="zh-CN"/>
                    </w:rPr>
                  </w:pPr>
                </w:p>
              </w:tc>
            </w:tr>
            <w:tr w14:paraId="4D936F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08C901A">
                  <w:pPr>
                    <w:pStyle w:val="41"/>
                    <w:numPr>
                      <w:ilvl w:val="0"/>
                      <w:numId w:val="13"/>
                    </w:numPr>
                    <w:bidi w:val="0"/>
                    <w:ind w:left="454" w:leftChars="0" w:hanging="454" w:firstLineChars="0"/>
                    <w:jc w:val="center"/>
                    <w:rPr>
                      <w:rFonts w:hint="eastAsia"/>
                    </w:rPr>
                  </w:pPr>
                </w:p>
              </w:tc>
              <w:tc>
                <w:tcPr>
                  <w:tcW w:w="864" w:type="pct"/>
                  <w:vAlign w:val="center"/>
                </w:tcPr>
                <w:p w14:paraId="6947C9A1">
                  <w:pPr>
                    <w:pStyle w:val="41"/>
                    <w:bidi w:val="0"/>
                    <w:rPr>
                      <w:rFonts w:hint="default"/>
                      <w:lang w:val="en-US" w:eastAsia="zh-CN"/>
                    </w:rPr>
                  </w:pPr>
                  <w:r>
                    <w:t>硫酸奈替米星</w:t>
                  </w:r>
                </w:p>
              </w:tc>
              <w:tc>
                <w:tcPr>
                  <w:tcW w:w="669" w:type="pct"/>
                  <w:vAlign w:val="center"/>
                </w:tcPr>
                <w:p w14:paraId="7032E467">
                  <w:pPr>
                    <w:pStyle w:val="41"/>
                    <w:bidi w:val="0"/>
                    <w:rPr>
                      <w:rFonts w:hint="eastAsia" w:eastAsia="宋体"/>
                      <w:lang w:val="en-US" w:eastAsia="zh-CN"/>
                    </w:rPr>
                  </w:pPr>
                  <w:r>
                    <w:rPr>
                      <w:rFonts w:hint="eastAsia"/>
                      <w:lang w:val="en-US" w:eastAsia="zh-CN"/>
                    </w:rPr>
                    <w:t>/</w:t>
                  </w:r>
                </w:p>
              </w:tc>
              <w:tc>
                <w:tcPr>
                  <w:tcW w:w="687" w:type="pct"/>
                  <w:vAlign w:val="center"/>
                </w:tcPr>
                <w:p w14:paraId="39B73356">
                  <w:pPr>
                    <w:pStyle w:val="41"/>
                    <w:bidi w:val="0"/>
                    <w:rPr>
                      <w:rFonts w:hint="eastAsia"/>
                      <w:lang w:val="en-US" w:eastAsia="zh-CN"/>
                    </w:rPr>
                  </w:pPr>
                  <w:r>
                    <w:t>0.5g</w:t>
                  </w:r>
                  <w:r>
                    <w:rPr>
                      <w:rFonts w:hint="eastAsia"/>
                      <w:lang w:val="en-US" w:eastAsia="zh-CN"/>
                    </w:rPr>
                    <w:t>/袋</w:t>
                  </w:r>
                </w:p>
              </w:tc>
              <w:tc>
                <w:tcPr>
                  <w:tcW w:w="771" w:type="pct"/>
                  <w:vAlign w:val="center"/>
                </w:tcPr>
                <w:p w14:paraId="47C02043">
                  <w:pPr>
                    <w:pStyle w:val="41"/>
                    <w:bidi w:val="0"/>
                    <w:rPr>
                      <w:rFonts w:hint="eastAsia"/>
                      <w:lang w:val="en-US" w:eastAsia="zh-CN"/>
                    </w:rPr>
                  </w:pPr>
                  <w:r>
                    <w:t>0.5g</w:t>
                  </w:r>
                </w:p>
              </w:tc>
              <w:tc>
                <w:tcPr>
                  <w:tcW w:w="740" w:type="pct"/>
                  <w:vAlign w:val="center"/>
                </w:tcPr>
                <w:p w14:paraId="4B5C8956">
                  <w:pPr>
                    <w:pStyle w:val="41"/>
                    <w:bidi w:val="0"/>
                    <w:rPr>
                      <w:rFonts w:hint="eastAsia"/>
                      <w:lang w:val="en-US" w:eastAsia="zh-CN"/>
                    </w:rPr>
                  </w:pPr>
                  <w:r>
                    <w:t>0.5g</w:t>
                  </w:r>
                </w:p>
              </w:tc>
              <w:tc>
                <w:tcPr>
                  <w:tcW w:w="521" w:type="pct"/>
                  <w:vAlign w:val="center"/>
                </w:tcPr>
                <w:p w14:paraId="6AB33896">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25959BD3">
                  <w:pPr>
                    <w:pStyle w:val="41"/>
                    <w:bidi w:val="0"/>
                    <w:rPr>
                      <w:rFonts w:hint="eastAsia"/>
                      <w:lang w:val="en-US" w:eastAsia="zh-CN"/>
                    </w:rPr>
                  </w:pPr>
                </w:p>
              </w:tc>
            </w:tr>
            <w:tr w14:paraId="41AB33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F055A2A">
                  <w:pPr>
                    <w:pStyle w:val="41"/>
                    <w:numPr>
                      <w:ilvl w:val="0"/>
                      <w:numId w:val="13"/>
                    </w:numPr>
                    <w:bidi w:val="0"/>
                    <w:ind w:left="454" w:leftChars="0" w:hanging="454" w:firstLineChars="0"/>
                    <w:jc w:val="center"/>
                    <w:rPr>
                      <w:rFonts w:hint="eastAsia"/>
                    </w:rPr>
                  </w:pPr>
                </w:p>
              </w:tc>
              <w:tc>
                <w:tcPr>
                  <w:tcW w:w="864" w:type="pct"/>
                  <w:vAlign w:val="center"/>
                </w:tcPr>
                <w:p w14:paraId="1A0EF762">
                  <w:pPr>
                    <w:pStyle w:val="41"/>
                    <w:bidi w:val="0"/>
                    <w:rPr>
                      <w:rFonts w:hint="default"/>
                      <w:lang w:val="en-US" w:eastAsia="zh-CN"/>
                    </w:rPr>
                  </w:pPr>
                  <w:r>
                    <w:t>头孢噻吩钠</w:t>
                  </w:r>
                </w:p>
              </w:tc>
              <w:tc>
                <w:tcPr>
                  <w:tcW w:w="669" w:type="pct"/>
                  <w:vAlign w:val="center"/>
                </w:tcPr>
                <w:p w14:paraId="6290623A">
                  <w:pPr>
                    <w:pStyle w:val="41"/>
                    <w:bidi w:val="0"/>
                    <w:rPr>
                      <w:rFonts w:hint="eastAsia" w:eastAsia="宋体"/>
                      <w:lang w:val="en-US" w:eastAsia="zh-CN"/>
                    </w:rPr>
                  </w:pPr>
                  <w:r>
                    <w:rPr>
                      <w:rFonts w:hint="eastAsia"/>
                      <w:lang w:val="en-US" w:eastAsia="zh-CN"/>
                    </w:rPr>
                    <w:t>/</w:t>
                  </w:r>
                </w:p>
              </w:tc>
              <w:tc>
                <w:tcPr>
                  <w:tcW w:w="687" w:type="pct"/>
                  <w:vAlign w:val="center"/>
                </w:tcPr>
                <w:p w14:paraId="11645D44">
                  <w:pPr>
                    <w:pStyle w:val="41"/>
                    <w:bidi w:val="0"/>
                    <w:rPr>
                      <w:rFonts w:hint="eastAsia"/>
                      <w:lang w:val="en-US" w:eastAsia="zh-CN"/>
                    </w:rPr>
                  </w:pPr>
                  <w:r>
                    <w:t>0.5g</w:t>
                  </w:r>
                  <w:r>
                    <w:rPr>
                      <w:rFonts w:hint="eastAsia"/>
                      <w:lang w:val="en-US" w:eastAsia="zh-CN"/>
                    </w:rPr>
                    <w:t>/袋</w:t>
                  </w:r>
                </w:p>
              </w:tc>
              <w:tc>
                <w:tcPr>
                  <w:tcW w:w="771" w:type="pct"/>
                  <w:vAlign w:val="center"/>
                </w:tcPr>
                <w:p w14:paraId="4F74ABE1">
                  <w:pPr>
                    <w:pStyle w:val="41"/>
                    <w:bidi w:val="0"/>
                    <w:rPr>
                      <w:rFonts w:hint="eastAsia"/>
                      <w:lang w:val="en-US" w:eastAsia="zh-CN"/>
                    </w:rPr>
                  </w:pPr>
                  <w:r>
                    <w:t>0.5g</w:t>
                  </w:r>
                </w:p>
              </w:tc>
              <w:tc>
                <w:tcPr>
                  <w:tcW w:w="740" w:type="pct"/>
                  <w:vAlign w:val="center"/>
                </w:tcPr>
                <w:p w14:paraId="0429D9BE">
                  <w:pPr>
                    <w:pStyle w:val="41"/>
                    <w:bidi w:val="0"/>
                    <w:rPr>
                      <w:rFonts w:hint="eastAsia"/>
                      <w:lang w:val="en-US" w:eastAsia="zh-CN"/>
                    </w:rPr>
                  </w:pPr>
                  <w:r>
                    <w:t>0.5g</w:t>
                  </w:r>
                </w:p>
              </w:tc>
              <w:tc>
                <w:tcPr>
                  <w:tcW w:w="521" w:type="pct"/>
                  <w:vAlign w:val="center"/>
                </w:tcPr>
                <w:p w14:paraId="4B53BE14">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1CB403CB">
                  <w:pPr>
                    <w:pStyle w:val="41"/>
                    <w:bidi w:val="0"/>
                    <w:rPr>
                      <w:rFonts w:hint="eastAsia"/>
                      <w:lang w:val="en-US" w:eastAsia="zh-CN"/>
                    </w:rPr>
                  </w:pPr>
                </w:p>
              </w:tc>
            </w:tr>
            <w:tr w14:paraId="408035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CC95D06">
                  <w:pPr>
                    <w:pStyle w:val="41"/>
                    <w:numPr>
                      <w:ilvl w:val="0"/>
                      <w:numId w:val="13"/>
                    </w:numPr>
                    <w:bidi w:val="0"/>
                    <w:ind w:left="454" w:leftChars="0" w:hanging="454" w:firstLineChars="0"/>
                    <w:jc w:val="center"/>
                    <w:rPr>
                      <w:rFonts w:hint="eastAsia"/>
                    </w:rPr>
                  </w:pPr>
                </w:p>
              </w:tc>
              <w:tc>
                <w:tcPr>
                  <w:tcW w:w="864" w:type="pct"/>
                  <w:vAlign w:val="center"/>
                </w:tcPr>
                <w:p w14:paraId="7D599C23">
                  <w:pPr>
                    <w:pStyle w:val="41"/>
                    <w:bidi w:val="0"/>
                    <w:rPr>
                      <w:rFonts w:hint="default"/>
                      <w:lang w:val="en-US" w:eastAsia="zh-CN"/>
                    </w:rPr>
                  </w:pPr>
                  <w:r>
                    <w:t>头孢哌酮钠</w:t>
                  </w:r>
                </w:p>
              </w:tc>
              <w:tc>
                <w:tcPr>
                  <w:tcW w:w="669" w:type="pct"/>
                  <w:vAlign w:val="center"/>
                </w:tcPr>
                <w:p w14:paraId="3AA44148">
                  <w:pPr>
                    <w:pStyle w:val="41"/>
                    <w:bidi w:val="0"/>
                    <w:rPr>
                      <w:rFonts w:hint="eastAsia" w:eastAsia="宋体"/>
                      <w:lang w:val="en-US" w:eastAsia="zh-CN"/>
                    </w:rPr>
                  </w:pPr>
                  <w:r>
                    <w:rPr>
                      <w:rFonts w:hint="eastAsia"/>
                      <w:lang w:val="en-US" w:eastAsia="zh-CN"/>
                    </w:rPr>
                    <w:t>/</w:t>
                  </w:r>
                </w:p>
              </w:tc>
              <w:tc>
                <w:tcPr>
                  <w:tcW w:w="687" w:type="pct"/>
                  <w:vAlign w:val="center"/>
                </w:tcPr>
                <w:p w14:paraId="534EED57">
                  <w:pPr>
                    <w:pStyle w:val="41"/>
                    <w:bidi w:val="0"/>
                    <w:rPr>
                      <w:rFonts w:hint="eastAsia"/>
                      <w:lang w:val="en-US" w:eastAsia="zh-CN"/>
                    </w:rPr>
                  </w:pPr>
                  <w:r>
                    <w:t>0.5g</w:t>
                  </w:r>
                  <w:r>
                    <w:rPr>
                      <w:rFonts w:hint="eastAsia"/>
                      <w:lang w:val="en-US" w:eastAsia="zh-CN"/>
                    </w:rPr>
                    <w:t>/袋</w:t>
                  </w:r>
                </w:p>
              </w:tc>
              <w:tc>
                <w:tcPr>
                  <w:tcW w:w="771" w:type="pct"/>
                  <w:vAlign w:val="center"/>
                </w:tcPr>
                <w:p w14:paraId="583A7A64">
                  <w:pPr>
                    <w:pStyle w:val="41"/>
                    <w:bidi w:val="0"/>
                    <w:rPr>
                      <w:rFonts w:hint="eastAsia"/>
                      <w:lang w:val="en-US" w:eastAsia="zh-CN"/>
                    </w:rPr>
                  </w:pPr>
                  <w:r>
                    <w:t>0.5g</w:t>
                  </w:r>
                </w:p>
              </w:tc>
              <w:tc>
                <w:tcPr>
                  <w:tcW w:w="740" w:type="pct"/>
                  <w:vAlign w:val="center"/>
                </w:tcPr>
                <w:p w14:paraId="7C98AB9D">
                  <w:pPr>
                    <w:pStyle w:val="41"/>
                    <w:bidi w:val="0"/>
                    <w:rPr>
                      <w:rFonts w:hint="eastAsia"/>
                      <w:lang w:val="en-US" w:eastAsia="zh-CN"/>
                    </w:rPr>
                  </w:pPr>
                  <w:r>
                    <w:t>0.5g</w:t>
                  </w:r>
                </w:p>
              </w:tc>
              <w:tc>
                <w:tcPr>
                  <w:tcW w:w="521" w:type="pct"/>
                  <w:vAlign w:val="center"/>
                </w:tcPr>
                <w:p w14:paraId="3E4A6BC3">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5348CF79">
                  <w:pPr>
                    <w:pStyle w:val="41"/>
                    <w:bidi w:val="0"/>
                    <w:rPr>
                      <w:rFonts w:hint="eastAsia"/>
                      <w:lang w:val="en-US" w:eastAsia="zh-CN"/>
                    </w:rPr>
                  </w:pPr>
                </w:p>
              </w:tc>
            </w:tr>
            <w:tr w14:paraId="491BA9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9B59EE3">
                  <w:pPr>
                    <w:pStyle w:val="41"/>
                    <w:numPr>
                      <w:ilvl w:val="0"/>
                      <w:numId w:val="13"/>
                    </w:numPr>
                    <w:bidi w:val="0"/>
                    <w:ind w:left="454" w:leftChars="0" w:hanging="454" w:firstLineChars="0"/>
                    <w:jc w:val="center"/>
                    <w:rPr>
                      <w:rFonts w:hint="eastAsia"/>
                    </w:rPr>
                  </w:pPr>
                </w:p>
              </w:tc>
              <w:tc>
                <w:tcPr>
                  <w:tcW w:w="864" w:type="pct"/>
                  <w:vAlign w:val="center"/>
                </w:tcPr>
                <w:p w14:paraId="546EF97C">
                  <w:pPr>
                    <w:pStyle w:val="41"/>
                    <w:bidi w:val="0"/>
                    <w:rPr>
                      <w:rFonts w:hint="default"/>
                      <w:lang w:val="en-US" w:eastAsia="zh-CN"/>
                    </w:rPr>
                  </w:pPr>
                  <w:r>
                    <w:t>头孢唑啉钠</w:t>
                  </w:r>
                </w:p>
              </w:tc>
              <w:tc>
                <w:tcPr>
                  <w:tcW w:w="669" w:type="pct"/>
                  <w:vAlign w:val="center"/>
                </w:tcPr>
                <w:p w14:paraId="4824C0B3">
                  <w:pPr>
                    <w:pStyle w:val="41"/>
                    <w:bidi w:val="0"/>
                    <w:rPr>
                      <w:rFonts w:hint="eastAsia" w:eastAsia="宋体"/>
                      <w:lang w:val="en-US" w:eastAsia="zh-CN"/>
                    </w:rPr>
                  </w:pPr>
                  <w:r>
                    <w:rPr>
                      <w:rFonts w:hint="eastAsia"/>
                      <w:lang w:val="en-US" w:eastAsia="zh-CN"/>
                    </w:rPr>
                    <w:t>/</w:t>
                  </w:r>
                </w:p>
              </w:tc>
              <w:tc>
                <w:tcPr>
                  <w:tcW w:w="687" w:type="pct"/>
                  <w:vAlign w:val="center"/>
                </w:tcPr>
                <w:p w14:paraId="2A3EDB8B">
                  <w:pPr>
                    <w:pStyle w:val="41"/>
                    <w:bidi w:val="0"/>
                    <w:rPr>
                      <w:rFonts w:hint="eastAsia"/>
                      <w:lang w:val="en-US" w:eastAsia="zh-CN"/>
                    </w:rPr>
                  </w:pPr>
                  <w:r>
                    <w:t>0.5g</w:t>
                  </w:r>
                  <w:r>
                    <w:rPr>
                      <w:rFonts w:hint="eastAsia"/>
                      <w:lang w:val="en-US" w:eastAsia="zh-CN"/>
                    </w:rPr>
                    <w:t>/袋</w:t>
                  </w:r>
                </w:p>
              </w:tc>
              <w:tc>
                <w:tcPr>
                  <w:tcW w:w="771" w:type="pct"/>
                  <w:vAlign w:val="center"/>
                </w:tcPr>
                <w:p w14:paraId="1735D8E0">
                  <w:pPr>
                    <w:pStyle w:val="41"/>
                    <w:bidi w:val="0"/>
                    <w:rPr>
                      <w:rFonts w:hint="eastAsia"/>
                      <w:lang w:val="en-US" w:eastAsia="zh-CN"/>
                    </w:rPr>
                  </w:pPr>
                  <w:r>
                    <w:t>0.5g</w:t>
                  </w:r>
                </w:p>
              </w:tc>
              <w:tc>
                <w:tcPr>
                  <w:tcW w:w="740" w:type="pct"/>
                  <w:vAlign w:val="center"/>
                </w:tcPr>
                <w:p w14:paraId="0F39C2FE">
                  <w:pPr>
                    <w:pStyle w:val="41"/>
                    <w:bidi w:val="0"/>
                    <w:rPr>
                      <w:rFonts w:hint="eastAsia"/>
                      <w:lang w:val="en-US" w:eastAsia="zh-CN"/>
                    </w:rPr>
                  </w:pPr>
                  <w:r>
                    <w:t>0.5g</w:t>
                  </w:r>
                </w:p>
              </w:tc>
              <w:tc>
                <w:tcPr>
                  <w:tcW w:w="521" w:type="pct"/>
                  <w:vAlign w:val="center"/>
                </w:tcPr>
                <w:p w14:paraId="3586CAC5">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6FB75C0B">
                  <w:pPr>
                    <w:pStyle w:val="41"/>
                    <w:bidi w:val="0"/>
                    <w:rPr>
                      <w:rFonts w:hint="eastAsia"/>
                      <w:lang w:val="en-US" w:eastAsia="zh-CN"/>
                    </w:rPr>
                  </w:pPr>
                </w:p>
              </w:tc>
            </w:tr>
            <w:tr w14:paraId="460D19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3E18790">
                  <w:pPr>
                    <w:pStyle w:val="41"/>
                    <w:numPr>
                      <w:ilvl w:val="0"/>
                      <w:numId w:val="13"/>
                    </w:numPr>
                    <w:bidi w:val="0"/>
                    <w:ind w:left="454" w:leftChars="0" w:hanging="454" w:firstLineChars="0"/>
                    <w:jc w:val="center"/>
                    <w:rPr>
                      <w:rFonts w:hint="eastAsia"/>
                    </w:rPr>
                  </w:pPr>
                </w:p>
              </w:tc>
              <w:tc>
                <w:tcPr>
                  <w:tcW w:w="864" w:type="pct"/>
                  <w:vAlign w:val="center"/>
                </w:tcPr>
                <w:p w14:paraId="79B28EFB">
                  <w:pPr>
                    <w:pStyle w:val="41"/>
                    <w:bidi w:val="0"/>
                    <w:rPr>
                      <w:rFonts w:hint="default"/>
                      <w:lang w:val="en-US" w:eastAsia="zh-CN"/>
                    </w:rPr>
                  </w:pPr>
                  <w:r>
                    <w:t>头孢噻肟钠</w:t>
                  </w:r>
                </w:p>
              </w:tc>
              <w:tc>
                <w:tcPr>
                  <w:tcW w:w="669" w:type="pct"/>
                  <w:vAlign w:val="center"/>
                </w:tcPr>
                <w:p w14:paraId="3FC3E0AD">
                  <w:pPr>
                    <w:pStyle w:val="41"/>
                    <w:bidi w:val="0"/>
                    <w:rPr>
                      <w:rFonts w:hint="eastAsia" w:eastAsia="宋体"/>
                      <w:lang w:val="en-US" w:eastAsia="zh-CN"/>
                    </w:rPr>
                  </w:pPr>
                  <w:r>
                    <w:rPr>
                      <w:rFonts w:hint="eastAsia"/>
                      <w:lang w:val="en-US" w:eastAsia="zh-CN"/>
                    </w:rPr>
                    <w:t>/</w:t>
                  </w:r>
                </w:p>
              </w:tc>
              <w:tc>
                <w:tcPr>
                  <w:tcW w:w="687" w:type="pct"/>
                  <w:vAlign w:val="center"/>
                </w:tcPr>
                <w:p w14:paraId="42FC015B">
                  <w:pPr>
                    <w:pStyle w:val="41"/>
                    <w:bidi w:val="0"/>
                    <w:rPr>
                      <w:rFonts w:hint="eastAsia"/>
                      <w:lang w:val="en-US" w:eastAsia="zh-CN"/>
                    </w:rPr>
                  </w:pPr>
                  <w:r>
                    <w:t>0.5g</w:t>
                  </w:r>
                  <w:r>
                    <w:rPr>
                      <w:rFonts w:hint="eastAsia"/>
                      <w:lang w:val="en-US" w:eastAsia="zh-CN"/>
                    </w:rPr>
                    <w:t>/袋</w:t>
                  </w:r>
                </w:p>
              </w:tc>
              <w:tc>
                <w:tcPr>
                  <w:tcW w:w="771" w:type="pct"/>
                  <w:vAlign w:val="center"/>
                </w:tcPr>
                <w:p w14:paraId="3E12F8AC">
                  <w:pPr>
                    <w:pStyle w:val="41"/>
                    <w:bidi w:val="0"/>
                    <w:rPr>
                      <w:rFonts w:hint="eastAsia"/>
                      <w:lang w:val="en-US" w:eastAsia="zh-CN"/>
                    </w:rPr>
                  </w:pPr>
                  <w:r>
                    <w:t>0.5g</w:t>
                  </w:r>
                </w:p>
              </w:tc>
              <w:tc>
                <w:tcPr>
                  <w:tcW w:w="740" w:type="pct"/>
                  <w:vAlign w:val="center"/>
                </w:tcPr>
                <w:p w14:paraId="62B47B8D">
                  <w:pPr>
                    <w:pStyle w:val="41"/>
                    <w:bidi w:val="0"/>
                    <w:rPr>
                      <w:rFonts w:hint="eastAsia"/>
                      <w:lang w:val="en-US" w:eastAsia="zh-CN"/>
                    </w:rPr>
                  </w:pPr>
                  <w:r>
                    <w:t>0.5g</w:t>
                  </w:r>
                </w:p>
              </w:tc>
              <w:tc>
                <w:tcPr>
                  <w:tcW w:w="521" w:type="pct"/>
                  <w:vAlign w:val="center"/>
                </w:tcPr>
                <w:p w14:paraId="68B61A80">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63D155C5">
                  <w:pPr>
                    <w:pStyle w:val="41"/>
                    <w:bidi w:val="0"/>
                    <w:rPr>
                      <w:rFonts w:hint="eastAsia"/>
                      <w:lang w:val="en-US" w:eastAsia="zh-CN"/>
                    </w:rPr>
                  </w:pPr>
                </w:p>
              </w:tc>
            </w:tr>
            <w:tr w14:paraId="660D0D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3AF7354">
                  <w:pPr>
                    <w:pStyle w:val="41"/>
                    <w:numPr>
                      <w:ilvl w:val="0"/>
                      <w:numId w:val="13"/>
                    </w:numPr>
                    <w:bidi w:val="0"/>
                    <w:ind w:left="454" w:leftChars="0" w:hanging="454" w:firstLineChars="0"/>
                    <w:jc w:val="center"/>
                    <w:rPr>
                      <w:rFonts w:hint="eastAsia"/>
                    </w:rPr>
                  </w:pPr>
                </w:p>
              </w:tc>
              <w:tc>
                <w:tcPr>
                  <w:tcW w:w="864" w:type="pct"/>
                  <w:vAlign w:val="center"/>
                </w:tcPr>
                <w:p w14:paraId="07A47647">
                  <w:pPr>
                    <w:pStyle w:val="41"/>
                    <w:bidi w:val="0"/>
                    <w:rPr>
                      <w:rFonts w:hint="default"/>
                      <w:lang w:val="en-US" w:eastAsia="zh-CN"/>
                    </w:rPr>
                  </w:pPr>
                  <w:r>
                    <w:t>头孢呲肟盐酸盐</w:t>
                  </w:r>
                </w:p>
              </w:tc>
              <w:tc>
                <w:tcPr>
                  <w:tcW w:w="669" w:type="pct"/>
                  <w:vAlign w:val="center"/>
                </w:tcPr>
                <w:p w14:paraId="6087E538">
                  <w:pPr>
                    <w:pStyle w:val="41"/>
                    <w:bidi w:val="0"/>
                    <w:rPr>
                      <w:rFonts w:hint="eastAsia" w:eastAsia="宋体"/>
                      <w:lang w:val="en-US" w:eastAsia="zh-CN"/>
                    </w:rPr>
                  </w:pPr>
                  <w:r>
                    <w:rPr>
                      <w:rFonts w:hint="eastAsia"/>
                      <w:lang w:val="en-US" w:eastAsia="zh-CN"/>
                    </w:rPr>
                    <w:t>/</w:t>
                  </w:r>
                </w:p>
              </w:tc>
              <w:tc>
                <w:tcPr>
                  <w:tcW w:w="687" w:type="pct"/>
                  <w:vAlign w:val="center"/>
                </w:tcPr>
                <w:p w14:paraId="5BD0503E">
                  <w:pPr>
                    <w:pStyle w:val="41"/>
                    <w:bidi w:val="0"/>
                    <w:rPr>
                      <w:rFonts w:hint="eastAsia"/>
                      <w:lang w:val="en-US" w:eastAsia="zh-CN"/>
                    </w:rPr>
                  </w:pPr>
                  <w:r>
                    <w:t>0.5g</w:t>
                  </w:r>
                  <w:r>
                    <w:rPr>
                      <w:rFonts w:hint="eastAsia"/>
                      <w:lang w:val="en-US" w:eastAsia="zh-CN"/>
                    </w:rPr>
                    <w:t>/袋</w:t>
                  </w:r>
                </w:p>
              </w:tc>
              <w:tc>
                <w:tcPr>
                  <w:tcW w:w="771" w:type="pct"/>
                  <w:vAlign w:val="center"/>
                </w:tcPr>
                <w:p w14:paraId="6D53C74F">
                  <w:pPr>
                    <w:pStyle w:val="41"/>
                    <w:bidi w:val="0"/>
                    <w:rPr>
                      <w:rFonts w:hint="eastAsia"/>
                      <w:lang w:val="en-US" w:eastAsia="zh-CN"/>
                    </w:rPr>
                  </w:pPr>
                  <w:r>
                    <w:t>0.5g</w:t>
                  </w:r>
                </w:p>
              </w:tc>
              <w:tc>
                <w:tcPr>
                  <w:tcW w:w="740" w:type="pct"/>
                  <w:vAlign w:val="center"/>
                </w:tcPr>
                <w:p w14:paraId="0ADF2058">
                  <w:pPr>
                    <w:pStyle w:val="41"/>
                    <w:bidi w:val="0"/>
                    <w:rPr>
                      <w:rFonts w:hint="eastAsia"/>
                      <w:lang w:val="en-US" w:eastAsia="zh-CN"/>
                    </w:rPr>
                  </w:pPr>
                  <w:r>
                    <w:t>0.5g</w:t>
                  </w:r>
                </w:p>
              </w:tc>
              <w:tc>
                <w:tcPr>
                  <w:tcW w:w="521" w:type="pct"/>
                  <w:vAlign w:val="center"/>
                </w:tcPr>
                <w:p w14:paraId="1D1073BF">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62C7935F">
                  <w:pPr>
                    <w:pStyle w:val="41"/>
                    <w:bidi w:val="0"/>
                    <w:rPr>
                      <w:rFonts w:hint="eastAsia"/>
                      <w:lang w:val="en-US" w:eastAsia="zh-CN"/>
                    </w:rPr>
                  </w:pPr>
                </w:p>
              </w:tc>
            </w:tr>
            <w:tr w14:paraId="45E69B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96" w:type="pct"/>
                  <w:vAlign w:val="center"/>
                </w:tcPr>
                <w:p w14:paraId="771BFBDC">
                  <w:pPr>
                    <w:pStyle w:val="41"/>
                    <w:numPr>
                      <w:ilvl w:val="0"/>
                      <w:numId w:val="13"/>
                    </w:numPr>
                    <w:bidi w:val="0"/>
                    <w:ind w:left="454" w:leftChars="0" w:hanging="454" w:firstLineChars="0"/>
                    <w:jc w:val="center"/>
                    <w:rPr>
                      <w:rFonts w:hint="eastAsia"/>
                    </w:rPr>
                  </w:pPr>
                </w:p>
              </w:tc>
              <w:tc>
                <w:tcPr>
                  <w:tcW w:w="864" w:type="pct"/>
                  <w:vAlign w:val="center"/>
                </w:tcPr>
                <w:p w14:paraId="4CE3E809">
                  <w:pPr>
                    <w:pStyle w:val="41"/>
                    <w:bidi w:val="0"/>
                    <w:rPr>
                      <w:rFonts w:hint="default"/>
                      <w:lang w:val="en-US" w:eastAsia="zh-CN"/>
                    </w:rPr>
                  </w:pPr>
                  <w:r>
                    <w:t>头孢西丁钠</w:t>
                  </w:r>
                </w:p>
              </w:tc>
              <w:tc>
                <w:tcPr>
                  <w:tcW w:w="669" w:type="pct"/>
                  <w:vAlign w:val="center"/>
                </w:tcPr>
                <w:p w14:paraId="23C291AF">
                  <w:pPr>
                    <w:pStyle w:val="41"/>
                    <w:bidi w:val="0"/>
                    <w:rPr>
                      <w:rFonts w:hint="eastAsia" w:eastAsia="宋体"/>
                      <w:lang w:val="en-US" w:eastAsia="zh-CN"/>
                    </w:rPr>
                  </w:pPr>
                  <w:r>
                    <w:rPr>
                      <w:rFonts w:hint="eastAsia"/>
                      <w:lang w:val="en-US" w:eastAsia="zh-CN"/>
                    </w:rPr>
                    <w:t>/</w:t>
                  </w:r>
                </w:p>
              </w:tc>
              <w:tc>
                <w:tcPr>
                  <w:tcW w:w="687" w:type="pct"/>
                  <w:vAlign w:val="center"/>
                </w:tcPr>
                <w:p w14:paraId="12905416">
                  <w:pPr>
                    <w:pStyle w:val="41"/>
                    <w:bidi w:val="0"/>
                    <w:rPr>
                      <w:rFonts w:hint="eastAsia"/>
                      <w:lang w:val="en-US" w:eastAsia="zh-CN"/>
                    </w:rPr>
                  </w:pPr>
                  <w:r>
                    <w:t>0.5g</w:t>
                  </w:r>
                  <w:r>
                    <w:rPr>
                      <w:rFonts w:hint="eastAsia"/>
                      <w:lang w:val="en-US" w:eastAsia="zh-CN"/>
                    </w:rPr>
                    <w:t>/袋</w:t>
                  </w:r>
                </w:p>
              </w:tc>
              <w:tc>
                <w:tcPr>
                  <w:tcW w:w="771" w:type="pct"/>
                  <w:vAlign w:val="center"/>
                </w:tcPr>
                <w:p w14:paraId="6677CBB4">
                  <w:pPr>
                    <w:pStyle w:val="41"/>
                    <w:bidi w:val="0"/>
                    <w:rPr>
                      <w:rFonts w:hint="eastAsia"/>
                      <w:lang w:val="en-US" w:eastAsia="zh-CN"/>
                    </w:rPr>
                  </w:pPr>
                  <w:r>
                    <w:t>0.5g</w:t>
                  </w:r>
                </w:p>
              </w:tc>
              <w:tc>
                <w:tcPr>
                  <w:tcW w:w="740" w:type="pct"/>
                  <w:vAlign w:val="center"/>
                </w:tcPr>
                <w:p w14:paraId="703F9C64">
                  <w:pPr>
                    <w:pStyle w:val="41"/>
                    <w:bidi w:val="0"/>
                    <w:rPr>
                      <w:rFonts w:hint="eastAsia"/>
                      <w:lang w:val="en-US" w:eastAsia="zh-CN"/>
                    </w:rPr>
                  </w:pPr>
                  <w:r>
                    <w:t>0.5g</w:t>
                  </w:r>
                </w:p>
              </w:tc>
              <w:tc>
                <w:tcPr>
                  <w:tcW w:w="521" w:type="pct"/>
                  <w:vAlign w:val="center"/>
                </w:tcPr>
                <w:p w14:paraId="7E132A39">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66E675F8">
                  <w:pPr>
                    <w:pStyle w:val="41"/>
                    <w:bidi w:val="0"/>
                    <w:rPr>
                      <w:rFonts w:hint="eastAsia"/>
                      <w:lang w:val="en-US" w:eastAsia="zh-CN"/>
                    </w:rPr>
                  </w:pPr>
                </w:p>
              </w:tc>
            </w:tr>
            <w:tr w14:paraId="57ED06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4BC15D6">
                  <w:pPr>
                    <w:pStyle w:val="41"/>
                    <w:numPr>
                      <w:ilvl w:val="0"/>
                      <w:numId w:val="13"/>
                    </w:numPr>
                    <w:bidi w:val="0"/>
                    <w:ind w:left="454" w:leftChars="0" w:hanging="454" w:firstLineChars="0"/>
                    <w:jc w:val="center"/>
                    <w:rPr>
                      <w:rFonts w:hint="eastAsia"/>
                    </w:rPr>
                  </w:pPr>
                </w:p>
              </w:tc>
              <w:tc>
                <w:tcPr>
                  <w:tcW w:w="864" w:type="pct"/>
                  <w:vAlign w:val="center"/>
                </w:tcPr>
                <w:p w14:paraId="79A0F0A5">
                  <w:pPr>
                    <w:pStyle w:val="41"/>
                    <w:bidi w:val="0"/>
                    <w:rPr>
                      <w:rFonts w:hint="default"/>
                      <w:lang w:val="en-US" w:eastAsia="zh-CN"/>
                    </w:rPr>
                  </w:pPr>
                  <w:r>
                    <w:rPr>
                      <w:rFonts w:hint="eastAsia"/>
                    </w:rPr>
                    <w:t>琼脂</w:t>
                  </w:r>
                </w:p>
              </w:tc>
              <w:tc>
                <w:tcPr>
                  <w:tcW w:w="669" w:type="pct"/>
                  <w:vAlign w:val="center"/>
                </w:tcPr>
                <w:p w14:paraId="53902696">
                  <w:pPr>
                    <w:pStyle w:val="41"/>
                    <w:bidi w:val="0"/>
                    <w:rPr>
                      <w:rFonts w:hint="default" w:eastAsia="宋体"/>
                      <w:lang w:val="en-US" w:eastAsia="zh-CN"/>
                    </w:rPr>
                  </w:pPr>
                  <w:r>
                    <w:rPr>
                      <w:rFonts w:hint="eastAsia"/>
                      <w:lang w:val="en-US" w:eastAsia="zh-CN"/>
                    </w:rPr>
                    <w:t>99%</w:t>
                  </w:r>
                </w:p>
              </w:tc>
              <w:tc>
                <w:tcPr>
                  <w:tcW w:w="687" w:type="pct"/>
                  <w:vAlign w:val="center"/>
                </w:tcPr>
                <w:p w14:paraId="1E180940">
                  <w:pPr>
                    <w:pStyle w:val="41"/>
                    <w:bidi w:val="0"/>
                    <w:rPr>
                      <w:rFonts w:hint="default"/>
                      <w:lang w:val="en-US" w:eastAsia="zh-CN"/>
                    </w:rPr>
                  </w:pPr>
                  <w:r>
                    <w:rPr>
                      <w:rFonts w:hint="eastAsia"/>
                      <w:lang w:val="en-US" w:eastAsia="zh-CN"/>
                    </w:rPr>
                    <w:t>500g/瓶</w:t>
                  </w:r>
                </w:p>
              </w:tc>
              <w:tc>
                <w:tcPr>
                  <w:tcW w:w="771" w:type="pct"/>
                  <w:vAlign w:val="center"/>
                </w:tcPr>
                <w:p w14:paraId="47B3B283">
                  <w:pPr>
                    <w:pStyle w:val="41"/>
                    <w:bidi w:val="0"/>
                    <w:rPr>
                      <w:rFonts w:hint="eastAsia"/>
                      <w:lang w:val="en-US" w:eastAsia="zh-CN"/>
                    </w:rPr>
                  </w:pPr>
                  <w:r>
                    <w:rPr>
                      <w:rFonts w:hint="eastAsia"/>
                    </w:rPr>
                    <w:t>5</w:t>
                  </w:r>
                  <w:r>
                    <w:t>kg</w:t>
                  </w:r>
                </w:p>
              </w:tc>
              <w:tc>
                <w:tcPr>
                  <w:tcW w:w="740" w:type="pct"/>
                  <w:vAlign w:val="center"/>
                </w:tcPr>
                <w:p w14:paraId="1F496CC1">
                  <w:pPr>
                    <w:pStyle w:val="41"/>
                    <w:bidi w:val="0"/>
                    <w:rPr>
                      <w:rFonts w:hint="eastAsia"/>
                      <w:lang w:val="en-US" w:eastAsia="zh-CN"/>
                    </w:rPr>
                  </w:pPr>
                  <w:r>
                    <w:rPr>
                      <w:rFonts w:hint="eastAsia"/>
                    </w:rPr>
                    <w:t>5</w:t>
                  </w:r>
                  <w:r>
                    <w:t>kg</w:t>
                  </w:r>
                </w:p>
              </w:tc>
              <w:tc>
                <w:tcPr>
                  <w:tcW w:w="521" w:type="pct"/>
                  <w:vAlign w:val="center"/>
                </w:tcPr>
                <w:p w14:paraId="37681E69">
                  <w:pPr>
                    <w:pStyle w:val="41"/>
                    <w:bidi w:val="0"/>
                    <w:rPr>
                      <w:rFonts w:hint="eastAsia"/>
                      <w:lang w:val="en-US" w:eastAsia="zh-CN"/>
                    </w:rPr>
                  </w:pPr>
                  <w:r>
                    <w:rPr>
                      <w:rFonts w:hint="eastAsia"/>
                    </w:rPr>
                    <w:t>固</w:t>
                  </w:r>
                  <w:r>
                    <w:rPr>
                      <w:rFonts w:hint="eastAsia"/>
                      <w:lang w:eastAsia="zh-CN"/>
                    </w:rPr>
                    <w:t>体</w:t>
                  </w:r>
                </w:p>
              </w:tc>
              <w:tc>
                <w:tcPr>
                  <w:tcW w:w="447" w:type="pct"/>
                  <w:vMerge w:val="continue"/>
                  <w:vAlign w:val="center"/>
                </w:tcPr>
                <w:p w14:paraId="6C72B9BE">
                  <w:pPr>
                    <w:pStyle w:val="41"/>
                    <w:bidi w:val="0"/>
                    <w:rPr>
                      <w:rFonts w:hint="eastAsia"/>
                      <w:lang w:val="en-US" w:eastAsia="zh-CN"/>
                    </w:rPr>
                  </w:pPr>
                </w:p>
              </w:tc>
            </w:tr>
            <w:tr w14:paraId="3EB062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6BFB25C">
                  <w:pPr>
                    <w:pStyle w:val="41"/>
                    <w:numPr>
                      <w:ilvl w:val="0"/>
                      <w:numId w:val="13"/>
                    </w:numPr>
                    <w:bidi w:val="0"/>
                    <w:ind w:left="454" w:leftChars="0" w:hanging="454" w:firstLineChars="0"/>
                    <w:jc w:val="center"/>
                    <w:rPr>
                      <w:rFonts w:hint="eastAsia"/>
                    </w:rPr>
                  </w:pPr>
                </w:p>
              </w:tc>
              <w:tc>
                <w:tcPr>
                  <w:tcW w:w="864" w:type="pct"/>
                  <w:vAlign w:val="center"/>
                </w:tcPr>
                <w:p w14:paraId="5FE36159">
                  <w:pPr>
                    <w:pStyle w:val="41"/>
                    <w:bidi w:val="0"/>
                    <w:rPr>
                      <w:rFonts w:hint="eastAsia"/>
                      <w:lang w:val="en-US" w:eastAsia="zh-CN"/>
                    </w:rPr>
                  </w:pPr>
                  <w:r>
                    <w:rPr>
                      <w:rFonts w:hint="default"/>
                      <w:lang w:val="en-US" w:eastAsia="zh-CN"/>
                    </w:rPr>
                    <w:t>培养基</w:t>
                  </w:r>
                </w:p>
              </w:tc>
              <w:tc>
                <w:tcPr>
                  <w:tcW w:w="669" w:type="pct"/>
                  <w:vAlign w:val="center"/>
                </w:tcPr>
                <w:p w14:paraId="79334E3B">
                  <w:pPr>
                    <w:pStyle w:val="41"/>
                    <w:bidi w:val="0"/>
                    <w:rPr>
                      <w:rFonts w:hint="default"/>
                      <w:lang w:val="en-US" w:eastAsia="zh-CN"/>
                    </w:rPr>
                  </w:pPr>
                  <w:r>
                    <w:rPr>
                      <w:rFonts w:hint="eastAsia"/>
                      <w:lang w:val="en-US" w:eastAsia="zh-CN"/>
                    </w:rPr>
                    <w:t>/</w:t>
                  </w:r>
                </w:p>
              </w:tc>
              <w:tc>
                <w:tcPr>
                  <w:tcW w:w="687" w:type="pct"/>
                  <w:vAlign w:val="center"/>
                </w:tcPr>
                <w:p w14:paraId="21D86F9D">
                  <w:pPr>
                    <w:pStyle w:val="41"/>
                    <w:bidi w:val="0"/>
                    <w:rPr>
                      <w:rFonts w:hint="eastAsia"/>
                    </w:rPr>
                  </w:pPr>
                  <w:r>
                    <w:rPr>
                      <w:rFonts w:hint="eastAsia"/>
                    </w:rPr>
                    <w:t>1kg</w:t>
                  </w:r>
                  <w:r>
                    <w:t>/</w:t>
                  </w:r>
                  <w:r>
                    <w:rPr>
                      <w:rFonts w:hint="eastAsia"/>
                    </w:rPr>
                    <w:t>瓶</w:t>
                  </w:r>
                </w:p>
              </w:tc>
              <w:tc>
                <w:tcPr>
                  <w:tcW w:w="771" w:type="pct"/>
                  <w:vAlign w:val="center"/>
                </w:tcPr>
                <w:p w14:paraId="24F41418">
                  <w:pPr>
                    <w:pStyle w:val="41"/>
                    <w:bidi w:val="0"/>
                    <w:rPr>
                      <w:rFonts w:hint="eastAsia"/>
                      <w:lang w:val="en-US" w:eastAsia="zh-CN"/>
                    </w:rPr>
                  </w:pPr>
                  <w:r>
                    <w:rPr>
                      <w:rFonts w:hint="default"/>
                      <w:lang w:val="en-US" w:eastAsia="zh-CN"/>
                    </w:rPr>
                    <w:t>200kg</w:t>
                  </w:r>
                </w:p>
              </w:tc>
              <w:tc>
                <w:tcPr>
                  <w:tcW w:w="740" w:type="pct"/>
                  <w:vAlign w:val="center"/>
                </w:tcPr>
                <w:p w14:paraId="292A9395">
                  <w:pPr>
                    <w:pStyle w:val="41"/>
                    <w:bidi w:val="0"/>
                    <w:rPr>
                      <w:rFonts w:hint="eastAsia"/>
                      <w:lang w:val="en-US" w:eastAsia="zh-CN"/>
                    </w:rPr>
                  </w:pPr>
                  <w:r>
                    <w:rPr>
                      <w:rFonts w:hint="eastAsia"/>
                      <w:lang w:val="en-US" w:eastAsia="zh-CN"/>
                    </w:rPr>
                    <w:t>50</w:t>
                  </w:r>
                  <w:r>
                    <w:rPr>
                      <w:rFonts w:hint="eastAsia"/>
                    </w:rPr>
                    <w:t>kg</w:t>
                  </w:r>
                </w:p>
              </w:tc>
              <w:tc>
                <w:tcPr>
                  <w:tcW w:w="521" w:type="pct"/>
                  <w:vAlign w:val="center"/>
                </w:tcPr>
                <w:p w14:paraId="20DE7F91">
                  <w:pPr>
                    <w:pStyle w:val="41"/>
                    <w:bidi w:val="0"/>
                    <w:rPr>
                      <w:rFonts w:hint="eastAsia"/>
                      <w:lang w:val="en-US" w:eastAsia="zh-CN"/>
                    </w:rPr>
                  </w:pPr>
                  <w:r>
                    <w:rPr>
                      <w:rFonts w:hint="eastAsia"/>
                    </w:rPr>
                    <w:t>固体</w:t>
                  </w:r>
                </w:p>
              </w:tc>
              <w:tc>
                <w:tcPr>
                  <w:tcW w:w="447" w:type="pct"/>
                  <w:vMerge w:val="restart"/>
                  <w:vAlign w:val="center"/>
                </w:tcPr>
                <w:p w14:paraId="36160734">
                  <w:pPr>
                    <w:pStyle w:val="41"/>
                    <w:bidi w:val="0"/>
                    <w:rPr>
                      <w:rFonts w:hint="default"/>
                      <w:lang w:val="en-US" w:eastAsia="zh-CN"/>
                    </w:rPr>
                  </w:pPr>
                  <w:r>
                    <w:rPr>
                      <w:rFonts w:hint="eastAsia"/>
                      <w:lang w:val="en-US" w:eastAsia="zh-CN"/>
                    </w:rPr>
                    <w:t>7号楼（重组蛋白药物实验楼）</w:t>
                  </w:r>
                </w:p>
              </w:tc>
            </w:tr>
            <w:tr w14:paraId="58DA68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28AC9EF">
                  <w:pPr>
                    <w:pStyle w:val="41"/>
                    <w:numPr>
                      <w:ilvl w:val="0"/>
                      <w:numId w:val="13"/>
                    </w:numPr>
                    <w:bidi w:val="0"/>
                    <w:ind w:left="454" w:leftChars="0" w:hanging="454" w:firstLineChars="0"/>
                    <w:jc w:val="center"/>
                    <w:rPr>
                      <w:rFonts w:hint="eastAsia"/>
                    </w:rPr>
                  </w:pPr>
                </w:p>
              </w:tc>
              <w:tc>
                <w:tcPr>
                  <w:tcW w:w="864" w:type="pct"/>
                  <w:vAlign w:val="center"/>
                </w:tcPr>
                <w:p w14:paraId="3A2E286D">
                  <w:pPr>
                    <w:pStyle w:val="41"/>
                    <w:bidi w:val="0"/>
                    <w:rPr>
                      <w:rFonts w:hint="eastAsia"/>
                      <w:lang w:val="en-US" w:eastAsia="zh-CN"/>
                    </w:rPr>
                  </w:pPr>
                  <w:r>
                    <w:rPr>
                      <w:rFonts w:hint="eastAsia"/>
                      <w:color w:val="auto"/>
                      <w:highlight w:val="none"/>
                      <w:lang w:val="en-US" w:eastAsia="zh-CN"/>
                    </w:rPr>
                    <w:t>盐酸</w:t>
                  </w:r>
                </w:p>
              </w:tc>
              <w:tc>
                <w:tcPr>
                  <w:tcW w:w="669" w:type="pct"/>
                  <w:vAlign w:val="center"/>
                </w:tcPr>
                <w:p w14:paraId="5849535E">
                  <w:pPr>
                    <w:pStyle w:val="41"/>
                    <w:bidi w:val="0"/>
                    <w:rPr>
                      <w:rFonts w:hint="eastAsia"/>
                      <w:lang w:val="en-US" w:eastAsia="zh-CN"/>
                    </w:rPr>
                  </w:pPr>
                  <w:r>
                    <w:rPr>
                      <w:rFonts w:hint="eastAsia"/>
                      <w:lang w:val="en-US" w:eastAsia="zh-CN"/>
                    </w:rPr>
                    <w:t>37%</w:t>
                  </w:r>
                </w:p>
              </w:tc>
              <w:tc>
                <w:tcPr>
                  <w:tcW w:w="687" w:type="pct"/>
                  <w:vAlign w:val="center"/>
                </w:tcPr>
                <w:p w14:paraId="30921E17">
                  <w:pPr>
                    <w:pStyle w:val="41"/>
                    <w:bidi w:val="0"/>
                    <w:rPr>
                      <w:rFonts w:hint="eastAsia"/>
                    </w:rPr>
                  </w:pPr>
                  <w:r>
                    <w:rPr>
                      <w:rFonts w:hint="eastAsia"/>
                      <w:lang w:val="en-US" w:eastAsia="zh-CN"/>
                    </w:rPr>
                    <w:t>500g/瓶</w:t>
                  </w:r>
                </w:p>
              </w:tc>
              <w:tc>
                <w:tcPr>
                  <w:tcW w:w="771" w:type="pct"/>
                  <w:vAlign w:val="center"/>
                </w:tcPr>
                <w:p w14:paraId="110BF7B8">
                  <w:pPr>
                    <w:pStyle w:val="41"/>
                    <w:bidi w:val="0"/>
                    <w:rPr>
                      <w:rFonts w:hint="eastAsia"/>
                      <w:lang w:val="en-US" w:eastAsia="zh-CN"/>
                    </w:rPr>
                  </w:pPr>
                  <w:r>
                    <w:rPr>
                      <w:rFonts w:hint="default"/>
                      <w:lang w:val="en-US" w:eastAsia="zh-CN"/>
                    </w:rPr>
                    <w:t>15kg</w:t>
                  </w:r>
                </w:p>
              </w:tc>
              <w:tc>
                <w:tcPr>
                  <w:tcW w:w="740" w:type="pct"/>
                  <w:vAlign w:val="center"/>
                </w:tcPr>
                <w:p w14:paraId="03D1AD64">
                  <w:pPr>
                    <w:pStyle w:val="41"/>
                    <w:bidi w:val="0"/>
                    <w:rPr>
                      <w:rFonts w:hint="default"/>
                      <w:lang w:val="en-US" w:eastAsia="zh-CN"/>
                    </w:rPr>
                  </w:pPr>
                  <w:r>
                    <w:rPr>
                      <w:rFonts w:hint="eastAsia"/>
                      <w:lang w:val="en-US" w:eastAsia="zh-CN"/>
                    </w:rPr>
                    <w:t>5kg</w:t>
                  </w:r>
                </w:p>
              </w:tc>
              <w:tc>
                <w:tcPr>
                  <w:tcW w:w="521" w:type="pct"/>
                  <w:vAlign w:val="center"/>
                </w:tcPr>
                <w:p w14:paraId="200BD3FC">
                  <w:pPr>
                    <w:pStyle w:val="41"/>
                    <w:bidi w:val="0"/>
                    <w:rPr>
                      <w:rFonts w:hint="eastAsia"/>
                      <w:lang w:val="en-US" w:eastAsia="zh-CN"/>
                    </w:rPr>
                  </w:pPr>
                  <w:r>
                    <w:rPr>
                      <w:rFonts w:hint="eastAsia"/>
                      <w:lang w:val="en-US" w:eastAsia="zh-CN"/>
                    </w:rPr>
                    <w:t>液体</w:t>
                  </w:r>
                </w:p>
              </w:tc>
              <w:tc>
                <w:tcPr>
                  <w:tcW w:w="447" w:type="pct"/>
                  <w:vMerge w:val="continue"/>
                  <w:vAlign w:val="center"/>
                </w:tcPr>
                <w:p w14:paraId="76CBFA8B">
                  <w:pPr>
                    <w:pStyle w:val="41"/>
                    <w:bidi w:val="0"/>
                    <w:rPr>
                      <w:rFonts w:hint="default"/>
                      <w:lang w:val="en-US" w:eastAsia="zh-CN"/>
                    </w:rPr>
                  </w:pPr>
                </w:p>
              </w:tc>
            </w:tr>
            <w:tr w14:paraId="08C2B3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08A3291">
                  <w:pPr>
                    <w:pStyle w:val="41"/>
                    <w:numPr>
                      <w:ilvl w:val="0"/>
                      <w:numId w:val="13"/>
                    </w:numPr>
                    <w:bidi w:val="0"/>
                    <w:ind w:left="454" w:leftChars="0" w:hanging="454" w:firstLineChars="0"/>
                    <w:jc w:val="center"/>
                    <w:rPr>
                      <w:rFonts w:hint="eastAsia"/>
                    </w:rPr>
                  </w:pPr>
                </w:p>
              </w:tc>
              <w:tc>
                <w:tcPr>
                  <w:tcW w:w="864" w:type="pct"/>
                  <w:vAlign w:val="center"/>
                </w:tcPr>
                <w:p w14:paraId="494A55A0">
                  <w:pPr>
                    <w:pStyle w:val="41"/>
                    <w:bidi w:val="0"/>
                    <w:rPr>
                      <w:rFonts w:hint="eastAsia"/>
                      <w:lang w:val="en-US" w:eastAsia="zh-CN"/>
                    </w:rPr>
                  </w:pPr>
                  <w:r>
                    <w:rPr>
                      <w:rFonts w:hint="default"/>
                      <w:lang w:val="en-US" w:eastAsia="zh-CN"/>
                    </w:rPr>
                    <w:t>氢氧化钠</w:t>
                  </w:r>
                </w:p>
              </w:tc>
              <w:tc>
                <w:tcPr>
                  <w:tcW w:w="669" w:type="pct"/>
                  <w:vAlign w:val="center"/>
                </w:tcPr>
                <w:p w14:paraId="3E7CAB13">
                  <w:pPr>
                    <w:pStyle w:val="41"/>
                    <w:bidi w:val="0"/>
                    <w:jc w:val="center"/>
                    <w:rPr>
                      <w:rFonts w:hint="default"/>
                      <w:lang w:val="en-US" w:eastAsia="zh-CN"/>
                    </w:rPr>
                  </w:pPr>
                  <w:r>
                    <w:rPr>
                      <w:rFonts w:hint="eastAsia"/>
                      <w:lang w:val="en-US" w:eastAsia="zh-CN"/>
                    </w:rPr>
                    <w:t>99.99%</w:t>
                  </w:r>
                </w:p>
              </w:tc>
              <w:tc>
                <w:tcPr>
                  <w:tcW w:w="687" w:type="pct"/>
                  <w:vAlign w:val="center"/>
                </w:tcPr>
                <w:p w14:paraId="2C1D0CA1">
                  <w:pPr>
                    <w:pStyle w:val="41"/>
                    <w:bidi w:val="0"/>
                    <w:rPr>
                      <w:rFonts w:hint="default"/>
                      <w:lang w:val="en-US" w:eastAsia="zh-CN"/>
                    </w:rPr>
                  </w:pPr>
                  <w:r>
                    <w:rPr>
                      <w:rFonts w:hint="eastAsia"/>
                      <w:lang w:val="en-US" w:eastAsia="zh-CN"/>
                    </w:rPr>
                    <w:t>5kg/桶</w:t>
                  </w:r>
                </w:p>
              </w:tc>
              <w:tc>
                <w:tcPr>
                  <w:tcW w:w="771" w:type="pct"/>
                  <w:vAlign w:val="center"/>
                </w:tcPr>
                <w:p w14:paraId="49500935">
                  <w:pPr>
                    <w:pStyle w:val="41"/>
                    <w:bidi w:val="0"/>
                    <w:rPr>
                      <w:rFonts w:hint="eastAsia"/>
                      <w:lang w:val="en-US" w:eastAsia="zh-CN"/>
                    </w:rPr>
                  </w:pPr>
                  <w:r>
                    <w:rPr>
                      <w:rFonts w:hint="default"/>
                      <w:lang w:val="en-US" w:eastAsia="zh-CN"/>
                    </w:rPr>
                    <w:t>300kg</w:t>
                  </w:r>
                </w:p>
              </w:tc>
              <w:tc>
                <w:tcPr>
                  <w:tcW w:w="740" w:type="pct"/>
                  <w:vAlign w:val="center"/>
                </w:tcPr>
                <w:p w14:paraId="2459716C">
                  <w:pPr>
                    <w:pStyle w:val="41"/>
                    <w:bidi w:val="0"/>
                    <w:rPr>
                      <w:rFonts w:hint="default"/>
                      <w:lang w:val="en-US" w:eastAsia="zh-CN"/>
                    </w:rPr>
                  </w:pPr>
                  <w:r>
                    <w:rPr>
                      <w:rFonts w:hint="eastAsia"/>
                      <w:lang w:val="en-US" w:eastAsia="zh-CN"/>
                    </w:rPr>
                    <w:t>60kg</w:t>
                  </w:r>
                </w:p>
              </w:tc>
              <w:tc>
                <w:tcPr>
                  <w:tcW w:w="521" w:type="pct"/>
                  <w:vAlign w:val="center"/>
                </w:tcPr>
                <w:p w14:paraId="2778888A">
                  <w:pPr>
                    <w:pStyle w:val="41"/>
                    <w:bidi w:val="0"/>
                    <w:rPr>
                      <w:rFonts w:hint="eastAsia"/>
                      <w:lang w:val="en-US" w:eastAsia="zh-CN"/>
                    </w:rPr>
                  </w:pPr>
                  <w:r>
                    <w:rPr>
                      <w:rFonts w:hint="eastAsia"/>
                      <w:lang w:val="en-US" w:eastAsia="zh-CN"/>
                    </w:rPr>
                    <w:t>固体</w:t>
                  </w:r>
                </w:p>
              </w:tc>
              <w:tc>
                <w:tcPr>
                  <w:tcW w:w="447" w:type="pct"/>
                  <w:vMerge w:val="continue"/>
                  <w:vAlign w:val="center"/>
                </w:tcPr>
                <w:p w14:paraId="487EFE95">
                  <w:pPr>
                    <w:pStyle w:val="41"/>
                    <w:bidi w:val="0"/>
                    <w:rPr>
                      <w:rFonts w:hint="default"/>
                      <w:lang w:val="en-US" w:eastAsia="zh-CN"/>
                    </w:rPr>
                  </w:pPr>
                </w:p>
              </w:tc>
            </w:tr>
            <w:tr w14:paraId="21AD0E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50EE633">
                  <w:pPr>
                    <w:pStyle w:val="41"/>
                    <w:numPr>
                      <w:ilvl w:val="0"/>
                      <w:numId w:val="13"/>
                    </w:numPr>
                    <w:bidi w:val="0"/>
                    <w:ind w:left="454" w:leftChars="0" w:hanging="454" w:firstLineChars="0"/>
                    <w:jc w:val="center"/>
                    <w:rPr>
                      <w:rFonts w:hint="eastAsia"/>
                    </w:rPr>
                  </w:pPr>
                </w:p>
              </w:tc>
              <w:tc>
                <w:tcPr>
                  <w:tcW w:w="864" w:type="pct"/>
                  <w:vAlign w:val="center"/>
                </w:tcPr>
                <w:p w14:paraId="4B460152">
                  <w:pPr>
                    <w:pStyle w:val="41"/>
                    <w:bidi w:val="0"/>
                    <w:rPr>
                      <w:rFonts w:hint="eastAsia"/>
                      <w:lang w:val="en-US" w:eastAsia="zh-CN"/>
                    </w:rPr>
                  </w:pPr>
                  <w:r>
                    <w:rPr>
                      <w:rFonts w:hint="default"/>
                      <w:lang w:val="en-US" w:eastAsia="zh-CN"/>
                    </w:rPr>
                    <w:t>磷酸二氢钠</w:t>
                  </w:r>
                </w:p>
              </w:tc>
              <w:tc>
                <w:tcPr>
                  <w:tcW w:w="669" w:type="pct"/>
                  <w:vAlign w:val="center"/>
                </w:tcPr>
                <w:p w14:paraId="2C49D4C1">
                  <w:pPr>
                    <w:pStyle w:val="41"/>
                    <w:bidi w:val="0"/>
                    <w:rPr>
                      <w:rFonts w:hint="default"/>
                      <w:lang w:val="en-US" w:eastAsia="zh-CN"/>
                    </w:rPr>
                  </w:pPr>
                  <w:r>
                    <w:rPr>
                      <w:rFonts w:hint="eastAsia"/>
                      <w:lang w:val="en-US" w:eastAsia="zh-CN"/>
                    </w:rPr>
                    <w:t>99.99%</w:t>
                  </w:r>
                </w:p>
              </w:tc>
              <w:tc>
                <w:tcPr>
                  <w:tcW w:w="687" w:type="pct"/>
                  <w:vAlign w:val="center"/>
                </w:tcPr>
                <w:p w14:paraId="78F37DB0">
                  <w:pPr>
                    <w:pStyle w:val="41"/>
                    <w:bidi w:val="0"/>
                    <w:rPr>
                      <w:rFonts w:hint="eastAsia"/>
                    </w:rPr>
                  </w:pPr>
                  <w:r>
                    <w:rPr>
                      <w:rFonts w:hint="eastAsia"/>
                      <w:lang w:val="en-US" w:eastAsia="zh-CN"/>
                    </w:rPr>
                    <w:t>5kg/桶</w:t>
                  </w:r>
                </w:p>
              </w:tc>
              <w:tc>
                <w:tcPr>
                  <w:tcW w:w="771" w:type="pct"/>
                  <w:vAlign w:val="center"/>
                </w:tcPr>
                <w:p w14:paraId="2961B27D">
                  <w:pPr>
                    <w:pStyle w:val="41"/>
                    <w:bidi w:val="0"/>
                    <w:rPr>
                      <w:rFonts w:hint="eastAsia"/>
                      <w:lang w:val="en-US" w:eastAsia="zh-CN"/>
                    </w:rPr>
                  </w:pPr>
                  <w:r>
                    <w:rPr>
                      <w:rFonts w:hint="default"/>
                      <w:lang w:val="en-US" w:eastAsia="zh-CN"/>
                    </w:rPr>
                    <w:t>90kg</w:t>
                  </w:r>
                </w:p>
              </w:tc>
              <w:tc>
                <w:tcPr>
                  <w:tcW w:w="740" w:type="pct"/>
                  <w:vAlign w:val="center"/>
                </w:tcPr>
                <w:p w14:paraId="67E7574C">
                  <w:pPr>
                    <w:pStyle w:val="41"/>
                    <w:bidi w:val="0"/>
                    <w:rPr>
                      <w:rFonts w:hint="eastAsia"/>
                      <w:lang w:val="en-US" w:eastAsia="zh-CN"/>
                    </w:rPr>
                  </w:pPr>
                  <w:r>
                    <w:rPr>
                      <w:rFonts w:hint="eastAsia"/>
                      <w:lang w:val="en-US" w:eastAsia="zh-CN"/>
                    </w:rPr>
                    <w:t>30kg</w:t>
                  </w:r>
                </w:p>
              </w:tc>
              <w:tc>
                <w:tcPr>
                  <w:tcW w:w="521" w:type="pct"/>
                  <w:vAlign w:val="center"/>
                </w:tcPr>
                <w:p w14:paraId="22CF3928">
                  <w:pPr>
                    <w:pStyle w:val="41"/>
                    <w:bidi w:val="0"/>
                    <w:rPr>
                      <w:rFonts w:hint="eastAsia"/>
                      <w:lang w:val="en-US" w:eastAsia="zh-CN"/>
                    </w:rPr>
                  </w:pPr>
                  <w:r>
                    <w:rPr>
                      <w:rFonts w:hint="eastAsia"/>
                      <w:lang w:val="en-US" w:eastAsia="zh-CN"/>
                    </w:rPr>
                    <w:t>固体</w:t>
                  </w:r>
                </w:p>
              </w:tc>
              <w:tc>
                <w:tcPr>
                  <w:tcW w:w="447" w:type="pct"/>
                  <w:vMerge w:val="continue"/>
                  <w:vAlign w:val="center"/>
                </w:tcPr>
                <w:p w14:paraId="03074112">
                  <w:pPr>
                    <w:pStyle w:val="41"/>
                    <w:bidi w:val="0"/>
                    <w:rPr>
                      <w:rFonts w:hint="default"/>
                      <w:lang w:val="en-US" w:eastAsia="zh-CN"/>
                    </w:rPr>
                  </w:pPr>
                </w:p>
              </w:tc>
            </w:tr>
            <w:tr w14:paraId="37E4C2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2B88E30B">
                  <w:pPr>
                    <w:pStyle w:val="41"/>
                    <w:numPr>
                      <w:ilvl w:val="0"/>
                      <w:numId w:val="13"/>
                    </w:numPr>
                    <w:bidi w:val="0"/>
                    <w:ind w:left="454" w:leftChars="0" w:hanging="454" w:firstLineChars="0"/>
                    <w:jc w:val="center"/>
                    <w:rPr>
                      <w:rFonts w:hint="eastAsia"/>
                    </w:rPr>
                  </w:pPr>
                </w:p>
              </w:tc>
              <w:tc>
                <w:tcPr>
                  <w:tcW w:w="864" w:type="pct"/>
                  <w:vAlign w:val="center"/>
                </w:tcPr>
                <w:p w14:paraId="792E10A4">
                  <w:pPr>
                    <w:pStyle w:val="41"/>
                    <w:bidi w:val="0"/>
                    <w:rPr>
                      <w:rFonts w:hint="eastAsia"/>
                      <w:lang w:val="en-US" w:eastAsia="zh-CN"/>
                    </w:rPr>
                  </w:pPr>
                  <w:r>
                    <w:rPr>
                      <w:rFonts w:hint="default"/>
                      <w:lang w:val="en-US" w:eastAsia="zh-CN"/>
                    </w:rPr>
                    <w:t>磷酸氢二钠</w:t>
                  </w:r>
                </w:p>
              </w:tc>
              <w:tc>
                <w:tcPr>
                  <w:tcW w:w="669" w:type="pct"/>
                  <w:vAlign w:val="center"/>
                </w:tcPr>
                <w:p w14:paraId="16557545">
                  <w:pPr>
                    <w:pStyle w:val="41"/>
                    <w:bidi w:val="0"/>
                    <w:rPr>
                      <w:rFonts w:hint="default"/>
                      <w:lang w:val="en-US" w:eastAsia="zh-CN"/>
                    </w:rPr>
                  </w:pPr>
                  <w:r>
                    <w:rPr>
                      <w:rFonts w:hint="eastAsia"/>
                      <w:lang w:val="en-US" w:eastAsia="zh-CN"/>
                    </w:rPr>
                    <w:t>99.99%</w:t>
                  </w:r>
                </w:p>
              </w:tc>
              <w:tc>
                <w:tcPr>
                  <w:tcW w:w="687" w:type="pct"/>
                  <w:vAlign w:val="center"/>
                </w:tcPr>
                <w:p w14:paraId="0704ABCA">
                  <w:pPr>
                    <w:pStyle w:val="41"/>
                    <w:bidi w:val="0"/>
                    <w:rPr>
                      <w:rFonts w:hint="eastAsia"/>
                    </w:rPr>
                  </w:pPr>
                  <w:r>
                    <w:rPr>
                      <w:rFonts w:hint="eastAsia"/>
                      <w:lang w:val="en-US" w:eastAsia="zh-CN"/>
                    </w:rPr>
                    <w:t>5kg/桶</w:t>
                  </w:r>
                </w:p>
              </w:tc>
              <w:tc>
                <w:tcPr>
                  <w:tcW w:w="771" w:type="pct"/>
                  <w:vAlign w:val="center"/>
                </w:tcPr>
                <w:p w14:paraId="4F4F5285">
                  <w:pPr>
                    <w:pStyle w:val="41"/>
                    <w:bidi w:val="0"/>
                    <w:rPr>
                      <w:rFonts w:hint="eastAsia"/>
                      <w:lang w:val="en-US" w:eastAsia="zh-CN"/>
                    </w:rPr>
                  </w:pPr>
                  <w:r>
                    <w:rPr>
                      <w:rFonts w:hint="default"/>
                      <w:lang w:val="en-US" w:eastAsia="zh-CN"/>
                    </w:rPr>
                    <w:t>180kg</w:t>
                  </w:r>
                </w:p>
              </w:tc>
              <w:tc>
                <w:tcPr>
                  <w:tcW w:w="740" w:type="pct"/>
                  <w:vAlign w:val="center"/>
                </w:tcPr>
                <w:p w14:paraId="08684232">
                  <w:pPr>
                    <w:pStyle w:val="41"/>
                    <w:bidi w:val="0"/>
                    <w:rPr>
                      <w:rFonts w:hint="eastAsia"/>
                      <w:lang w:val="en-US" w:eastAsia="zh-CN"/>
                    </w:rPr>
                  </w:pPr>
                  <w:r>
                    <w:rPr>
                      <w:rFonts w:hint="eastAsia"/>
                      <w:lang w:val="en-US" w:eastAsia="zh-CN"/>
                    </w:rPr>
                    <w:t>30kg</w:t>
                  </w:r>
                </w:p>
              </w:tc>
              <w:tc>
                <w:tcPr>
                  <w:tcW w:w="521" w:type="pct"/>
                  <w:vAlign w:val="center"/>
                </w:tcPr>
                <w:p w14:paraId="755740A1">
                  <w:pPr>
                    <w:pStyle w:val="41"/>
                    <w:bidi w:val="0"/>
                    <w:rPr>
                      <w:rFonts w:hint="eastAsia"/>
                      <w:lang w:val="en-US" w:eastAsia="zh-CN"/>
                    </w:rPr>
                  </w:pPr>
                  <w:r>
                    <w:rPr>
                      <w:rFonts w:hint="eastAsia"/>
                      <w:lang w:val="en-US" w:eastAsia="zh-CN"/>
                    </w:rPr>
                    <w:t>固体</w:t>
                  </w:r>
                </w:p>
              </w:tc>
              <w:tc>
                <w:tcPr>
                  <w:tcW w:w="447" w:type="pct"/>
                  <w:vMerge w:val="continue"/>
                  <w:vAlign w:val="center"/>
                </w:tcPr>
                <w:p w14:paraId="60808492">
                  <w:pPr>
                    <w:pStyle w:val="41"/>
                    <w:bidi w:val="0"/>
                    <w:rPr>
                      <w:rFonts w:hint="default"/>
                      <w:lang w:val="en-US" w:eastAsia="zh-CN"/>
                    </w:rPr>
                  </w:pPr>
                </w:p>
              </w:tc>
            </w:tr>
            <w:tr w14:paraId="1BA71C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28A5425">
                  <w:pPr>
                    <w:pStyle w:val="41"/>
                    <w:numPr>
                      <w:ilvl w:val="0"/>
                      <w:numId w:val="13"/>
                    </w:numPr>
                    <w:bidi w:val="0"/>
                    <w:ind w:left="454" w:leftChars="0" w:hanging="454" w:firstLineChars="0"/>
                    <w:jc w:val="center"/>
                    <w:rPr>
                      <w:rFonts w:hint="eastAsia"/>
                    </w:rPr>
                  </w:pPr>
                </w:p>
              </w:tc>
              <w:tc>
                <w:tcPr>
                  <w:tcW w:w="864" w:type="pct"/>
                  <w:vAlign w:val="center"/>
                </w:tcPr>
                <w:p w14:paraId="4F89B7A6">
                  <w:pPr>
                    <w:pStyle w:val="41"/>
                    <w:bidi w:val="0"/>
                    <w:rPr>
                      <w:rFonts w:hint="eastAsia"/>
                      <w:lang w:val="en-US" w:eastAsia="zh-CN"/>
                    </w:rPr>
                  </w:pPr>
                  <w:r>
                    <w:rPr>
                      <w:rFonts w:hint="default"/>
                      <w:lang w:val="en-US" w:eastAsia="zh-CN"/>
                    </w:rPr>
                    <w:t>氯化钠</w:t>
                  </w:r>
                </w:p>
              </w:tc>
              <w:tc>
                <w:tcPr>
                  <w:tcW w:w="669" w:type="pct"/>
                  <w:vAlign w:val="center"/>
                </w:tcPr>
                <w:p w14:paraId="67E5DCCD">
                  <w:pPr>
                    <w:pStyle w:val="41"/>
                    <w:bidi w:val="0"/>
                    <w:rPr>
                      <w:rFonts w:hint="default"/>
                      <w:lang w:val="en-US" w:eastAsia="zh-CN"/>
                    </w:rPr>
                  </w:pPr>
                  <w:r>
                    <w:rPr>
                      <w:rFonts w:hint="eastAsia"/>
                      <w:lang w:val="en-US" w:eastAsia="zh-CN"/>
                    </w:rPr>
                    <w:t>99.99%</w:t>
                  </w:r>
                </w:p>
              </w:tc>
              <w:tc>
                <w:tcPr>
                  <w:tcW w:w="687" w:type="pct"/>
                  <w:vAlign w:val="center"/>
                </w:tcPr>
                <w:p w14:paraId="6730FB68">
                  <w:pPr>
                    <w:pStyle w:val="41"/>
                    <w:bidi w:val="0"/>
                    <w:rPr>
                      <w:rFonts w:hint="eastAsia"/>
                    </w:rPr>
                  </w:pPr>
                  <w:r>
                    <w:rPr>
                      <w:rFonts w:hint="eastAsia"/>
                      <w:lang w:val="en-US" w:eastAsia="zh-CN"/>
                    </w:rPr>
                    <w:t>5kg/桶</w:t>
                  </w:r>
                </w:p>
              </w:tc>
              <w:tc>
                <w:tcPr>
                  <w:tcW w:w="771" w:type="pct"/>
                  <w:vAlign w:val="center"/>
                </w:tcPr>
                <w:p w14:paraId="35E37BD3">
                  <w:pPr>
                    <w:pStyle w:val="41"/>
                    <w:bidi w:val="0"/>
                    <w:rPr>
                      <w:rFonts w:hint="eastAsia"/>
                      <w:lang w:val="en-US" w:eastAsia="zh-CN"/>
                    </w:rPr>
                  </w:pPr>
                  <w:r>
                    <w:rPr>
                      <w:rFonts w:hint="default"/>
                      <w:lang w:val="en-US" w:eastAsia="zh-CN"/>
                    </w:rPr>
                    <w:t>500kg</w:t>
                  </w:r>
                </w:p>
              </w:tc>
              <w:tc>
                <w:tcPr>
                  <w:tcW w:w="740" w:type="pct"/>
                  <w:vAlign w:val="center"/>
                </w:tcPr>
                <w:p w14:paraId="2EA1E8D6">
                  <w:pPr>
                    <w:pStyle w:val="41"/>
                    <w:bidi w:val="0"/>
                    <w:rPr>
                      <w:rFonts w:hint="eastAsia"/>
                      <w:lang w:val="en-US" w:eastAsia="zh-CN"/>
                    </w:rPr>
                  </w:pPr>
                  <w:r>
                    <w:rPr>
                      <w:rFonts w:hint="eastAsia"/>
                      <w:lang w:val="en-US" w:eastAsia="zh-CN"/>
                    </w:rPr>
                    <w:t>100kg</w:t>
                  </w:r>
                </w:p>
              </w:tc>
              <w:tc>
                <w:tcPr>
                  <w:tcW w:w="521" w:type="pct"/>
                  <w:vAlign w:val="center"/>
                </w:tcPr>
                <w:p w14:paraId="0AA6E69E">
                  <w:pPr>
                    <w:pStyle w:val="41"/>
                    <w:bidi w:val="0"/>
                    <w:rPr>
                      <w:rFonts w:hint="eastAsia"/>
                      <w:lang w:val="en-US" w:eastAsia="zh-CN"/>
                    </w:rPr>
                  </w:pPr>
                  <w:r>
                    <w:rPr>
                      <w:rFonts w:hint="eastAsia"/>
                      <w:lang w:val="en-US" w:eastAsia="zh-CN"/>
                    </w:rPr>
                    <w:t>固体</w:t>
                  </w:r>
                </w:p>
              </w:tc>
              <w:tc>
                <w:tcPr>
                  <w:tcW w:w="447" w:type="pct"/>
                  <w:vMerge w:val="continue"/>
                  <w:vAlign w:val="center"/>
                </w:tcPr>
                <w:p w14:paraId="52460DB9">
                  <w:pPr>
                    <w:pStyle w:val="41"/>
                    <w:bidi w:val="0"/>
                    <w:rPr>
                      <w:rFonts w:hint="default"/>
                      <w:lang w:val="en-US" w:eastAsia="zh-CN"/>
                    </w:rPr>
                  </w:pPr>
                </w:p>
              </w:tc>
            </w:tr>
            <w:tr w14:paraId="1AC8FA4E">
              <w:tblPrEx>
                <w:tblCellMar>
                  <w:top w:w="0" w:type="dxa"/>
                  <w:left w:w="108" w:type="dxa"/>
                  <w:bottom w:w="0" w:type="dxa"/>
                  <w:right w:w="108" w:type="dxa"/>
                </w:tblCellMar>
              </w:tblPrEx>
              <w:trPr>
                <w:trHeight w:val="23" w:hRule="atLeast"/>
                <w:jc w:val="center"/>
              </w:trPr>
              <w:tc>
                <w:tcPr>
                  <w:tcW w:w="296" w:type="pct"/>
                  <w:vAlign w:val="center"/>
                </w:tcPr>
                <w:p w14:paraId="14D3EBE0">
                  <w:pPr>
                    <w:pStyle w:val="41"/>
                    <w:numPr>
                      <w:ilvl w:val="0"/>
                      <w:numId w:val="13"/>
                    </w:numPr>
                    <w:bidi w:val="0"/>
                    <w:ind w:left="454" w:leftChars="0" w:hanging="454" w:firstLineChars="0"/>
                    <w:jc w:val="center"/>
                    <w:rPr>
                      <w:rFonts w:hint="eastAsia"/>
                    </w:rPr>
                  </w:pPr>
                </w:p>
              </w:tc>
              <w:tc>
                <w:tcPr>
                  <w:tcW w:w="864" w:type="pct"/>
                  <w:vAlign w:val="center"/>
                </w:tcPr>
                <w:p w14:paraId="0E0736C8">
                  <w:pPr>
                    <w:pStyle w:val="41"/>
                    <w:bidi w:val="0"/>
                    <w:rPr>
                      <w:rFonts w:hint="eastAsia"/>
                      <w:lang w:val="en-US" w:eastAsia="zh-CN"/>
                    </w:rPr>
                  </w:pPr>
                  <w:r>
                    <w:rPr>
                      <w:rFonts w:hint="default"/>
                      <w:lang w:val="en-US" w:eastAsia="zh-CN"/>
                    </w:rPr>
                    <w:t>柠檬酸</w:t>
                  </w:r>
                </w:p>
              </w:tc>
              <w:tc>
                <w:tcPr>
                  <w:tcW w:w="669" w:type="pct"/>
                  <w:vAlign w:val="center"/>
                </w:tcPr>
                <w:p w14:paraId="3D4C789D">
                  <w:pPr>
                    <w:pStyle w:val="41"/>
                    <w:bidi w:val="0"/>
                    <w:rPr>
                      <w:rFonts w:hint="default"/>
                      <w:lang w:val="en-US" w:eastAsia="zh-CN"/>
                    </w:rPr>
                  </w:pPr>
                  <w:r>
                    <w:rPr>
                      <w:rFonts w:hint="eastAsia"/>
                      <w:lang w:val="en-US" w:eastAsia="zh-CN"/>
                    </w:rPr>
                    <w:t>99.99%</w:t>
                  </w:r>
                </w:p>
              </w:tc>
              <w:tc>
                <w:tcPr>
                  <w:tcW w:w="687" w:type="pct"/>
                  <w:vAlign w:val="center"/>
                </w:tcPr>
                <w:p w14:paraId="501F08B5">
                  <w:pPr>
                    <w:pStyle w:val="41"/>
                    <w:bidi w:val="0"/>
                    <w:rPr>
                      <w:rFonts w:hint="eastAsia"/>
                    </w:rPr>
                  </w:pPr>
                  <w:r>
                    <w:rPr>
                      <w:rFonts w:hint="eastAsia"/>
                      <w:lang w:val="en-US" w:eastAsia="zh-CN"/>
                    </w:rPr>
                    <w:t>5kg/桶</w:t>
                  </w:r>
                </w:p>
              </w:tc>
              <w:tc>
                <w:tcPr>
                  <w:tcW w:w="771" w:type="pct"/>
                  <w:vAlign w:val="center"/>
                </w:tcPr>
                <w:p w14:paraId="4663C419">
                  <w:pPr>
                    <w:pStyle w:val="41"/>
                    <w:bidi w:val="0"/>
                    <w:rPr>
                      <w:rFonts w:hint="eastAsia"/>
                      <w:lang w:val="en-US" w:eastAsia="zh-CN"/>
                    </w:rPr>
                  </w:pPr>
                  <w:r>
                    <w:rPr>
                      <w:rFonts w:hint="default"/>
                      <w:lang w:val="en-US" w:eastAsia="zh-CN"/>
                    </w:rPr>
                    <w:t>500kg</w:t>
                  </w:r>
                </w:p>
              </w:tc>
              <w:tc>
                <w:tcPr>
                  <w:tcW w:w="740" w:type="pct"/>
                  <w:vAlign w:val="center"/>
                </w:tcPr>
                <w:p w14:paraId="3A583107">
                  <w:pPr>
                    <w:pStyle w:val="41"/>
                    <w:bidi w:val="0"/>
                    <w:rPr>
                      <w:rFonts w:hint="eastAsia"/>
                      <w:lang w:val="en-US" w:eastAsia="zh-CN"/>
                    </w:rPr>
                  </w:pPr>
                  <w:r>
                    <w:rPr>
                      <w:rFonts w:hint="eastAsia"/>
                      <w:lang w:val="en-US" w:eastAsia="zh-CN"/>
                    </w:rPr>
                    <w:t>100kg</w:t>
                  </w:r>
                </w:p>
              </w:tc>
              <w:tc>
                <w:tcPr>
                  <w:tcW w:w="521" w:type="pct"/>
                  <w:vAlign w:val="center"/>
                </w:tcPr>
                <w:p w14:paraId="136F5631">
                  <w:pPr>
                    <w:pStyle w:val="41"/>
                    <w:bidi w:val="0"/>
                    <w:rPr>
                      <w:rFonts w:hint="eastAsia"/>
                      <w:lang w:val="en-US" w:eastAsia="zh-CN"/>
                    </w:rPr>
                  </w:pPr>
                  <w:r>
                    <w:rPr>
                      <w:rFonts w:hint="eastAsia"/>
                      <w:lang w:val="en-US" w:eastAsia="zh-CN"/>
                    </w:rPr>
                    <w:t>固体</w:t>
                  </w:r>
                </w:p>
              </w:tc>
              <w:tc>
                <w:tcPr>
                  <w:tcW w:w="447" w:type="pct"/>
                  <w:vMerge w:val="continue"/>
                  <w:vAlign w:val="center"/>
                </w:tcPr>
                <w:p w14:paraId="6D6E307A">
                  <w:pPr>
                    <w:pStyle w:val="41"/>
                    <w:bidi w:val="0"/>
                    <w:rPr>
                      <w:rFonts w:hint="default"/>
                      <w:lang w:val="en-US" w:eastAsia="zh-CN"/>
                    </w:rPr>
                  </w:pPr>
                </w:p>
              </w:tc>
            </w:tr>
            <w:tr w14:paraId="19DC84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374C0776">
                  <w:pPr>
                    <w:pStyle w:val="41"/>
                    <w:numPr>
                      <w:ilvl w:val="0"/>
                      <w:numId w:val="13"/>
                    </w:numPr>
                    <w:bidi w:val="0"/>
                    <w:ind w:left="454" w:leftChars="0" w:hanging="454" w:firstLineChars="0"/>
                    <w:jc w:val="center"/>
                    <w:rPr>
                      <w:rFonts w:hint="eastAsia"/>
                    </w:rPr>
                  </w:pPr>
                </w:p>
              </w:tc>
              <w:tc>
                <w:tcPr>
                  <w:tcW w:w="864" w:type="pct"/>
                  <w:vAlign w:val="center"/>
                </w:tcPr>
                <w:p w14:paraId="0D3C3C24">
                  <w:pPr>
                    <w:pStyle w:val="41"/>
                    <w:bidi w:val="0"/>
                    <w:rPr>
                      <w:rFonts w:hint="eastAsia"/>
                      <w:lang w:val="en-US" w:eastAsia="zh-CN"/>
                    </w:rPr>
                  </w:pPr>
                  <w:r>
                    <w:rPr>
                      <w:rFonts w:hint="default"/>
                      <w:lang w:val="en-US"/>
                    </w:rPr>
                    <w:t>Tris-base</w:t>
                  </w:r>
                  <w:r>
                    <w:rPr>
                      <w:rFonts w:hint="default"/>
                    </w:rPr>
                    <w:t>（三羟甲基</w:t>
                  </w:r>
                  <w:r>
                    <w:rPr>
                      <w:rFonts w:hint="eastAsia"/>
                      <w:lang w:eastAsia="zh-CN"/>
                    </w:rPr>
                    <w:t>氨基</w:t>
                  </w:r>
                  <w:r>
                    <w:rPr>
                      <w:rFonts w:hint="default"/>
                    </w:rPr>
                    <w:t>甲烷）</w:t>
                  </w:r>
                </w:p>
              </w:tc>
              <w:tc>
                <w:tcPr>
                  <w:tcW w:w="669" w:type="pct"/>
                  <w:vAlign w:val="center"/>
                </w:tcPr>
                <w:p w14:paraId="1715B348">
                  <w:pPr>
                    <w:pStyle w:val="41"/>
                    <w:bidi w:val="0"/>
                    <w:rPr>
                      <w:rFonts w:hint="default"/>
                      <w:lang w:val="en-US"/>
                    </w:rPr>
                  </w:pPr>
                  <w:r>
                    <w:rPr>
                      <w:rFonts w:hint="eastAsia"/>
                      <w:lang w:val="en-US" w:eastAsia="zh-CN"/>
                    </w:rPr>
                    <w:t>99.99%</w:t>
                  </w:r>
                </w:p>
              </w:tc>
              <w:tc>
                <w:tcPr>
                  <w:tcW w:w="687" w:type="pct"/>
                  <w:vAlign w:val="center"/>
                </w:tcPr>
                <w:p w14:paraId="5DBDBEA0">
                  <w:pPr>
                    <w:pStyle w:val="41"/>
                    <w:bidi w:val="0"/>
                    <w:rPr>
                      <w:rFonts w:hint="default"/>
                      <w:lang w:val="en-US" w:eastAsia="zh-CN"/>
                    </w:rPr>
                  </w:pPr>
                  <w:r>
                    <w:rPr>
                      <w:rFonts w:hint="eastAsia"/>
                      <w:lang w:val="en-US" w:eastAsia="zh-CN"/>
                    </w:rPr>
                    <w:t>500g/瓶</w:t>
                  </w:r>
                </w:p>
              </w:tc>
              <w:tc>
                <w:tcPr>
                  <w:tcW w:w="771" w:type="pct"/>
                  <w:vAlign w:val="center"/>
                </w:tcPr>
                <w:p w14:paraId="731A7598">
                  <w:pPr>
                    <w:pStyle w:val="41"/>
                    <w:bidi w:val="0"/>
                    <w:rPr>
                      <w:rFonts w:hint="eastAsia"/>
                      <w:lang w:val="en-US" w:eastAsia="zh-CN"/>
                    </w:rPr>
                  </w:pPr>
                  <w:r>
                    <w:rPr>
                      <w:rFonts w:hint="default"/>
                      <w:lang w:val="en-US" w:eastAsia="zh-CN"/>
                    </w:rPr>
                    <w:t>30kg</w:t>
                  </w:r>
                </w:p>
              </w:tc>
              <w:tc>
                <w:tcPr>
                  <w:tcW w:w="740" w:type="pct"/>
                  <w:vAlign w:val="center"/>
                </w:tcPr>
                <w:p w14:paraId="5D583F17">
                  <w:pPr>
                    <w:pStyle w:val="41"/>
                    <w:bidi w:val="0"/>
                    <w:rPr>
                      <w:rFonts w:hint="default"/>
                      <w:lang w:val="en-US" w:eastAsia="zh-CN"/>
                    </w:rPr>
                  </w:pPr>
                  <w:r>
                    <w:rPr>
                      <w:rFonts w:hint="eastAsia"/>
                      <w:lang w:val="en-US" w:eastAsia="zh-CN"/>
                    </w:rPr>
                    <w:t>5kg</w:t>
                  </w:r>
                </w:p>
              </w:tc>
              <w:tc>
                <w:tcPr>
                  <w:tcW w:w="521" w:type="pct"/>
                  <w:vAlign w:val="center"/>
                </w:tcPr>
                <w:p w14:paraId="7792F633">
                  <w:pPr>
                    <w:pStyle w:val="41"/>
                    <w:bidi w:val="0"/>
                    <w:rPr>
                      <w:rFonts w:hint="eastAsia"/>
                      <w:lang w:val="en-US" w:eastAsia="zh-CN"/>
                    </w:rPr>
                  </w:pPr>
                  <w:r>
                    <w:rPr>
                      <w:rFonts w:hint="eastAsia"/>
                      <w:lang w:val="en-US" w:eastAsia="zh-CN"/>
                    </w:rPr>
                    <w:t>固体</w:t>
                  </w:r>
                </w:p>
              </w:tc>
              <w:tc>
                <w:tcPr>
                  <w:tcW w:w="447" w:type="pct"/>
                  <w:vMerge w:val="continue"/>
                  <w:vAlign w:val="center"/>
                </w:tcPr>
                <w:p w14:paraId="1887C26E">
                  <w:pPr>
                    <w:pStyle w:val="41"/>
                    <w:bidi w:val="0"/>
                    <w:rPr>
                      <w:rFonts w:hint="default"/>
                      <w:lang w:val="en-US" w:eastAsia="zh-CN"/>
                    </w:rPr>
                  </w:pPr>
                </w:p>
              </w:tc>
            </w:tr>
            <w:tr w14:paraId="350D67A5">
              <w:tblPrEx>
                <w:tblCellMar>
                  <w:top w:w="0" w:type="dxa"/>
                  <w:left w:w="108" w:type="dxa"/>
                  <w:bottom w:w="0" w:type="dxa"/>
                  <w:right w:w="108" w:type="dxa"/>
                </w:tblCellMar>
              </w:tblPrEx>
              <w:trPr>
                <w:trHeight w:val="23" w:hRule="atLeast"/>
                <w:jc w:val="center"/>
              </w:trPr>
              <w:tc>
                <w:tcPr>
                  <w:tcW w:w="296" w:type="pct"/>
                  <w:vAlign w:val="center"/>
                </w:tcPr>
                <w:p w14:paraId="733817C9">
                  <w:pPr>
                    <w:pStyle w:val="41"/>
                    <w:numPr>
                      <w:ilvl w:val="0"/>
                      <w:numId w:val="13"/>
                    </w:numPr>
                    <w:bidi w:val="0"/>
                    <w:ind w:left="454" w:leftChars="0" w:hanging="454" w:firstLineChars="0"/>
                    <w:jc w:val="center"/>
                    <w:rPr>
                      <w:rFonts w:hint="eastAsia"/>
                    </w:rPr>
                  </w:pPr>
                </w:p>
              </w:tc>
              <w:tc>
                <w:tcPr>
                  <w:tcW w:w="864" w:type="pct"/>
                  <w:vAlign w:val="center"/>
                </w:tcPr>
                <w:p w14:paraId="15373F76">
                  <w:pPr>
                    <w:pStyle w:val="41"/>
                    <w:bidi w:val="0"/>
                    <w:rPr>
                      <w:rFonts w:hint="eastAsia"/>
                      <w:lang w:val="en-US" w:eastAsia="zh-CN"/>
                    </w:rPr>
                  </w:pPr>
                  <w:r>
                    <w:rPr>
                      <w:rFonts w:hint="default"/>
                    </w:rPr>
                    <w:t>种细胞</w:t>
                  </w:r>
                </w:p>
              </w:tc>
              <w:tc>
                <w:tcPr>
                  <w:tcW w:w="669" w:type="pct"/>
                  <w:vAlign w:val="center"/>
                </w:tcPr>
                <w:p w14:paraId="30E779F3">
                  <w:pPr>
                    <w:pStyle w:val="41"/>
                    <w:bidi w:val="0"/>
                    <w:rPr>
                      <w:rFonts w:hint="default" w:eastAsia="宋体"/>
                      <w:lang w:val="en-US" w:eastAsia="zh-CN"/>
                    </w:rPr>
                  </w:pPr>
                  <w:r>
                    <w:rPr>
                      <w:rFonts w:hint="eastAsia"/>
                      <w:lang w:val="en-US" w:eastAsia="zh-CN"/>
                    </w:rPr>
                    <w:t>/</w:t>
                  </w:r>
                </w:p>
              </w:tc>
              <w:tc>
                <w:tcPr>
                  <w:tcW w:w="687" w:type="pct"/>
                  <w:vAlign w:val="center"/>
                </w:tcPr>
                <w:p w14:paraId="1B750C20">
                  <w:pPr>
                    <w:pStyle w:val="41"/>
                    <w:bidi w:val="0"/>
                    <w:rPr>
                      <w:rFonts w:hint="eastAsia"/>
                      <w:lang w:val="en-US" w:eastAsia="zh-CN"/>
                    </w:rPr>
                  </w:pPr>
                  <w:r>
                    <w:rPr>
                      <w:rFonts w:hint="eastAsia"/>
                      <w:lang w:val="en-US" w:eastAsia="zh-CN"/>
                    </w:rPr>
                    <w:t>/</w:t>
                  </w:r>
                </w:p>
              </w:tc>
              <w:tc>
                <w:tcPr>
                  <w:tcW w:w="771" w:type="pct"/>
                  <w:vAlign w:val="center"/>
                </w:tcPr>
                <w:p w14:paraId="53E0730A">
                  <w:pPr>
                    <w:pStyle w:val="41"/>
                    <w:bidi w:val="0"/>
                    <w:rPr>
                      <w:rFonts w:hint="default"/>
                      <w:lang w:val="en-US" w:eastAsia="zh-CN"/>
                    </w:rPr>
                  </w:pPr>
                  <w:r>
                    <w:rPr>
                      <w:rFonts w:hint="eastAsia"/>
                      <w:lang w:val="en-US" w:eastAsia="zh-CN"/>
                    </w:rPr>
                    <w:t>0.0</w:t>
                  </w:r>
                  <w:r>
                    <w:rPr>
                      <w:rFonts w:hint="default"/>
                      <w:lang w:val="en-US" w:eastAsia="zh-CN"/>
                    </w:rPr>
                    <w:t>2</w:t>
                  </w:r>
                  <w:r>
                    <w:rPr>
                      <w:rFonts w:hint="eastAsia"/>
                      <w:lang w:val="en-US" w:eastAsia="zh-CN"/>
                    </w:rPr>
                    <w:t>kg</w:t>
                  </w:r>
                </w:p>
              </w:tc>
              <w:tc>
                <w:tcPr>
                  <w:tcW w:w="740" w:type="pct"/>
                  <w:vAlign w:val="center"/>
                </w:tcPr>
                <w:p w14:paraId="5D349D55">
                  <w:pPr>
                    <w:pStyle w:val="41"/>
                    <w:bidi w:val="0"/>
                    <w:rPr>
                      <w:rFonts w:hint="default"/>
                      <w:lang w:val="en-US" w:eastAsia="zh-CN"/>
                    </w:rPr>
                  </w:pPr>
                  <w:r>
                    <w:rPr>
                      <w:rFonts w:hint="eastAsia"/>
                      <w:lang w:val="en-US" w:eastAsia="zh-CN"/>
                    </w:rPr>
                    <w:t>0.0</w:t>
                  </w:r>
                  <w:r>
                    <w:rPr>
                      <w:rFonts w:hint="default"/>
                      <w:lang w:val="en-US" w:eastAsia="zh-CN"/>
                    </w:rPr>
                    <w:t>2</w:t>
                  </w:r>
                  <w:r>
                    <w:rPr>
                      <w:rFonts w:hint="eastAsia"/>
                      <w:lang w:val="en-US" w:eastAsia="zh-CN"/>
                    </w:rPr>
                    <w:t>kg</w:t>
                  </w:r>
                </w:p>
              </w:tc>
              <w:tc>
                <w:tcPr>
                  <w:tcW w:w="521" w:type="pct"/>
                  <w:vAlign w:val="center"/>
                </w:tcPr>
                <w:p w14:paraId="3D6F23EA">
                  <w:pPr>
                    <w:pStyle w:val="41"/>
                    <w:bidi w:val="0"/>
                    <w:rPr>
                      <w:rFonts w:hint="eastAsia"/>
                      <w:lang w:val="en-US" w:eastAsia="zh-CN"/>
                    </w:rPr>
                  </w:pPr>
                  <w:r>
                    <w:rPr>
                      <w:rFonts w:hint="eastAsia"/>
                      <w:lang w:val="en-US" w:eastAsia="zh-CN"/>
                    </w:rPr>
                    <w:t>固体</w:t>
                  </w:r>
                </w:p>
              </w:tc>
              <w:tc>
                <w:tcPr>
                  <w:tcW w:w="447" w:type="pct"/>
                  <w:vMerge w:val="continue"/>
                  <w:vAlign w:val="center"/>
                </w:tcPr>
                <w:p w14:paraId="2BD19DB2">
                  <w:pPr>
                    <w:pStyle w:val="41"/>
                    <w:bidi w:val="0"/>
                    <w:rPr>
                      <w:rFonts w:hint="default"/>
                      <w:lang w:val="en-US" w:eastAsia="zh-CN"/>
                    </w:rPr>
                  </w:pPr>
                </w:p>
              </w:tc>
            </w:tr>
            <w:tr w14:paraId="0ABD8C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1C50B41">
                  <w:pPr>
                    <w:pStyle w:val="41"/>
                    <w:numPr>
                      <w:ilvl w:val="0"/>
                      <w:numId w:val="13"/>
                    </w:numPr>
                    <w:bidi w:val="0"/>
                    <w:ind w:left="454" w:leftChars="0" w:hanging="454" w:firstLineChars="0"/>
                    <w:jc w:val="center"/>
                    <w:rPr>
                      <w:rFonts w:hint="eastAsia"/>
                    </w:rPr>
                  </w:pPr>
                </w:p>
              </w:tc>
              <w:tc>
                <w:tcPr>
                  <w:tcW w:w="864" w:type="pct"/>
                  <w:vAlign w:val="center"/>
                </w:tcPr>
                <w:p w14:paraId="58C64A51">
                  <w:pPr>
                    <w:pStyle w:val="41"/>
                    <w:bidi w:val="0"/>
                    <w:rPr>
                      <w:rFonts w:hint="eastAsia"/>
                      <w:lang w:val="en-US" w:eastAsia="zh-CN"/>
                    </w:rPr>
                  </w:pPr>
                  <w:r>
                    <w:rPr>
                      <w:rFonts w:hint="default"/>
                      <w:lang w:val="en-US" w:eastAsia="zh-CN"/>
                    </w:rPr>
                    <w:t>氨苄西林三水</w:t>
                  </w:r>
                </w:p>
              </w:tc>
              <w:tc>
                <w:tcPr>
                  <w:tcW w:w="669" w:type="pct"/>
                  <w:vAlign w:val="center"/>
                </w:tcPr>
                <w:p w14:paraId="7E96F045">
                  <w:pPr>
                    <w:pStyle w:val="41"/>
                    <w:bidi w:val="0"/>
                    <w:rPr>
                      <w:rFonts w:hint="default"/>
                      <w:lang w:val="en-US" w:eastAsia="zh-CN"/>
                    </w:rPr>
                  </w:pPr>
                  <w:r>
                    <w:rPr>
                      <w:rFonts w:hint="eastAsia"/>
                      <w:lang w:val="en-US" w:eastAsia="zh-CN"/>
                    </w:rPr>
                    <w:t>96%</w:t>
                  </w:r>
                </w:p>
              </w:tc>
              <w:tc>
                <w:tcPr>
                  <w:tcW w:w="687" w:type="pct"/>
                  <w:vAlign w:val="center"/>
                </w:tcPr>
                <w:p w14:paraId="58C6884F">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26B32BC8">
                  <w:pPr>
                    <w:pStyle w:val="41"/>
                    <w:bidi w:val="0"/>
                    <w:rPr>
                      <w:rFonts w:hint="eastAsia"/>
                      <w:lang w:val="en-US" w:eastAsia="zh-CN"/>
                    </w:rPr>
                  </w:pPr>
                  <w:r>
                    <w:rPr>
                      <w:rFonts w:hint="default"/>
                      <w:lang w:val="en-US" w:eastAsia="zh-CN"/>
                    </w:rPr>
                    <w:t>0.534g</w:t>
                  </w:r>
                </w:p>
              </w:tc>
              <w:tc>
                <w:tcPr>
                  <w:tcW w:w="740" w:type="pct"/>
                  <w:vAlign w:val="center"/>
                </w:tcPr>
                <w:p w14:paraId="5261A31A">
                  <w:pPr>
                    <w:pStyle w:val="41"/>
                    <w:bidi w:val="0"/>
                    <w:rPr>
                      <w:rFonts w:hint="eastAsia"/>
                      <w:lang w:val="en-US" w:eastAsia="zh-CN"/>
                    </w:rPr>
                  </w:pPr>
                  <w:r>
                    <w:rPr>
                      <w:rFonts w:hint="default"/>
                      <w:lang w:val="en-US" w:eastAsia="zh-CN"/>
                    </w:rPr>
                    <w:t>0.534g</w:t>
                  </w:r>
                </w:p>
              </w:tc>
              <w:tc>
                <w:tcPr>
                  <w:tcW w:w="521" w:type="pct"/>
                  <w:vAlign w:val="center"/>
                </w:tcPr>
                <w:p w14:paraId="2F097FA9">
                  <w:pPr>
                    <w:pStyle w:val="41"/>
                    <w:bidi w:val="0"/>
                    <w:rPr>
                      <w:rFonts w:hint="eastAsia"/>
                      <w:lang w:val="en-US" w:eastAsia="zh-CN"/>
                    </w:rPr>
                  </w:pPr>
                  <w:r>
                    <w:rPr>
                      <w:rFonts w:hint="eastAsia"/>
                      <w:lang w:val="en-US" w:eastAsia="zh-CN"/>
                    </w:rPr>
                    <w:t>固体</w:t>
                  </w:r>
                </w:p>
              </w:tc>
              <w:tc>
                <w:tcPr>
                  <w:tcW w:w="447" w:type="pct"/>
                  <w:vMerge w:val="continue"/>
                  <w:vAlign w:val="center"/>
                </w:tcPr>
                <w:p w14:paraId="388A88D0">
                  <w:pPr>
                    <w:pStyle w:val="41"/>
                    <w:bidi w:val="0"/>
                    <w:rPr>
                      <w:rFonts w:hint="default"/>
                      <w:lang w:val="en-US" w:eastAsia="zh-CN"/>
                    </w:rPr>
                  </w:pPr>
                </w:p>
              </w:tc>
            </w:tr>
            <w:tr w14:paraId="29A14A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AE01044">
                  <w:pPr>
                    <w:pStyle w:val="41"/>
                    <w:numPr>
                      <w:ilvl w:val="0"/>
                      <w:numId w:val="13"/>
                    </w:numPr>
                    <w:bidi w:val="0"/>
                    <w:ind w:left="454" w:leftChars="0" w:hanging="454" w:firstLineChars="0"/>
                    <w:jc w:val="center"/>
                    <w:rPr>
                      <w:rFonts w:hint="eastAsia"/>
                    </w:rPr>
                  </w:pPr>
                </w:p>
              </w:tc>
              <w:tc>
                <w:tcPr>
                  <w:tcW w:w="864" w:type="pct"/>
                  <w:vAlign w:val="center"/>
                </w:tcPr>
                <w:p w14:paraId="3CEBEAAE">
                  <w:pPr>
                    <w:pStyle w:val="41"/>
                    <w:bidi w:val="0"/>
                    <w:rPr>
                      <w:rFonts w:hint="eastAsia"/>
                      <w:lang w:val="en-US" w:eastAsia="zh-CN"/>
                    </w:rPr>
                  </w:pPr>
                  <w:r>
                    <w:rPr>
                      <w:rFonts w:hint="default"/>
                      <w:lang w:val="en-US" w:eastAsia="zh-CN"/>
                    </w:rPr>
                    <w:t>阿莫西林</w:t>
                  </w:r>
                </w:p>
              </w:tc>
              <w:tc>
                <w:tcPr>
                  <w:tcW w:w="669" w:type="pct"/>
                  <w:vAlign w:val="center"/>
                </w:tcPr>
                <w:p w14:paraId="65DA1ECF">
                  <w:pPr>
                    <w:pStyle w:val="41"/>
                    <w:bidi w:val="0"/>
                    <w:rPr>
                      <w:rFonts w:hint="default"/>
                      <w:lang w:val="en-US" w:eastAsia="zh-CN"/>
                    </w:rPr>
                  </w:pPr>
                  <w:r>
                    <w:rPr>
                      <w:rFonts w:hint="eastAsia"/>
                      <w:lang w:val="en-US" w:eastAsia="zh-CN"/>
                    </w:rPr>
                    <w:t>/</w:t>
                  </w:r>
                </w:p>
              </w:tc>
              <w:tc>
                <w:tcPr>
                  <w:tcW w:w="687" w:type="pct"/>
                  <w:vAlign w:val="center"/>
                </w:tcPr>
                <w:p w14:paraId="629D66E1">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617A1439">
                  <w:pPr>
                    <w:pStyle w:val="41"/>
                    <w:bidi w:val="0"/>
                    <w:rPr>
                      <w:rFonts w:hint="eastAsia"/>
                      <w:lang w:val="en-US" w:eastAsia="zh-CN"/>
                    </w:rPr>
                  </w:pPr>
                  <w:r>
                    <w:rPr>
                      <w:rFonts w:hint="default"/>
                      <w:lang w:val="en-US" w:eastAsia="zh-CN"/>
                    </w:rPr>
                    <w:t>0.534g</w:t>
                  </w:r>
                </w:p>
              </w:tc>
              <w:tc>
                <w:tcPr>
                  <w:tcW w:w="740" w:type="pct"/>
                  <w:vAlign w:val="center"/>
                </w:tcPr>
                <w:p w14:paraId="61142FD5">
                  <w:pPr>
                    <w:pStyle w:val="41"/>
                    <w:bidi w:val="0"/>
                    <w:rPr>
                      <w:rFonts w:hint="eastAsia"/>
                      <w:lang w:val="en-US" w:eastAsia="zh-CN"/>
                    </w:rPr>
                  </w:pPr>
                  <w:r>
                    <w:rPr>
                      <w:rFonts w:hint="default"/>
                      <w:lang w:val="en-US" w:eastAsia="zh-CN"/>
                    </w:rPr>
                    <w:t>0.534g</w:t>
                  </w:r>
                </w:p>
              </w:tc>
              <w:tc>
                <w:tcPr>
                  <w:tcW w:w="521" w:type="pct"/>
                  <w:vAlign w:val="center"/>
                </w:tcPr>
                <w:p w14:paraId="7EF4136C">
                  <w:pPr>
                    <w:pStyle w:val="41"/>
                    <w:bidi w:val="0"/>
                    <w:rPr>
                      <w:rFonts w:hint="eastAsia"/>
                      <w:lang w:val="en-US" w:eastAsia="zh-CN"/>
                    </w:rPr>
                  </w:pPr>
                  <w:r>
                    <w:rPr>
                      <w:rFonts w:hint="eastAsia"/>
                      <w:lang w:val="en-US" w:eastAsia="zh-CN"/>
                    </w:rPr>
                    <w:t>固体</w:t>
                  </w:r>
                </w:p>
              </w:tc>
              <w:tc>
                <w:tcPr>
                  <w:tcW w:w="447" w:type="pct"/>
                  <w:vMerge w:val="continue"/>
                  <w:vAlign w:val="center"/>
                </w:tcPr>
                <w:p w14:paraId="1872C686">
                  <w:pPr>
                    <w:pStyle w:val="41"/>
                    <w:bidi w:val="0"/>
                    <w:rPr>
                      <w:rFonts w:hint="default"/>
                      <w:lang w:val="en-US" w:eastAsia="zh-CN"/>
                    </w:rPr>
                  </w:pPr>
                </w:p>
              </w:tc>
            </w:tr>
            <w:tr w14:paraId="675A81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EA810EB">
                  <w:pPr>
                    <w:pStyle w:val="41"/>
                    <w:numPr>
                      <w:ilvl w:val="0"/>
                      <w:numId w:val="13"/>
                    </w:numPr>
                    <w:bidi w:val="0"/>
                    <w:ind w:left="454" w:leftChars="0" w:hanging="454" w:firstLineChars="0"/>
                    <w:jc w:val="center"/>
                    <w:rPr>
                      <w:rFonts w:hint="eastAsia"/>
                    </w:rPr>
                  </w:pPr>
                </w:p>
              </w:tc>
              <w:tc>
                <w:tcPr>
                  <w:tcW w:w="864" w:type="pct"/>
                  <w:vAlign w:val="center"/>
                </w:tcPr>
                <w:p w14:paraId="1183560C">
                  <w:pPr>
                    <w:pStyle w:val="41"/>
                    <w:bidi w:val="0"/>
                    <w:rPr>
                      <w:rFonts w:hint="eastAsia"/>
                      <w:lang w:val="en-US" w:eastAsia="zh-CN"/>
                    </w:rPr>
                  </w:pPr>
                  <w:r>
                    <w:rPr>
                      <w:rFonts w:hint="default"/>
                      <w:lang w:val="en-US" w:eastAsia="zh-CN"/>
                    </w:rPr>
                    <w:t>苯唑西林钠</w:t>
                  </w:r>
                </w:p>
              </w:tc>
              <w:tc>
                <w:tcPr>
                  <w:tcW w:w="669" w:type="pct"/>
                  <w:vAlign w:val="center"/>
                </w:tcPr>
                <w:p w14:paraId="58FE2454">
                  <w:pPr>
                    <w:pStyle w:val="41"/>
                    <w:bidi w:val="0"/>
                    <w:rPr>
                      <w:rFonts w:hint="default"/>
                      <w:lang w:val="en-US" w:eastAsia="zh-CN"/>
                    </w:rPr>
                  </w:pPr>
                  <w:r>
                    <w:rPr>
                      <w:rFonts w:hint="eastAsia"/>
                      <w:lang w:val="en-US" w:eastAsia="zh-CN"/>
                    </w:rPr>
                    <w:t>/</w:t>
                  </w:r>
                </w:p>
              </w:tc>
              <w:tc>
                <w:tcPr>
                  <w:tcW w:w="687" w:type="pct"/>
                  <w:vAlign w:val="center"/>
                </w:tcPr>
                <w:p w14:paraId="330FC116">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54EFD8AA">
                  <w:pPr>
                    <w:pStyle w:val="41"/>
                    <w:bidi w:val="0"/>
                    <w:rPr>
                      <w:rFonts w:hint="eastAsia"/>
                      <w:lang w:val="en-US" w:eastAsia="zh-CN"/>
                    </w:rPr>
                  </w:pPr>
                  <w:r>
                    <w:rPr>
                      <w:rFonts w:hint="default"/>
                      <w:lang w:val="en-US" w:eastAsia="zh-CN"/>
                    </w:rPr>
                    <w:t>0.534g</w:t>
                  </w:r>
                </w:p>
              </w:tc>
              <w:tc>
                <w:tcPr>
                  <w:tcW w:w="740" w:type="pct"/>
                  <w:vAlign w:val="center"/>
                </w:tcPr>
                <w:p w14:paraId="237B42C3">
                  <w:pPr>
                    <w:pStyle w:val="41"/>
                    <w:bidi w:val="0"/>
                    <w:rPr>
                      <w:rFonts w:hint="eastAsia"/>
                      <w:lang w:val="en-US" w:eastAsia="zh-CN"/>
                    </w:rPr>
                  </w:pPr>
                  <w:r>
                    <w:rPr>
                      <w:rFonts w:hint="default"/>
                      <w:lang w:val="en-US" w:eastAsia="zh-CN"/>
                    </w:rPr>
                    <w:t>0.534g</w:t>
                  </w:r>
                </w:p>
              </w:tc>
              <w:tc>
                <w:tcPr>
                  <w:tcW w:w="521" w:type="pct"/>
                  <w:vAlign w:val="center"/>
                </w:tcPr>
                <w:p w14:paraId="41B762F3">
                  <w:pPr>
                    <w:pStyle w:val="41"/>
                    <w:bidi w:val="0"/>
                    <w:rPr>
                      <w:rFonts w:hint="eastAsia"/>
                      <w:lang w:val="en-US" w:eastAsia="zh-CN"/>
                    </w:rPr>
                  </w:pPr>
                  <w:r>
                    <w:rPr>
                      <w:rFonts w:hint="eastAsia"/>
                      <w:lang w:val="en-US" w:eastAsia="zh-CN"/>
                    </w:rPr>
                    <w:t>固体</w:t>
                  </w:r>
                </w:p>
              </w:tc>
              <w:tc>
                <w:tcPr>
                  <w:tcW w:w="447" w:type="pct"/>
                  <w:vMerge w:val="continue"/>
                  <w:vAlign w:val="center"/>
                </w:tcPr>
                <w:p w14:paraId="4B87DD47">
                  <w:pPr>
                    <w:pStyle w:val="41"/>
                    <w:bidi w:val="0"/>
                    <w:rPr>
                      <w:rFonts w:hint="default"/>
                      <w:lang w:val="en-US" w:eastAsia="zh-CN"/>
                    </w:rPr>
                  </w:pPr>
                </w:p>
              </w:tc>
            </w:tr>
            <w:tr w14:paraId="6BAA38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56DA674">
                  <w:pPr>
                    <w:pStyle w:val="41"/>
                    <w:numPr>
                      <w:ilvl w:val="0"/>
                      <w:numId w:val="13"/>
                    </w:numPr>
                    <w:bidi w:val="0"/>
                    <w:ind w:left="454" w:leftChars="0" w:hanging="454" w:firstLineChars="0"/>
                    <w:jc w:val="center"/>
                    <w:rPr>
                      <w:rFonts w:hint="eastAsia"/>
                    </w:rPr>
                  </w:pPr>
                </w:p>
              </w:tc>
              <w:tc>
                <w:tcPr>
                  <w:tcW w:w="864" w:type="pct"/>
                  <w:vAlign w:val="center"/>
                </w:tcPr>
                <w:p w14:paraId="2015F80F">
                  <w:pPr>
                    <w:pStyle w:val="41"/>
                    <w:bidi w:val="0"/>
                    <w:rPr>
                      <w:rFonts w:hint="eastAsia"/>
                      <w:lang w:val="en-US" w:eastAsia="zh-CN"/>
                    </w:rPr>
                  </w:pPr>
                  <w:r>
                    <w:rPr>
                      <w:rFonts w:hint="default"/>
                      <w:lang w:val="en-US" w:eastAsia="zh-CN"/>
                    </w:rPr>
                    <w:t>硫酸阿米卡星</w:t>
                  </w:r>
                </w:p>
              </w:tc>
              <w:tc>
                <w:tcPr>
                  <w:tcW w:w="669" w:type="pct"/>
                  <w:vAlign w:val="center"/>
                </w:tcPr>
                <w:p w14:paraId="63A685C1">
                  <w:pPr>
                    <w:pStyle w:val="41"/>
                    <w:bidi w:val="0"/>
                    <w:rPr>
                      <w:rFonts w:hint="default"/>
                      <w:lang w:val="en-US" w:eastAsia="zh-CN"/>
                    </w:rPr>
                  </w:pPr>
                  <w:r>
                    <w:rPr>
                      <w:rFonts w:hint="eastAsia"/>
                      <w:lang w:val="en-US" w:eastAsia="zh-CN"/>
                    </w:rPr>
                    <w:t>/</w:t>
                  </w:r>
                </w:p>
              </w:tc>
              <w:tc>
                <w:tcPr>
                  <w:tcW w:w="687" w:type="pct"/>
                  <w:vAlign w:val="center"/>
                </w:tcPr>
                <w:p w14:paraId="4E239760">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1242EB05">
                  <w:pPr>
                    <w:pStyle w:val="41"/>
                    <w:bidi w:val="0"/>
                    <w:rPr>
                      <w:rFonts w:hint="eastAsia"/>
                      <w:lang w:val="en-US" w:eastAsia="zh-CN"/>
                    </w:rPr>
                  </w:pPr>
                  <w:r>
                    <w:rPr>
                      <w:rFonts w:hint="default"/>
                      <w:lang w:val="en-US" w:eastAsia="zh-CN"/>
                    </w:rPr>
                    <w:t>0.534g</w:t>
                  </w:r>
                </w:p>
              </w:tc>
              <w:tc>
                <w:tcPr>
                  <w:tcW w:w="740" w:type="pct"/>
                  <w:vAlign w:val="center"/>
                </w:tcPr>
                <w:p w14:paraId="5C2EAF6D">
                  <w:pPr>
                    <w:pStyle w:val="41"/>
                    <w:bidi w:val="0"/>
                    <w:rPr>
                      <w:rFonts w:hint="eastAsia"/>
                      <w:lang w:val="en-US" w:eastAsia="zh-CN"/>
                    </w:rPr>
                  </w:pPr>
                  <w:r>
                    <w:rPr>
                      <w:rFonts w:hint="default"/>
                      <w:lang w:val="en-US" w:eastAsia="zh-CN"/>
                    </w:rPr>
                    <w:t>0.534g</w:t>
                  </w:r>
                </w:p>
              </w:tc>
              <w:tc>
                <w:tcPr>
                  <w:tcW w:w="521" w:type="pct"/>
                  <w:vAlign w:val="center"/>
                </w:tcPr>
                <w:p w14:paraId="2CC74393">
                  <w:pPr>
                    <w:pStyle w:val="41"/>
                    <w:bidi w:val="0"/>
                    <w:rPr>
                      <w:rFonts w:hint="eastAsia"/>
                      <w:lang w:val="en-US" w:eastAsia="zh-CN"/>
                    </w:rPr>
                  </w:pPr>
                  <w:r>
                    <w:rPr>
                      <w:rFonts w:hint="eastAsia"/>
                      <w:lang w:val="en-US" w:eastAsia="zh-CN"/>
                    </w:rPr>
                    <w:t>固体</w:t>
                  </w:r>
                </w:p>
              </w:tc>
              <w:tc>
                <w:tcPr>
                  <w:tcW w:w="447" w:type="pct"/>
                  <w:vMerge w:val="continue"/>
                  <w:vAlign w:val="center"/>
                </w:tcPr>
                <w:p w14:paraId="4955F696">
                  <w:pPr>
                    <w:pStyle w:val="41"/>
                    <w:bidi w:val="0"/>
                    <w:rPr>
                      <w:rFonts w:hint="default"/>
                      <w:lang w:val="en-US" w:eastAsia="zh-CN"/>
                    </w:rPr>
                  </w:pPr>
                </w:p>
              </w:tc>
            </w:tr>
            <w:tr w14:paraId="31EC9C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D3E79E1">
                  <w:pPr>
                    <w:pStyle w:val="41"/>
                    <w:numPr>
                      <w:ilvl w:val="0"/>
                      <w:numId w:val="13"/>
                    </w:numPr>
                    <w:bidi w:val="0"/>
                    <w:ind w:left="454" w:leftChars="0" w:hanging="454" w:firstLineChars="0"/>
                    <w:jc w:val="center"/>
                    <w:rPr>
                      <w:rFonts w:hint="eastAsia"/>
                    </w:rPr>
                  </w:pPr>
                </w:p>
              </w:tc>
              <w:tc>
                <w:tcPr>
                  <w:tcW w:w="864" w:type="pct"/>
                  <w:vAlign w:val="center"/>
                </w:tcPr>
                <w:p w14:paraId="3D0B64DD">
                  <w:pPr>
                    <w:pStyle w:val="41"/>
                    <w:bidi w:val="0"/>
                    <w:rPr>
                      <w:rFonts w:hint="eastAsia"/>
                      <w:lang w:val="en-US" w:eastAsia="zh-CN"/>
                    </w:rPr>
                  </w:pPr>
                  <w:r>
                    <w:rPr>
                      <w:rFonts w:hint="default"/>
                      <w:lang w:val="en-US" w:eastAsia="zh-CN"/>
                    </w:rPr>
                    <w:t>硫酸庆大霉素</w:t>
                  </w:r>
                </w:p>
              </w:tc>
              <w:tc>
                <w:tcPr>
                  <w:tcW w:w="669" w:type="pct"/>
                  <w:vAlign w:val="center"/>
                </w:tcPr>
                <w:p w14:paraId="31E0B854">
                  <w:pPr>
                    <w:pStyle w:val="41"/>
                    <w:bidi w:val="0"/>
                    <w:rPr>
                      <w:rFonts w:hint="default"/>
                      <w:lang w:val="en-US" w:eastAsia="zh-CN"/>
                    </w:rPr>
                  </w:pPr>
                  <w:r>
                    <w:rPr>
                      <w:rFonts w:hint="eastAsia"/>
                      <w:lang w:val="en-US" w:eastAsia="zh-CN"/>
                    </w:rPr>
                    <w:t>/</w:t>
                  </w:r>
                </w:p>
              </w:tc>
              <w:tc>
                <w:tcPr>
                  <w:tcW w:w="687" w:type="pct"/>
                  <w:vAlign w:val="center"/>
                </w:tcPr>
                <w:p w14:paraId="465536D5">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11620669">
                  <w:pPr>
                    <w:pStyle w:val="41"/>
                    <w:bidi w:val="0"/>
                    <w:rPr>
                      <w:rFonts w:hint="eastAsia"/>
                      <w:lang w:val="en-US" w:eastAsia="zh-CN"/>
                    </w:rPr>
                  </w:pPr>
                  <w:r>
                    <w:rPr>
                      <w:rFonts w:hint="default"/>
                      <w:lang w:val="en-US" w:eastAsia="zh-CN"/>
                    </w:rPr>
                    <w:t>0.534g</w:t>
                  </w:r>
                </w:p>
              </w:tc>
              <w:tc>
                <w:tcPr>
                  <w:tcW w:w="740" w:type="pct"/>
                  <w:vAlign w:val="center"/>
                </w:tcPr>
                <w:p w14:paraId="133E2E30">
                  <w:pPr>
                    <w:pStyle w:val="41"/>
                    <w:bidi w:val="0"/>
                    <w:rPr>
                      <w:rFonts w:hint="eastAsia"/>
                      <w:lang w:val="en-US" w:eastAsia="zh-CN"/>
                    </w:rPr>
                  </w:pPr>
                  <w:r>
                    <w:rPr>
                      <w:rFonts w:hint="default"/>
                      <w:lang w:val="en-US" w:eastAsia="zh-CN"/>
                    </w:rPr>
                    <w:t>0.534g</w:t>
                  </w:r>
                </w:p>
              </w:tc>
              <w:tc>
                <w:tcPr>
                  <w:tcW w:w="521" w:type="pct"/>
                  <w:vAlign w:val="center"/>
                </w:tcPr>
                <w:p w14:paraId="713DE173">
                  <w:pPr>
                    <w:pStyle w:val="41"/>
                    <w:bidi w:val="0"/>
                    <w:rPr>
                      <w:rFonts w:hint="eastAsia"/>
                      <w:lang w:val="en-US" w:eastAsia="zh-CN"/>
                    </w:rPr>
                  </w:pPr>
                  <w:r>
                    <w:rPr>
                      <w:rFonts w:hint="eastAsia"/>
                      <w:lang w:val="en-US" w:eastAsia="zh-CN"/>
                    </w:rPr>
                    <w:t>固体</w:t>
                  </w:r>
                </w:p>
              </w:tc>
              <w:tc>
                <w:tcPr>
                  <w:tcW w:w="447" w:type="pct"/>
                  <w:vMerge w:val="continue"/>
                  <w:vAlign w:val="center"/>
                </w:tcPr>
                <w:p w14:paraId="66F71C84">
                  <w:pPr>
                    <w:pStyle w:val="41"/>
                    <w:bidi w:val="0"/>
                    <w:rPr>
                      <w:rFonts w:hint="default"/>
                      <w:lang w:val="en-US" w:eastAsia="zh-CN"/>
                    </w:rPr>
                  </w:pPr>
                </w:p>
              </w:tc>
            </w:tr>
            <w:tr w14:paraId="32E949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98A6C15">
                  <w:pPr>
                    <w:pStyle w:val="41"/>
                    <w:numPr>
                      <w:ilvl w:val="0"/>
                      <w:numId w:val="13"/>
                    </w:numPr>
                    <w:bidi w:val="0"/>
                    <w:ind w:left="454" w:leftChars="0" w:hanging="454" w:firstLineChars="0"/>
                    <w:jc w:val="center"/>
                    <w:rPr>
                      <w:rFonts w:hint="eastAsia"/>
                    </w:rPr>
                  </w:pPr>
                </w:p>
              </w:tc>
              <w:tc>
                <w:tcPr>
                  <w:tcW w:w="864" w:type="pct"/>
                  <w:vAlign w:val="center"/>
                </w:tcPr>
                <w:p w14:paraId="43837CBB">
                  <w:pPr>
                    <w:pStyle w:val="41"/>
                    <w:bidi w:val="0"/>
                    <w:rPr>
                      <w:rFonts w:hint="eastAsia"/>
                      <w:lang w:val="en-US" w:eastAsia="zh-CN"/>
                    </w:rPr>
                  </w:pPr>
                  <w:r>
                    <w:rPr>
                      <w:rFonts w:hint="default"/>
                      <w:lang w:val="en-US" w:eastAsia="zh-CN"/>
                    </w:rPr>
                    <w:t>硫酸奈替米星</w:t>
                  </w:r>
                </w:p>
              </w:tc>
              <w:tc>
                <w:tcPr>
                  <w:tcW w:w="669" w:type="pct"/>
                  <w:vAlign w:val="center"/>
                </w:tcPr>
                <w:p w14:paraId="5AA47C4F">
                  <w:pPr>
                    <w:pStyle w:val="41"/>
                    <w:bidi w:val="0"/>
                    <w:rPr>
                      <w:rFonts w:hint="default"/>
                      <w:lang w:val="en-US" w:eastAsia="zh-CN"/>
                    </w:rPr>
                  </w:pPr>
                  <w:r>
                    <w:rPr>
                      <w:rFonts w:hint="eastAsia"/>
                      <w:lang w:val="en-US" w:eastAsia="zh-CN"/>
                    </w:rPr>
                    <w:t>/</w:t>
                  </w:r>
                </w:p>
              </w:tc>
              <w:tc>
                <w:tcPr>
                  <w:tcW w:w="687" w:type="pct"/>
                  <w:vAlign w:val="center"/>
                </w:tcPr>
                <w:p w14:paraId="2442E70E">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438A8B7C">
                  <w:pPr>
                    <w:pStyle w:val="41"/>
                    <w:bidi w:val="0"/>
                    <w:rPr>
                      <w:rFonts w:hint="eastAsia"/>
                      <w:lang w:val="en-US" w:eastAsia="zh-CN"/>
                    </w:rPr>
                  </w:pPr>
                  <w:r>
                    <w:rPr>
                      <w:rFonts w:hint="default"/>
                      <w:lang w:val="en-US" w:eastAsia="zh-CN"/>
                    </w:rPr>
                    <w:t>0.534g</w:t>
                  </w:r>
                </w:p>
              </w:tc>
              <w:tc>
                <w:tcPr>
                  <w:tcW w:w="740" w:type="pct"/>
                  <w:vAlign w:val="center"/>
                </w:tcPr>
                <w:p w14:paraId="036E592E">
                  <w:pPr>
                    <w:pStyle w:val="41"/>
                    <w:bidi w:val="0"/>
                    <w:rPr>
                      <w:rFonts w:hint="eastAsia"/>
                      <w:lang w:val="en-US" w:eastAsia="zh-CN"/>
                    </w:rPr>
                  </w:pPr>
                  <w:r>
                    <w:rPr>
                      <w:rFonts w:hint="default"/>
                      <w:lang w:val="en-US" w:eastAsia="zh-CN"/>
                    </w:rPr>
                    <w:t>0.534g</w:t>
                  </w:r>
                </w:p>
              </w:tc>
              <w:tc>
                <w:tcPr>
                  <w:tcW w:w="521" w:type="pct"/>
                  <w:vAlign w:val="center"/>
                </w:tcPr>
                <w:p w14:paraId="44BEB819">
                  <w:pPr>
                    <w:pStyle w:val="41"/>
                    <w:bidi w:val="0"/>
                    <w:rPr>
                      <w:rFonts w:hint="eastAsia"/>
                      <w:lang w:val="en-US" w:eastAsia="zh-CN"/>
                    </w:rPr>
                  </w:pPr>
                  <w:r>
                    <w:rPr>
                      <w:rFonts w:hint="eastAsia"/>
                      <w:lang w:val="en-US" w:eastAsia="zh-CN"/>
                    </w:rPr>
                    <w:t>固体</w:t>
                  </w:r>
                </w:p>
              </w:tc>
              <w:tc>
                <w:tcPr>
                  <w:tcW w:w="447" w:type="pct"/>
                  <w:vMerge w:val="continue"/>
                  <w:vAlign w:val="center"/>
                </w:tcPr>
                <w:p w14:paraId="2A666C8F">
                  <w:pPr>
                    <w:pStyle w:val="41"/>
                    <w:bidi w:val="0"/>
                    <w:rPr>
                      <w:rFonts w:hint="default"/>
                      <w:lang w:val="en-US" w:eastAsia="zh-CN"/>
                    </w:rPr>
                  </w:pPr>
                </w:p>
              </w:tc>
            </w:tr>
            <w:tr w14:paraId="1BB19E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24122349">
                  <w:pPr>
                    <w:pStyle w:val="41"/>
                    <w:numPr>
                      <w:ilvl w:val="0"/>
                      <w:numId w:val="13"/>
                    </w:numPr>
                    <w:bidi w:val="0"/>
                    <w:ind w:left="454" w:leftChars="0" w:hanging="454" w:firstLineChars="0"/>
                    <w:jc w:val="center"/>
                    <w:rPr>
                      <w:rFonts w:hint="eastAsia"/>
                    </w:rPr>
                  </w:pPr>
                </w:p>
              </w:tc>
              <w:tc>
                <w:tcPr>
                  <w:tcW w:w="864" w:type="pct"/>
                  <w:vAlign w:val="center"/>
                </w:tcPr>
                <w:p w14:paraId="67850302">
                  <w:pPr>
                    <w:pStyle w:val="41"/>
                    <w:bidi w:val="0"/>
                    <w:rPr>
                      <w:rFonts w:hint="eastAsia"/>
                      <w:lang w:val="en-US" w:eastAsia="zh-CN"/>
                    </w:rPr>
                  </w:pPr>
                  <w:r>
                    <w:rPr>
                      <w:rFonts w:hint="default"/>
                      <w:lang w:val="en-US" w:eastAsia="zh-CN"/>
                    </w:rPr>
                    <w:t>头孢噻吩钠</w:t>
                  </w:r>
                </w:p>
              </w:tc>
              <w:tc>
                <w:tcPr>
                  <w:tcW w:w="669" w:type="pct"/>
                  <w:vAlign w:val="center"/>
                </w:tcPr>
                <w:p w14:paraId="36943548">
                  <w:pPr>
                    <w:pStyle w:val="41"/>
                    <w:bidi w:val="0"/>
                    <w:rPr>
                      <w:rFonts w:hint="default"/>
                      <w:lang w:val="en-US" w:eastAsia="zh-CN"/>
                    </w:rPr>
                  </w:pPr>
                  <w:r>
                    <w:rPr>
                      <w:rFonts w:hint="eastAsia"/>
                      <w:lang w:val="en-US" w:eastAsia="zh-CN"/>
                    </w:rPr>
                    <w:t>/</w:t>
                  </w:r>
                </w:p>
              </w:tc>
              <w:tc>
                <w:tcPr>
                  <w:tcW w:w="687" w:type="pct"/>
                  <w:vAlign w:val="center"/>
                </w:tcPr>
                <w:p w14:paraId="0AF371CB">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07B56B59">
                  <w:pPr>
                    <w:pStyle w:val="41"/>
                    <w:bidi w:val="0"/>
                    <w:rPr>
                      <w:rFonts w:hint="eastAsia"/>
                      <w:lang w:val="en-US" w:eastAsia="zh-CN"/>
                    </w:rPr>
                  </w:pPr>
                  <w:r>
                    <w:rPr>
                      <w:rFonts w:hint="default"/>
                      <w:lang w:val="en-US" w:eastAsia="zh-CN"/>
                    </w:rPr>
                    <w:t>0.534g</w:t>
                  </w:r>
                </w:p>
              </w:tc>
              <w:tc>
                <w:tcPr>
                  <w:tcW w:w="740" w:type="pct"/>
                  <w:vAlign w:val="center"/>
                </w:tcPr>
                <w:p w14:paraId="3ACD2A3B">
                  <w:pPr>
                    <w:pStyle w:val="41"/>
                    <w:bidi w:val="0"/>
                    <w:rPr>
                      <w:rFonts w:hint="eastAsia"/>
                      <w:lang w:val="en-US" w:eastAsia="zh-CN"/>
                    </w:rPr>
                  </w:pPr>
                  <w:r>
                    <w:rPr>
                      <w:rFonts w:hint="default"/>
                      <w:lang w:val="en-US" w:eastAsia="zh-CN"/>
                    </w:rPr>
                    <w:t>0.534g</w:t>
                  </w:r>
                </w:p>
              </w:tc>
              <w:tc>
                <w:tcPr>
                  <w:tcW w:w="521" w:type="pct"/>
                  <w:vAlign w:val="center"/>
                </w:tcPr>
                <w:p w14:paraId="0067AF84">
                  <w:pPr>
                    <w:pStyle w:val="41"/>
                    <w:bidi w:val="0"/>
                    <w:rPr>
                      <w:rFonts w:hint="eastAsia"/>
                      <w:lang w:val="en-US" w:eastAsia="zh-CN"/>
                    </w:rPr>
                  </w:pPr>
                  <w:r>
                    <w:rPr>
                      <w:rFonts w:hint="eastAsia"/>
                      <w:lang w:val="en-US" w:eastAsia="zh-CN"/>
                    </w:rPr>
                    <w:t>固体</w:t>
                  </w:r>
                </w:p>
              </w:tc>
              <w:tc>
                <w:tcPr>
                  <w:tcW w:w="447" w:type="pct"/>
                  <w:vMerge w:val="continue"/>
                  <w:vAlign w:val="center"/>
                </w:tcPr>
                <w:p w14:paraId="29131916">
                  <w:pPr>
                    <w:pStyle w:val="41"/>
                    <w:bidi w:val="0"/>
                    <w:rPr>
                      <w:rFonts w:hint="default"/>
                      <w:lang w:val="en-US" w:eastAsia="zh-CN"/>
                    </w:rPr>
                  </w:pPr>
                </w:p>
              </w:tc>
            </w:tr>
            <w:tr w14:paraId="13E2B6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D58925B">
                  <w:pPr>
                    <w:pStyle w:val="41"/>
                    <w:numPr>
                      <w:ilvl w:val="0"/>
                      <w:numId w:val="13"/>
                    </w:numPr>
                    <w:bidi w:val="0"/>
                    <w:ind w:left="454" w:leftChars="0" w:hanging="454" w:firstLineChars="0"/>
                    <w:jc w:val="center"/>
                    <w:rPr>
                      <w:rFonts w:hint="eastAsia"/>
                    </w:rPr>
                  </w:pPr>
                </w:p>
              </w:tc>
              <w:tc>
                <w:tcPr>
                  <w:tcW w:w="864" w:type="pct"/>
                  <w:vAlign w:val="center"/>
                </w:tcPr>
                <w:p w14:paraId="6BA4F9F1">
                  <w:pPr>
                    <w:pStyle w:val="41"/>
                    <w:bidi w:val="0"/>
                    <w:rPr>
                      <w:rFonts w:hint="eastAsia"/>
                      <w:lang w:val="en-US" w:eastAsia="zh-CN"/>
                    </w:rPr>
                  </w:pPr>
                  <w:r>
                    <w:rPr>
                      <w:rFonts w:hint="default"/>
                      <w:lang w:val="en-US" w:eastAsia="zh-CN"/>
                    </w:rPr>
                    <w:t>头孢哌酮钠</w:t>
                  </w:r>
                </w:p>
              </w:tc>
              <w:tc>
                <w:tcPr>
                  <w:tcW w:w="669" w:type="pct"/>
                  <w:vAlign w:val="center"/>
                </w:tcPr>
                <w:p w14:paraId="4B86853B">
                  <w:pPr>
                    <w:pStyle w:val="41"/>
                    <w:bidi w:val="0"/>
                    <w:rPr>
                      <w:rFonts w:hint="default"/>
                      <w:lang w:val="en-US" w:eastAsia="zh-CN"/>
                    </w:rPr>
                  </w:pPr>
                  <w:r>
                    <w:rPr>
                      <w:rFonts w:hint="eastAsia"/>
                      <w:lang w:val="en-US" w:eastAsia="zh-CN"/>
                    </w:rPr>
                    <w:t>/</w:t>
                  </w:r>
                </w:p>
              </w:tc>
              <w:tc>
                <w:tcPr>
                  <w:tcW w:w="687" w:type="pct"/>
                  <w:vAlign w:val="center"/>
                </w:tcPr>
                <w:p w14:paraId="68A544FC">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4FB06210">
                  <w:pPr>
                    <w:pStyle w:val="41"/>
                    <w:bidi w:val="0"/>
                    <w:rPr>
                      <w:rFonts w:hint="eastAsia"/>
                      <w:lang w:val="en-US" w:eastAsia="zh-CN"/>
                    </w:rPr>
                  </w:pPr>
                  <w:r>
                    <w:rPr>
                      <w:rFonts w:hint="default"/>
                      <w:lang w:val="en-US" w:eastAsia="zh-CN"/>
                    </w:rPr>
                    <w:t>0.534g</w:t>
                  </w:r>
                </w:p>
              </w:tc>
              <w:tc>
                <w:tcPr>
                  <w:tcW w:w="740" w:type="pct"/>
                  <w:vAlign w:val="center"/>
                </w:tcPr>
                <w:p w14:paraId="22E11670">
                  <w:pPr>
                    <w:pStyle w:val="41"/>
                    <w:bidi w:val="0"/>
                    <w:rPr>
                      <w:rFonts w:hint="eastAsia"/>
                      <w:lang w:val="en-US" w:eastAsia="zh-CN"/>
                    </w:rPr>
                  </w:pPr>
                  <w:r>
                    <w:rPr>
                      <w:rFonts w:hint="default"/>
                      <w:lang w:val="en-US" w:eastAsia="zh-CN"/>
                    </w:rPr>
                    <w:t>0.534g</w:t>
                  </w:r>
                </w:p>
              </w:tc>
              <w:tc>
                <w:tcPr>
                  <w:tcW w:w="521" w:type="pct"/>
                  <w:vAlign w:val="center"/>
                </w:tcPr>
                <w:p w14:paraId="329BA6FF">
                  <w:pPr>
                    <w:pStyle w:val="41"/>
                    <w:bidi w:val="0"/>
                    <w:rPr>
                      <w:rFonts w:hint="eastAsia"/>
                      <w:lang w:val="en-US" w:eastAsia="zh-CN"/>
                    </w:rPr>
                  </w:pPr>
                  <w:r>
                    <w:rPr>
                      <w:rFonts w:hint="eastAsia"/>
                      <w:lang w:val="en-US" w:eastAsia="zh-CN"/>
                    </w:rPr>
                    <w:t>固体</w:t>
                  </w:r>
                </w:p>
              </w:tc>
              <w:tc>
                <w:tcPr>
                  <w:tcW w:w="447" w:type="pct"/>
                  <w:vMerge w:val="continue"/>
                  <w:vAlign w:val="center"/>
                </w:tcPr>
                <w:p w14:paraId="4A80C47C">
                  <w:pPr>
                    <w:pStyle w:val="41"/>
                    <w:bidi w:val="0"/>
                    <w:rPr>
                      <w:rFonts w:hint="default"/>
                      <w:lang w:val="en-US" w:eastAsia="zh-CN"/>
                    </w:rPr>
                  </w:pPr>
                </w:p>
              </w:tc>
            </w:tr>
            <w:tr w14:paraId="42CEB4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D46B9C9">
                  <w:pPr>
                    <w:pStyle w:val="41"/>
                    <w:numPr>
                      <w:ilvl w:val="0"/>
                      <w:numId w:val="13"/>
                    </w:numPr>
                    <w:bidi w:val="0"/>
                    <w:ind w:left="454" w:leftChars="0" w:hanging="454" w:firstLineChars="0"/>
                    <w:jc w:val="center"/>
                    <w:rPr>
                      <w:rFonts w:hint="eastAsia"/>
                    </w:rPr>
                  </w:pPr>
                </w:p>
              </w:tc>
              <w:tc>
                <w:tcPr>
                  <w:tcW w:w="864" w:type="pct"/>
                  <w:vAlign w:val="center"/>
                </w:tcPr>
                <w:p w14:paraId="5EC0DA96">
                  <w:pPr>
                    <w:pStyle w:val="41"/>
                    <w:bidi w:val="0"/>
                    <w:rPr>
                      <w:rFonts w:hint="eastAsia"/>
                      <w:lang w:val="en-US" w:eastAsia="zh-CN"/>
                    </w:rPr>
                  </w:pPr>
                  <w:r>
                    <w:rPr>
                      <w:rFonts w:hint="default"/>
                      <w:lang w:val="en-US" w:eastAsia="zh-CN"/>
                    </w:rPr>
                    <w:t>头孢唑啉钠</w:t>
                  </w:r>
                </w:p>
              </w:tc>
              <w:tc>
                <w:tcPr>
                  <w:tcW w:w="669" w:type="pct"/>
                  <w:vAlign w:val="center"/>
                </w:tcPr>
                <w:p w14:paraId="765D1EF2">
                  <w:pPr>
                    <w:pStyle w:val="41"/>
                    <w:bidi w:val="0"/>
                    <w:rPr>
                      <w:rFonts w:hint="default"/>
                      <w:lang w:val="en-US" w:eastAsia="zh-CN"/>
                    </w:rPr>
                  </w:pPr>
                  <w:r>
                    <w:rPr>
                      <w:rFonts w:hint="eastAsia"/>
                      <w:lang w:val="en-US" w:eastAsia="zh-CN"/>
                    </w:rPr>
                    <w:t>/</w:t>
                  </w:r>
                </w:p>
              </w:tc>
              <w:tc>
                <w:tcPr>
                  <w:tcW w:w="687" w:type="pct"/>
                  <w:vAlign w:val="center"/>
                </w:tcPr>
                <w:p w14:paraId="0ADDBF79">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460250B5">
                  <w:pPr>
                    <w:pStyle w:val="41"/>
                    <w:bidi w:val="0"/>
                    <w:rPr>
                      <w:rFonts w:hint="eastAsia"/>
                      <w:lang w:val="en-US" w:eastAsia="zh-CN"/>
                    </w:rPr>
                  </w:pPr>
                  <w:r>
                    <w:rPr>
                      <w:rFonts w:hint="default"/>
                      <w:lang w:val="en-US" w:eastAsia="zh-CN"/>
                    </w:rPr>
                    <w:t>0.534g</w:t>
                  </w:r>
                </w:p>
              </w:tc>
              <w:tc>
                <w:tcPr>
                  <w:tcW w:w="740" w:type="pct"/>
                  <w:vAlign w:val="center"/>
                </w:tcPr>
                <w:p w14:paraId="773307D8">
                  <w:pPr>
                    <w:pStyle w:val="41"/>
                    <w:bidi w:val="0"/>
                    <w:rPr>
                      <w:rFonts w:hint="eastAsia"/>
                      <w:lang w:val="en-US" w:eastAsia="zh-CN"/>
                    </w:rPr>
                  </w:pPr>
                  <w:r>
                    <w:rPr>
                      <w:rFonts w:hint="default"/>
                      <w:lang w:val="en-US" w:eastAsia="zh-CN"/>
                    </w:rPr>
                    <w:t>0.534g</w:t>
                  </w:r>
                </w:p>
              </w:tc>
              <w:tc>
                <w:tcPr>
                  <w:tcW w:w="521" w:type="pct"/>
                  <w:vAlign w:val="center"/>
                </w:tcPr>
                <w:p w14:paraId="25E2ED0D">
                  <w:pPr>
                    <w:pStyle w:val="41"/>
                    <w:bidi w:val="0"/>
                    <w:rPr>
                      <w:rFonts w:hint="eastAsia"/>
                      <w:lang w:val="en-US" w:eastAsia="zh-CN"/>
                    </w:rPr>
                  </w:pPr>
                  <w:r>
                    <w:rPr>
                      <w:rFonts w:hint="eastAsia"/>
                      <w:lang w:val="en-US" w:eastAsia="zh-CN"/>
                    </w:rPr>
                    <w:t>固体</w:t>
                  </w:r>
                </w:p>
              </w:tc>
              <w:tc>
                <w:tcPr>
                  <w:tcW w:w="447" w:type="pct"/>
                  <w:vMerge w:val="continue"/>
                  <w:vAlign w:val="center"/>
                </w:tcPr>
                <w:p w14:paraId="22E9D6A5">
                  <w:pPr>
                    <w:pStyle w:val="41"/>
                    <w:bidi w:val="0"/>
                    <w:rPr>
                      <w:rFonts w:hint="default"/>
                      <w:lang w:val="en-US" w:eastAsia="zh-CN"/>
                    </w:rPr>
                  </w:pPr>
                </w:p>
              </w:tc>
            </w:tr>
            <w:tr w14:paraId="162FE2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3B03F88">
                  <w:pPr>
                    <w:pStyle w:val="41"/>
                    <w:numPr>
                      <w:ilvl w:val="0"/>
                      <w:numId w:val="13"/>
                    </w:numPr>
                    <w:bidi w:val="0"/>
                    <w:ind w:left="454" w:leftChars="0" w:hanging="454" w:firstLineChars="0"/>
                    <w:jc w:val="center"/>
                    <w:rPr>
                      <w:rFonts w:hint="eastAsia"/>
                    </w:rPr>
                  </w:pPr>
                </w:p>
              </w:tc>
              <w:tc>
                <w:tcPr>
                  <w:tcW w:w="864" w:type="pct"/>
                  <w:vAlign w:val="center"/>
                </w:tcPr>
                <w:p w14:paraId="51420E9E">
                  <w:pPr>
                    <w:pStyle w:val="41"/>
                    <w:bidi w:val="0"/>
                    <w:rPr>
                      <w:rFonts w:hint="eastAsia"/>
                      <w:lang w:val="en-US" w:eastAsia="zh-CN"/>
                    </w:rPr>
                  </w:pPr>
                  <w:r>
                    <w:rPr>
                      <w:rFonts w:hint="default"/>
                      <w:lang w:val="en-US" w:eastAsia="zh-CN"/>
                    </w:rPr>
                    <w:t>头孢噻肟钠</w:t>
                  </w:r>
                </w:p>
              </w:tc>
              <w:tc>
                <w:tcPr>
                  <w:tcW w:w="669" w:type="pct"/>
                  <w:vAlign w:val="center"/>
                </w:tcPr>
                <w:p w14:paraId="13FDF737">
                  <w:pPr>
                    <w:pStyle w:val="41"/>
                    <w:bidi w:val="0"/>
                    <w:rPr>
                      <w:rFonts w:hint="default"/>
                      <w:lang w:val="en-US" w:eastAsia="zh-CN"/>
                    </w:rPr>
                  </w:pPr>
                  <w:r>
                    <w:rPr>
                      <w:rFonts w:hint="eastAsia"/>
                      <w:lang w:val="en-US" w:eastAsia="zh-CN"/>
                    </w:rPr>
                    <w:t>/</w:t>
                  </w:r>
                </w:p>
              </w:tc>
              <w:tc>
                <w:tcPr>
                  <w:tcW w:w="687" w:type="pct"/>
                  <w:vAlign w:val="center"/>
                </w:tcPr>
                <w:p w14:paraId="5347A16B">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19AE15FE">
                  <w:pPr>
                    <w:pStyle w:val="41"/>
                    <w:bidi w:val="0"/>
                    <w:rPr>
                      <w:rFonts w:hint="eastAsia"/>
                      <w:lang w:val="en-US" w:eastAsia="zh-CN"/>
                    </w:rPr>
                  </w:pPr>
                  <w:r>
                    <w:rPr>
                      <w:rFonts w:hint="default"/>
                      <w:lang w:val="en-US" w:eastAsia="zh-CN"/>
                    </w:rPr>
                    <w:t>0.534g</w:t>
                  </w:r>
                </w:p>
              </w:tc>
              <w:tc>
                <w:tcPr>
                  <w:tcW w:w="740" w:type="pct"/>
                  <w:vAlign w:val="center"/>
                </w:tcPr>
                <w:p w14:paraId="1F7B50FD">
                  <w:pPr>
                    <w:pStyle w:val="41"/>
                    <w:bidi w:val="0"/>
                    <w:rPr>
                      <w:rFonts w:hint="eastAsia"/>
                      <w:lang w:val="en-US" w:eastAsia="zh-CN"/>
                    </w:rPr>
                  </w:pPr>
                  <w:r>
                    <w:rPr>
                      <w:rFonts w:hint="default"/>
                      <w:lang w:val="en-US" w:eastAsia="zh-CN"/>
                    </w:rPr>
                    <w:t>0.534g</w:t>
                  </w:r>
                </w:p>
              </w:tc>
              <w:tc>
                <w:tcPr>
                  <w:tcW w:w="521" w:type="pct"/>
                  <w:vAlign w:val="center"/>
                </w:tcPr>
                <w:p w14:paraId="1BA7DD34">
                  <w:pPr>
                    <w:pStyle w:val="41"/>
                    <w:bidi w:val="0"/>
                    <w:rPr>
                      <w:rFonts w:hint="eastAsia"/>
                      <w:lang w:val="en-US" w:eastAsia="zh-CN"/>
                    </w:rPr>
                  </w:pPr>
                  <w:r>
                    <w:rPr>
                      <w:rFonts w:hint="eastAsia"/>
                      <w:lang w:val="en-US" w:eastAsia="zh-CN"/>
                    </w:rPr>
                    <w:t>固体</w:t>
                  </w:r>
                </w:p>
              </w:tc>
              <w:tc>
                <w:tcPr>
                  <w:tcW w:w="447" w:type="pct"/>
                  <w:vMerge w:val="continue"/>
                  <w:vAlign w:val="center"/>
                </w:tcPr>
                <w:p w14:paraId="1D9A9C9F">
                  <w:pPr>
                    <w:pStyle w:val="41"/>
                    <w:bidi w:val="0"/>
                    <w:rPr>
                      <w:rFonts w:hint="default"/>
                      <w:lang w:val="en-US" w:eastAsia="zh-CN"/>
                    </w:rPr>
                  </w:pPr>
                </w:p>
              </w:tc>
            </w:tr>
            <w:tr w14:paraId="50EE94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2EA59BFC">
                  <w:pPr>
                    <w:pStyle w:val="41"/>
                    <w:numPr>
                      <w:ilvl w:val="0"/>
                      <w:numId w:val="13"/>
                    </w:numPr>
                    <w:bidi w:val="0"/>
                    <w:ind w:left="454" w:leftChars="0" w:hanging="454" w:firstLineChars="0"/>
                    <w:jc w:val="center"/>
                    <w:rPr>
                      <w:rFonts w:hint="eastAsia"/>
                    </w:rPr>
                  </w:pPr>
                </w:p>
              </w:tc>
              <w:tc>
                <w:tcPr>
                  <w:tcW w:w="864" w:type="pct"/>
                  <w:vAlign w:val="center"/>
                </w:tcPr>
                <w:p w14:paraId="6296EB22">
                  <w:pPr>
                    <w:pStyle w:val="41"/>
                    <w:bidi w:val="0"/>
                    <w:rPr>
                      <w:rFonts w:hint="eastAsia"/>
                      <w:lang w:val="en-US" w:eastAsia="zh-CN"/>
                    </w:rPr>
                  </w:pPr>
                  <w:r>
                    <w:rPr>
                      <w:rFonts w:hint="default"/>
                      <w:lang w:val="en-US" w:eastAsia="zh-CN"/>
                    </w:rPr>
                    <w:t>头孢吡肟盐酸盐</w:t>
                  </w:r>
                </w:p>
              </w:tc>
              <w:tc>
                <w:tcPr>
                  <w:tcW w:w="669" w:type="pct"/>
                  <w:vAlign w:val="center"/>
                </w:tcPr>
                <w:p w14:paraId="4CE5F5C1">
                  <w:pPr>
                    <w:pStyle w:val="41"/>
                    <w:bidi w:val="0"/>
                    <w:rPr>
                      <w:rFonts w:hint="default"/>
                      <w:lang w:val="en-US" w:eastAsia="zh-CN"/>
                    </w:rPr>
                  </w:pPr>
                  <w:r>
                    <w:rPr>
                      <w:rFonts w:hint="eastAsia"/>
                      <w:lang w:val="en-US" w:eastAsia="zh-CN"/>
                    </w:rPr>
                    <w:t>/</w:t>
                  </w:r>
                </w:p>
              </w:tc>
              <w:tc>
                <w:tcPr>
                  <w:tcW w:w="687" w:type="pct"/>
                  <w:vAlign w:val="center"/>
                </w:tcPr>
                <w:p w14:paraId="10C1763B">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4C4FA86A">
                  <w:pPr>
                    <w:pStyle w:val="41"/>
                    <w:bidi w:val="0"/>
                    <w:rPr>
                      <w:rFonts w:hint="eastAsia"/>
                      <w:lang w:val="en-US" w:eastAsia="zh-CN"/>
                    </w:rPr>
                  </w:pPr>
                  <w:r>
                    <w:rPr>
                      <w:rFonts w:hint="default"/>
                      <w:lang w:val="en-US" w:eastAsia="zh-CN"/>
                    </w:rPr>
                    <w:t>0.534g</w:t>
                  </w:r>
                </w:p>
              </w:tc>
              <w:tc>
                <w:tcPr>
                  <w:tcW w:w="740" w:type="pct"/>
                  <w:vAlign w:val="center"/>
                </w:tcPr>
                <w:p w14:paraId="07535F64">
                  <w:pPr>
                    <w:pStyle w:val="41"/>
                    <w:bidi w:val="0"/>
                    <w:rPr>
                      <w:rFonts w:hint="eastAsia"/>
                      <w:lang w:val="en-US" w:eastAsia="zh-CN"/>
                    </w:rPr>
                  </w:pPr>
                  <w:r>
                    <w:rPr>
                      <w:rFonts w:hint="default"/>
                      <w:lang w:val="en-US" w:eastAsia="zh-CN"/>
                    </w:rPr>
                    <w:t>0.534g</w:t>
                  </w:r>
                </w:p>
              </w:tc>
              <w:tc>
                <w:tcPr>
                  <w:tcW w:w="521" w:type="pct"/>
                  <w:vAlign w:val="center"/>
                </w:tcPr>
                <w:p w14:paraId="24781CEC">
                  <w:pPr>
                    <w:pStyle w:val="41"/>
                    <w:bidi w:val="0"/>
                    <w:rPr>
                      <w:rFonts w:hint="eastAsia"/>
                      <w:lang w:val="en-US" w:eastAsia="zh-CN"/>
                    </w:rPr>
                  </w:pPr>
                  <w:r>
                    <w:rPr>
                      <w:rFonts w:hint="eastAsia"/>
                      <w:lang w:val="en-US" w:eastAsia="zh-CN"/>
                    </w:rPr>
                    <w:t>固体</w:t>
                  </w:r>
                </w:p>
              </w:tc>
              <w:tc>
                <w:tcPr>
                  <w:tcW w:w="447" w:type="pct"/>
                  <w:vMerge w:val="continue"/>
                  <w:vAlign w:val="center"/>
                </w:tcPr>
                <w:p w14:paraId="1B9AD2D7">
                  <w:pPr>
                    <w:pStyle w:val="41"/>
                    <w:bidi w:val="0"/>
                    <w:rPr>
                      <w:rFonts w:hint="default"/>
                      <w:lang w:val="en-US" w:eastAsia="zh-CN"/>
                    </w:rPr>
                  </w:pPr>
                </w:p>
              </w:tc>
            </w:tr>
            <w:tr w14:paraId="5A2F50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372AA0A">
                  <w:pPr>
                    <w:pStyle w:val="41"/>
                    <w:numPr>
                      <w:ilvl w:val="0"/>
                      <w:numId w:val="13"/>
                    </w:numPr>
                    <w:bidi w:val="0"/>
                    <w:ind w:left="454" w:leftChars="0" w:hanging="454" w:firstLineChars="0"/>
                    <w:jc w:val="center"/>
                    <w:rPr>
                      <w:rFonts w:hint="eastAsia"/>
                    </w:rPr>
                  </w:pPr>
                </w:p>
              </w:tc>
              <w:tc>
                <w:tcPr>
                  <w:tcW w:w="864" w:type="pct"/>
                  <w:vAlign w:val="center"/>
                </w:tcPr>
                <w:p w14:paraId="6F1D2F30">
                  <w:pPr>
                    <w:pStyle w:val="41"/>
                    <w:bidi w:val="0"/>
                    <w:rPr>
                      <w:rFonts w:hint="eastAsia"/>
                      <w:lang w:val="en-US" w:eastAsia="zh-CN"/>
                    </w:rPr>
                  </w:pPr>
                  <w:r>
                    <w:rPr>
                      <w:rFonts w:hint="default"/>
                      <w:lang w:val="en-US" w:eastAsia="zh-CN"/>
                    </w:rPr>
                    <w:t>头孢西丁钠</w:t>
                  </w:r>
                </w:p>
              </w:tc>
              <w:tc>
                <w:tcPr>
                  <w:tcW w:w="669" w:type="pct"/>
                  <w:vAlign w:val="center"/>
                </w:tcPr>
                <w:p w14:paraId="4BCA8067">
                  <w:pPr>
                    <w:pStyle w:val="41"/>
                    <w:bidi w:val="0"/>
                    <w:rPr>
                      <w:rFonts w:hint="default"/>
                      <w:lang w:val="en-US" w:eastAsia="zh-CN"/>
                    </w:rPr>
                  </w:pPr>
                  <w:r>
                    <w:rPr>
                      <w:rFonts w:hint="eastAsia"/>
                      <w:lang w:val="en-US" w:eastAsia="zh-CN"/>
                    </w:rPr>
                    <w:t>/</w:t>
                  </w:r>
                </w:p>
              </w:tc>
              <w:tc>
                <w:tcPr>
                  <w:tcW w:w="687" w:type="pct"/>
                  <w:vAlign w:val="center"/>
                </w:tcPr>
                <w:p w14:paraId="17D4A46F">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3E5DDD8F">
                  <w:pPr>
                    <w:pStyle w:val="41"/>
                    <w:bidi w:val="0"/>
                    <w:rPr>
                      <w:rFonts w:hint="eastAsia"/>
                      <w:lang w:val="en-US" w:eastAsia="zh-CN"/>
                    </w:rPr>
                  </w:pPr>
                  <w:r>
                    <w:rPr>
                      <w:rFonts w:hint="default"/>
                      <w:lang w:val="en-US" w:eastAsia="zh-CN"/>
                    </w:rPr>
                    <w:t>0.534g</w:t>
                  </w:r>
                </w:p>
              </w:tc>
              <w:tc>
                <w:tcPr>
                  <w:tcW w:w="740" w:type="pct"/>
                  <w:vAlign w:val="center"/>
                </w:tcPr>
                <w:p w14:paraId="715BA943">
                  <w:pPr>
                    <w:pStyle w:val="41"/>
                    <w:bidi w:val="0"/>
                    <w:rPr>
                      <w:rFonts w:hint="eastAsia"/>
                      <w:lang w:val="en-US" w:eastAsia="zh-CN"/>
                    </w:rPr>
                  </w:pPr>
                  <w:r>
                    <w:rPr>
                      <w:rFonts w:hint="default"/>
                      <w:lang w:val="en-US" w:eastAsia="zh-CN"/>
                    </w:rPr>
                    <w:t>0.534g</w:t>
                  </w:r>
                </w:p>
              </w:tc>
              <w:tc>
                <w:tcPr>
                  <w:tcW w:w="521" w:type="pct"/>
                  <w:vAlign w:val="center"/>
                </w:tcPr>
                <w:p w14:paraId="0AA44B92">
                  <w:pPr>
                    <w:pStyle w:val="41"/>
                    <w:bidi w:val="0"/>
                    <w:rPr>
                      <w:rFonts w:hint="eastAsia"/>
                      <w:lang w:val="en-US" w:eastAsia="zh-CN"/>
                    </w:rPr>
                  </w:pPr>
                  <w:r>
                    <w:rPr>
                      <w:rFonts w:hint="eastAsia"/>
                      <w:lang w:val="en-US" w:eastAsia="zh-CN"/>
                    </w:rPr>
                    <w:t>固体</w:t>
                  </w:r>
                </w:p>
              </w:tc>
              <w:tc>
                <w:tcPr>
                  <w:tcW w:w="447" w:type="pct"/>
                  <w:vMerge w:val="continue"/>
                  <w:vAlign w:val="center"/>
                </w:tcPr>
                <w:p w14:paraId="25E83519">
                  <w:pPr>
                    <w:pStyle w:val="41"/>
                    <w:bidi w:val="0"/>
                    <w:rPr>
                      <w:rFonts w:hint="default"/>
                      <w:lang w:val="en-US" w:eastAsia="zh-CN"/>
                    </w:rPr>
                  </w:pPr>
                </w:p>
              </w:tc>
            </w:tr>
            <w:tr w14:paraId="2DA5EB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5DE0F96">
                  <w:pPr>
                    <w:pStyle w:val="41"/>
                    <w:numPr>
                      <w:ilvl w:val="0"/>
                      <w:numId w:val="13"/>
                    </w:numPr>
                    <w:bidi w:val="0"/>
                    <w:ind w:left="454" w:leftChars="0" w:hanging="454" w:firstLineChars="0"/>
                    <w:jc w:val="center"/>
                    <w:rPr>
                      <w:rFonts w:hint="eastAsia"/>
                    </w:rPr>
                  </w:pPr>
                </w:p>
              </w:tc>
              <w:tc>
                <w:tcPr>
                  <w:tcW w:w="864" w:type="pct"/>
                  <w:vAlign w:val="center"/>
                </w:tcPr>
                <w:p w14:paraId="4069F001">
                  <w:pPr>
                    <w:pStyle w:val="41"/>
                    <w:bidi w:val="0"/>
                    <w:rPr>
                      <w:rFonts w:hint="eastAsia"/>
                      <w:lang w:val="en-US" w:eastAsia="zh-CN"/>
                    </w:rPr>
                  </w:pPr>
                  <w:r>
                    <w:rPr>
                      <w:rFonts w:hint="default"/>
                      <w:lang w:val="en-US" w:eastAsia="zh-CN"/>
                    </w:rPr>
                    <w:t>头孢他啶五水化合物</w:t>
                  </w:r>
                </w:p>
              </w:tc>
              <w:tc>
                <w:tcPr>
                  <w:tcW w:w="669" w:type="pct"/>
                  <w:vAlign w:val="center"/>
                </w:tcPr>
                <w:p w14:paraId="2EAD76A1">
                  <w:pPr>
                    <w:pStyle w:val="41"/>
                    <w:bidi w:val="0"/>
                    <w:rPr>
                      <w:rFonts w:hint="default"/>
                      <w:lang w:val="en-US" w:eastAsia="zh-CN"/>
                    </w:rPr>
                  </w:pPr>
                  <w:r>
                    <w:rPr>
                      <w:rFonts w:hint="eastAsia"/>
                      <w:lang w:val="en-US" w:eastAsia="zh-CN"/>
                    </w:rPr>
                    <w:t>/</w:t>
                  </w:r>
                </w:p>
              </w:tc>
              <w:tc>
                <w:tcPr>
                  <w:tcW w:w="687" w:type="pct"/>
                  <w:vAlign w:val="center"/>
                </w:tcPr>
                <w:p w14:paraId="308773E7">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53F492C7">
                  <w:pPr>
                    <w:pStyle w:val="41"/>
                    <w:bidi w:val="0"/>
                    <w:rPr>
                      <w:rFonts w:hint="eastAsia"/>
                      <w:lang w:val="en-US" w:eastAsia="zh-CN"/>
                    </w:rPr>
                  </w:pPr>
                  <w:r>
                    <w:rPr>
                      <w:rFonts w:hint="default"/>
                      <w:lang w:val="en-US" w:eastAsia="zh-CN"/>
                    </w:rPr>
                    <w:t>0.534g</w:t>
                  </w:r>
                </w:p>
              </w:tc>
              <w:tc>
                <w:tcPr>
                  <w:tcW w:w="740" w:type="pct"/>
                  <w:vAlign w:val="center"/>
                </w:tcPr>
                <w:p w14:paraId="7E33D1A9">
                  <w:pPr>
                    <w:pStyle w:val="41"/>
                    <w:bidi w:val="0"/>
                    <w:rPr>
                      <w:rFonts w:hint="eastAsia"/>
                      <w:lang w:val="en-US" w:eastAsia="zh-CN"/>
                    </w:rPr>
                  </w:pPr>
                  <w:r>
                    <w:rPr>
                      <w:rFonts w:hint="default"/>
                      <w:lang w:val="en-US" w:eastAsia="zh-CN"/>
                    </w:rPr>
                    <w:t>0.534g</w:t>
                  </w:r>
                </w:p>
              </w:tc>
              <w:tc>
                <w:tcPr>
                  <w:tcW w:w="521" w:type="pct"/>
                  <w:vAlign w:val="center"/>
                </w:tcPr>
                <w:p w14:paraId="4389E7E2">
                  <w:pPr>
                    <w:pStyle w:val="41"/>
                    <w:bidi w:val="0"/>
                    <w:rPr>
                      <w:rFonts w:hint="eastAsia"/>
                      <w:lang w:val="en-US" w:eastAsia="zh-CN"/>
                    </w:rPr>
                  </w:pPr>
                  <w:r>
                    <w:rPr>
                      <w:rFonts w:hint="eastAsia"/>
                      <w:lang w:val="en-US" w:eastAsia="zh-CN"/>
                    </w:rPr>
                    <w:t>固体</w:t>
                  </w:r>
                </w:p>
              </w:tc>
              <w:tc>
                <w:tcPr>
                  <w:tcW w:w="447" w:type="pct"/>
                  <w:vMerge w:val="continue"/>
                  <w:vAlign w:val="center"/>
                </w:tcPr>
                <w:p w14:paraId="03A07FF5">
                  <w:pPr>
                    <w:pStyle w:val="41"/>
                    <w:bidi w:val="0"/>
                    <w:rPr>
                      <w:rFonts w:hint="default"/>
                      <w:lang w:val="en-US" w:eastAsia="zh-CN"/>
                    </w:rPr>
                  </w:pPr>
                </w:p>
              </w:tc>
            </w:tr>
            <w:tr w14:paraId="561BF7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300411A1">
                  <w:pPr>
                    <w:pStyle w:val="41"/>
                    <w:numPr>
                      <w:ilvl w:val="0"/>
                      <w:numId w:val="13"/>
                    </w:numPr>
                    <w:bidi w:val="0"/>
                    <w:ind w:left="454" w:leftChars="0" w:hanging="454" w:firstLineChars="0"/>
                    <w:jc w:val="center"/>
                    <w:rPr>
                      <w:rFonts w:hint="eastAsia"/>
                    </w:rPr>
                  </w:pPr>
                </w:p>
              </w:tc>
              <w:tc>
                <w:tcPr>
                  <w:tcW w:w="864" w:type="pct"/>
                  <w:vAlign w:val="center"/>
                </w:tcPr>
                <w:p w14:paraId="313C9497">
                  <w:pPr>
                    <w:pStyle w:val="41"/>
                    <w:bidi w:val="0"/>
                    <w:rPr>
                      <w:rFonts w:hint="eastAsia"/>
                      <w:lang w:val="en-US" w:eastAsia="zh-CN"/>
                    </w:rPr>
                  </w:pPr>
                  <w:r>
                    <w:rPr>
                      <w:rFonts w:hint="default"/>
                      <w:lang w:val="en-US" w:eastAsia="zh-CN"/>
                    </w:rPr>
                    <w:t>头孢呋辛</w:t>
                  </w:r>
                </w:p>
              </w:tc>
              <w:tc>
                <w:tcPr>
                  <w:tcW w:w="669" w:type="pct"/>
                  <w:vAlign w:val="center"/>
                </w:tcPr>
                <w:p w14:paraId="668639BC">
                  <w:pPr>
                    <w:pStyle w:val="41"/>
                    <w:bidi w:val="0"/>
                    <w:rPr>
                      <w:rFonts w:hint="default"/>
                      <w:lang w:val="en-US" w:eastAsia="zh-CN"/>
                    </w:rPr>
                  </w:pPr>
                  <w:r>
                    <w:rPr>
                      <w:rFonts w:hint="eastAsia"/>
                      <w:lang w:val="en-US" w:eastAsia="zh-CN"/>
                    </w:rPr>
                    <w:t>/</w:t>
                  </w:r>
                </w:p>
              </w:tc>
              <w:tc>
                <w:tcPr>
                  <w:tcW w:w="687" w:type="pct"/>
                  <w:vAlign w:val="center"/>
                </w:tcPr>
                <w:p w14:paraId="658CE683">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0138FDD0">
                  <w:pPr>
                    <w:pStyle w:val="41"/>
                    <w:bidi w:val="0"/>
                    <w:rPr>
                      <w:rFonts w:hint="eastAsia"/>
                      <w:lang w:val="en-US" w:eastAsia="zh-CN"/>
                    </w:rPr>
                  </w:pPr>
                  <w:r>
                    <w:rPr>
                      <w:rFonts w:hint="default"/>
                      <w:lang w:val="en-US" w:eastAsia="zh-CN"/>
                    </w:rPr>
                    <w:t>0.534g</w:t>
                  </w:r>
                </w:p>
              </w:tc>
              <w:tc>
                <w:tcPr>
                  <w:tcW w:w="740" w:type="pct"/>
                  <w:vAlign w:val="center"/>
                </w:tcPr>
                <w:p w14:paraId="0A197E27">
                  <w:pPr>
                    <w:pStyle w:val="41"/>
                    <w:bidi w:val="0"/>
                    <w:rPr>
                      <w:rFonts w:hint="eastAsia"/>
                      <w:lang w:val="en-US" w:eastAsia="zh-CN"/>
                    </w:rPr>
                  </w:pPr>
                  <w:r>
                    <w:rPr>
                      <w:rFonts w:hint="default"/>
                      <w:lang w:val="en-US" w:eastAsia="zh-CN"/>
                    </w:rPr>
                    <w:t>0.534g</w:t>
                  </w:r>
                </w:p>
              </w:tc>
              <w:tc>
                <w:tcPr>
                  <w:tcW w:w="521" w:type="pct"/>
                  <w:vAlign w:val="center"/>
                </w:tcPr>
                <w:p w14:paraId="1AEB8774">
                  <w:pPr>
                    <w:pStyle w:val="41"/>
                    <w:bidi w:val="0"/>
                    <w:rPr>
                      <w:rFonts w:hint="eastAsia"/>
                      <w:lang w:val="en-US" w:eastAsia="zh-CN"/>
                    </w:rPr>
                  </w:pPr>
                  <w:r>
                    <w:rPr>
                      <w:rFonts w:hint="eastAsia"/>
                      <w:lang w:val="en-US" w:eastAsia="zh-CN"/>
                    </w:rPr>
                    <w:t>固体</w:t>
                  </w:r>
                </w:p>
              </w:tc>
              <w:tc>
                <w:tcPr>
                  <w:tcW w:w="447" w:type="pct"/>
                  <w:vMerge w:val="continue"/>
                  <w:vAlign w:val="center"/>
                </w:tcPr>
                <w:p w14:paraId="74EA61EE">
                  <w:pPr>
                    <w:pStyle w:val="41"/>
                    <w:bidi w:val="0"/>
                    <w:rPr>
                      <w:rFonts w:hint="default"/>
                      <w:lang w:val="en-US" w:eastAsia="zh-CN"/>
                    </w:rPr>
                  </w:pPr>
                </w:p>
              </w:tc>
            </w:tr>
            <w:tr w14:paraId="24FDCC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36E98527">
                  <w:pPr>
                    <w:pStyle w:val="41"/>
                    <w:numPr>
                      <w:ilvl w:val="0"/>
                      <w:numId w:val="13"/>
                    </w:numPr>
                    <w:bidi w:val="0"/>
                    <w:ind w:left="454" w:leftChars="0" w:hanging="454" w:firstLineChars="0"/>
                    <w:jc w:val="center"/>
                    <w:rPr>
                      <w:rFonts w:hint="eastAsia"/>
                    </w:rPr>
                  </w:pPr>
                </w:p>
              </w:tc>
              <w:tc>
                <w:tcPr>
                  <w:tcW w:w="864" w:type="pct"/>
                  <w:vAlign w:val="center"/>
                </w:tcPr>
                <w:p w14:paraId="1195DD5C">
                  <w:pPr>
                    <w:pStyle w:val="41"/>
                    <w:bidi w:val="0"/>
                    <w:rPr>
                      <w:rFonts w:hint="eastAsia"/>
                      <w:lang w:val="en-US" w:eastAsia="zh-CN"/>
                    </w:rPr>
                  </w:pPr>
                  <w:r>
                    <w:rPr>
                      <w:rFonts w:hint="default"/>
                      <w:lang w:val="en-US" w:eastAsia="zh-CN"/>
                    </w:rPr>
                    <w:t>头孢曲松钠</w:t>
                  </w:r>
                </w:p>
              </w:tc>
              <w:tc>
                <w:tcPr>
                  <w:tcW w:w="669" w:type="pct"/>
                  <w:vAlign w:val="center"/>
                </w:tcPr>
                <w:p w14:paraId="6053641D">
                  <w:pPr>
                    <w:pStyle w:val="41"/>
                    <w:bidi w:val="0"/>
                    <w:rPr>
                      <w:rFonts w:hint="default"/>
                      <w:lang w:val="en-US" w:eastAsia="zh-CN"/>
                    </w:rPr>
                  </w:pPr>
                  <w:r>
                    <w:rPr>
                      <w:rFonts w:hint="eastAsia"/>
                      <w:lang w:val="en-US" w:eastAsia="zh-CN"/>
                    </w:rPr>
                    <w:t>/</w:t>
                  </w:r>
                </w:p>
              </w:tc>
              <w:tc>
                <w:tcPr>
                  <w:tcW w:w="687" w:type="pct"/>
                  <w:vAlign w:val="center"/>
                </w:tcPr>
                <w:p w14:paraId="554AC532">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0C99BCA4">
                  <w:pPr>
                    <w:pStyle w:val="41"/>
                    <w:bidi w:val="0"/>
                    <w:rPr>
                      <w:rFonts w:hint="eastAsia"/>
                      <w:lang w:val="en-US" w:eastAsia="zh-CN"/>
                    </w:rPr>
                  </w:pPr>
                  <w:r>
                    <w:rPr>
                      <w:rFonts w:hint="default"/>
                      <w:lang w:val="en-US" w:eastAsia="zh-CN"/>
                    </w:rPr>
                    <w:t>0.534g</w:t>
                  </w:r>
                </w:p>
              </w:tc>
              <w:tc>
                <w:tcPr>
                  <w:tcW w:w="740" w:type="pct"/>
                  <w:vAlign w:val="center"/>
                </w:tcPr>
                <w:p w14:paraId="5F09A013">
                  <w:pPr>
                    <w:pStyle w:val="41"/>
                    <w:bidi w:val="0"/>
                    <w:rPr>
                      <w:rFonts w:hint="eastAsia"/>
                      <w:lang w:val="en-US" w:eastAsia="zh-CN"/>
                    </w:rPr>
                  </w:pPr>
                  <w:r>
                    <w:rPr>
                      <w:rFonts w:hint="default"/>
                      <w:lang w:val="en-US" w:eastAsia="zh-CN"/>
                    </w:rPr>
                    <w:t>0.534g</w:t>
                  </w:r>
                </w:p>
              </w:tc>
              <w:tc>
                <w:tcPr>
                  <w:tcW w:w="521" w:type="pct"/>
                  <w:vAlign w:val="center"/>
                </w:tcPr>
                <w:p w14:paraId="44B34214">
                  <w:pPr>
                    <w:pStyle w:val="41"/>
                    <w:bidi w:val="0"/>
                    <w:rPr>
                      <w:rFonts w:hint="eastAsia"/>
                      <w:lang w:val="en-US" w:eastAsia="zh-CN"/>
                    </w:rPr>
                  </w:pPr>
                  <w:r>
                    <w:rPr>
                      <w:rFonts w:hint="eastAsia"/>
                      <w:lang w:val="en-US" w:eastAsia="zh-CN"/>
                    </w:rPr>
                    <w:t>固体</w:t>
                  </w:r>
                </w:p>
              </w:tc>
              <w:tc>
                <w:tcPr>
                  <w:tcW w:w="447" w:type="pct"/>
                  <w:vMerge w:val="continue"/>
                  <w:vAlign w:val="center"/>
                </w:tcPr>
                <w:p w14:paraId="6CB0326F">
                  <w:pPr>
                    <w:pStyle w:val="41"/>
                    <w:bidi w:val="0"/>
                    <w:rPr>
                      <w:rFonts w:hint="default"/>
                      <w:lang w:val="en-US" w:eastAsia="zh-CN"/>
                    </w:rPr>
                  </w:pPr>
                </w:p>
              </w:tc>
            </w:tr>
            <w:tr w14:paraId="6D1847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5D17332">
                  <w:pPr>
                    <w:pStyle w:val="41"/>
                    <w:numPr>
                      <w:ilvl w:val="0"/>
                      <w:numId w:val="13"/>
                    </w:numPr>
                    <w:bidi w:val="0"/>
                    <w:ind w:left="454" w:leftChars="0" w:hanging="454" w:firstLineChars="0"/>
                    <w:jc w:val="center"/>
                    <w:rPr>
                      <w:rFonts w:hint="eastAsia"/>
                    </w:rPr>
                  </w:pPr>
                </w:p>
              </w:tc>
              <w:tc>
                <w:tcPr>
                  <w:tcW w:w="864" w:type="pct"/>
                  <w:vAlign w:val="center"/>
                </w:tcPr>
                <w:p w14:paraId="08544681">
                  <w:pPr>
                    <w:pStyle w:val="41"/>
                    <w:bidi w:val="0"/>
                    <w:rPr>
                      <w:rFonts w:hint="eastAsia"/>
                      <w:lang w:val="en-US" w:eastAsia="zh-CN"/>
                    </w:rPr>
                  </w:pPr>
                  <w:r>
                    <w:rPr>
                      <w:rFonts w:hint="default"/>
                      <w:lang w:val="en-US" w:eastAsia="zh-CN"/>
                    </w:rPr>
                    <w:t>左氧氟沙星</w:t>
                  </w:r>
                </w:p>
              </w:tc>
              <w:tc>
                <w:tcPr>
                  <w:tcW w:w="669" w:type="pct"/>
                  <w:vAlign w:val="center"/>
                </w:tcPr>
                <w:p w14:paraId="33C58DA2">
                  <w:pPr>
                    <w:pStyle w:val="41"/>
                    <w:bidi w:val="0"/>
                    <w:rPr>
                      <w:rFonts w:hint="default"/>
                      <w:lang w:val="en-US" w:eastAsia="zh-CN"/>
                    </w:rPr>
                  </w:pPr>
                  <w:r>
                    <w:rPr>
                      <w:rFonts w:hint="eastAsia"/>
                      <w:lang w:val="en-US" w:eastAsia="zh-CN"/>
                    </w:rPr>
                    <w:t>/</w:t>
                  </w:r>
                </w:p>
              </w:tc>
              <w:tc>
                <w:tcPr>
                  <w:tcW w:w="687" w:type="pct"/>
                  <w:vAlign w:val="center"/>
                </w:tcPr>
                <w:p w14:paraId="55181ACF">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61C7AB6F">
                  <w:pPr>
                    <w:pStyle w:val="41"/>
                    <w:bidi w:val="0"/>
                    <w:rPr>
                      <w:rFonts w:hint="eastAsia"/>
                      <w:lang w:val="en-US" w:eastAsia="zh-CN"/>
                    </w:rPr>
                  </w:pPr>
                  <w:r>
                    <w:rPr>
                      <w:rFonts w:hint="default"/>
                      <w:lang w:val="en-US" w:eastAsia="zh-CN"/>
                    </w:rPr>
                    <w:t>0.534g</w:t>
                  </w:r>
                </w:p>
              </w:tc>
              <w:tc>
                <w:tcPr>
                  <w:tcW w:w="740" w:type="pct"/>
                  <w:vAlign w:val="center"/>
                </w:tcPr>
                <w:p w14:paraId="0874BDE8">
                  <w:pPr>
                    <w:pStyle w:val="41"/>
                    <w:bidi w:val="0"/>
                    <w:rPr>
                      <w:rFonts w:hint="eastAsia"/>
                      <w:lang w:val="en-US" w:eastAsia="zh-CN"/>
                    </w:rPr>
                  </w:pPr>
                  <w:r>
                    <w:rPr>
                      <w:rFonts w:hint="default"/>
                      <w:lang w:val="en-US" w:eastAsia="zh-CN"/>
                    </w:rPr>
                    <w:t>0.534g</w:t>
                  </w:r>
                </w:p>
              </w:tc>
              <w:tc>
                <w:tcPr>
                  <w:tcW w:w="521" w:type="pct"/>
                  <w:vAlign w:val="center"/>
                </w:tcPr>
                <w:p w14:paraId="01557093">
                  <w:pPr>
                    <w:pStyle w:val="41"/>
                    <w:bidi w:val="0"/>
                    <w:rPr>
                      <w:rFonts w:hint="eastAsia"/>
                      <w:lang w:val="en-US" w:eastAsia="zh-CN"/>
                    </w:rPr>
                  </w:pPr>
                  <w:r>
                    <w:rPr>
                      <w:rFonts w:hint="eastAsia"/>
                      <w:lang w:val="en-US" w:eastAsia="zh-CN"/>
                    </w:rPr>
                    <w:t>固体</w:t>
                  </w:r>
                </w:p>
              </w:tc>
              <w:tc>
                <w:tcPr>
                  <w:tcW w:w="447" w:type="pct"/>
                  <w:vMerge w:val="continue"/>
                  <w:vAlign w:val="center"/>
                </w:tcPr>
                <w:p w14:paraId="618329CA">
                  <w:pPr>
                    <w:pStyle w:val="41"/>
                    <w:bidi w:val="0"/>
                    <w:rPr>
                      <w:rFonts w:hint="default"/>
                      <w:lang w:val="en-US" w:eastAsia="zh-CN"/>
                    </w:rPr>
                  </w:pPr>
                </w:p>
              </w:tc>
            </w:tr>
            <w:tr w14:paraId="0B42CF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22A99D1">
                  <w:pPr>
                    <w:pStyle w:val="41"/>
                    <w:numPr>
                      <w:ilvl w:val="0"/>
                      <w:numId w:val="13"/>
                    </w:numPr>
                    <w:bidi w:val="0"/>
                    <w:ind w:left="454" w:leftChars="0" w:hanging="454" w:firstLineChars="0"/>
                    <w:jc w:val="center"/>
                    <w:rPr>
                      <w:rFonts w:hint="eastAsia"/>
                    </w:rPr>
                  </w:pPr>
                </w:p>
              </w:tc>
              <w:tc>
                <w:tcPr>
                  <w:tcW w:w="864" w:type="pct"/>
                  <w:vAlign w:val="center"/>
                </w:tcPr>
                <w:p w14:paraId="6BFCF39A">
                  <w:pPr>
                    <w:pStyle w:val="41"/>
                    <w:bidi w:val="0"/>
                    <w:rPr>
                      <w:rFonts w:hint="eastAsia"/>
                      <w:lang w:val="en-US" w:eastAsia="zh-CN"/>
                    </w:rPr>
                  </w:pPr>
                  <w:r>
                    <w:rPr>
                      <w:rFonts w:hint="default"/>
                      <w:lang w:val="en-US" w:eastAsia="zh-CN"/>
                    </w:rPr>
                    <w:t>加替沙星</w:t>
                  </w:r>
                </w:p>
              </w:tc>
              <w:tc>
                <w:tcPr>
                  <w:tcW w:w="669" w:type="pct"/>
                  <w:vAlign w:val="center"/>
                </w:tcPr>
                <w:p w14:paraId="4FA13378">
                  <w:pPr>
                    <w:pStyle w:val="41"/>
                    <w:bidi w:val="0"/>
                    <w:rPr>
                      <w:rFonts w:hint="default"/>
                      <w:lang w:val="en-US" w:eastAsia="zh-CN"/>
                    </w:rPr>
                  </w:pPr>
                  <w:r>
                    <w:rPr>
                      <w:rFonts w:hint="eastAsia"/>
                      <w:lang w:val="en-US" w:eastAsia="zh-CN"/>
                    </w:rPr>
                    <w:t>/</w:t>
                  </w:r>
                </w:p>
              </w:tc>
              <w:tc>
                <w:tcPr>
                  <w:tcW w:w="687" w:type="pct"/>
                  <w:vAlign w:val="center"/>
                </w:tcPr>
                <w:p w14:paraId="0F7215E3">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6FC682D4">
                  <w:pPr>
                    <w:pStyle w:val="41"/>
                    <w:bidi w:val="0"/>
                    <w:rPr>
                      <w:rFonts w:hint="eastAsia"/>
                      <w:lang w:val="en-US" w:eastAsia="zh-CN"/>
                    </w:rPr>
                  </w:pPr>
                  <w:r>
                    <w:rPr>
                      <w:rFonts w:hint="default"/>
                      <w:lang w:val="en-US" w:eastAsia="zh-CN"/>
                    </w:rPr>
                    <w:t>0.534g</w:t>
                  </w:r>
                </w:p>
              </w:tc>
              <w:tc>
                <w:tcPr>
                  <w:tcW w:w="740" w:type="pct"/>
                  <w:vAlign w:val="center"/>
                </w:tcPr>
                <w:p w14:paraId="685023EE">
                  <w:pPr>
                    <w:pStyle w:val="41"/>
                    <w:bidi w:val="0"/>
                    <w:rPr>
                      <w:rFonts w:hint="eastAsia"/>
                      <w:lang w:val="en-US" w:eastAsia="zh-CN"/>
                    </w:rPr>
                  </w:pPr>
                  <w:r>
                    <w:rPr>
                      <w:rFonts w:hint="default"/>
                      <w:lang w:val="en-US" w:eastAsia="zh-CN"/>
                    </w:rPr>
                    <w:t>0.534g</w:t>
                  </w:r>
                </w:p>
              </w:tc>
              <w:tc>
                <w:tcPr>
                  <w:tcW w:w="521" w:type="pct"/>
                  <w:vAlign w:val="center"/>
                </w:tcPr>
                <w:p w14:paraId="646B366B">
                  <w:pPr>
                    <w:pStyle w:val="41"/>
                    <w:bidi w:val="0"/>
                    <w:rPr>
                      <w:rFonts w:hint="eastAsia"/>
                      <w:lang w:val="en-US" w:eastAsia="zh-CN"/>
                    </w:rPr>
                  </w:pPr>
                  <w:r>
                    <w:rPr>
                      <w:rFonts w:hint="eastAsia"/>
                      <w:lang w:val="en-US" w:eastAsia="zh-CN"/>
                    </w:rPr>
                    <w:t>固体</w:t>
                  </w:r>
                </w:p>
              </w:tc>
              <w:tc>
                <w:tcPr>
                  <w:tcW w:w="447" w:type="pct"/>
                  <w:vMerge w:val="continue"/>
                  <w:vAlign w:val="center"/>
                </w:tcPr>
                <w:p w14:paraId="26042C41">
                  <w:pPr>
                    <w:pStyle w:val="41"/>
                    <w:bidi w:val="0"/>
                    <w:rPr>
                      <w:rFonts w:hint="default"/>
                      <w:lang w:val="en-US" w:eastAsia="zh-CN"/>
                    </w:rPr>
                  </w:pPr>
                </w:p>
              </w:tc>
            </w:tr>
            <w:tr w14:paraId="131E3E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14EADE5">
                  <w:pPr>
                    <w:pStyle w:val="41"/>
                    <w:numPr>
                      <w:ilvl w:val="0"/>
                      <w:numId w:val="13"/>
                    </w:numPr>
                    <w:bidi w:val="0"/>
                    <w:ind w:left="454" w:leftChars="0" w:hanging="454" w:firstLineChars="0"/>
                    <w:jc w:val="center"/>
                    <w:rPr>
                      <w:rFonts w:hint="eastAsia"/>
                    </w:rPr>
                  </w:pPr>
                </w:p>
              </w:tc>
              <w:tc>
                <w:tcPr>
                  <w:tcW w:w="864" w:type="pct"/>
                  <w:vAlign w:val="center"/>
                </w:tcPr>
                <w:p w14:paraId="082A6937">
                  <w:pPr>
                    <w:pStyle w:val="41"/>
                    <w:bidi w:val="0"/>
                    <w:rPr>
                      <w:rFonts w:hint="eastAsia"/>
                      <w:lang w:val="en-US" w:eastAsia="zh-CN"/>
                    </w:rPr>
                  </w:pPr>
                  <w:r>
                    <w:rPr>
                      <w:rFonts w:hint="default"/>
                      <w:lang w:val="en-US" w:eastAsia="zh-CN"/>
                    </w:rPr>
                    <w:t>盐酸环丙沙星</w:t>
                  </w:r>
                </w:p>
              </w:tc>
              <w:tc>
                <w:tcPr>
                  <w:tcW w:w="669" w:type="pct"/>
                  <w:vAlign w:val="center"/>
                </w:tcPr>
                <w:p w14:paraId="2B2F1B6E">
                  <w:pPr>
                    <w:pStyle w:val="41"/>
                    <w:bidi w:val="0"/>
                    <w:rPr>
                      <w:rFonts w:hint="default"/>
                      <w:lang w:val="en-US" w:eastAsia="zh-CN"/>
                    </w:rPr>
                  </w:pPr>
                  <w:r>
                    <w:rPr>
                      <w:rFonts w:hint="eastAsia"/>
                      <w:lang w:val="en-US" w:eastAsia="zh-CN"/>
                    </w:rPr>
                    <w:t>/</w:t>
                  </w:r>
                </w:p>
              </w:tc>
              <w:tc>
                <w:tcPr>
                  <w:tcW w:w="687" w:type="pct"/>
                  <w:vAlign w:val="center"/>
                </w:tcPr>
                <w:p w14:paraId="54279C5D">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49EF1DD7">
                  <w:pPr>
                    <w:pStyle w:val="41"/>
                    <w:bidi w:val="0"/>
                    <w:rPr>
                      <w:rFonts w:hint="eastAsia"/>
                      <w:lang w:val="en-US" w:eastAsia="zh-CN"/>
                    </w:rPr>
                  </w:pPr>
                  <w:r>
                    <w:rPr>
                      <w:rFonts w:hint="default"/>
                      <w:lang w:val="en-US" w:eastAsia="zh-CN"/>
                    </w:rPr>
                    <w:t>0.534g</w:t>
                  </w:r>
                </w:p>
              </w:tc>
              <w:tc>
                <w:tcPr>
                  <w:tcW w:w="740" w:type="pct"/>
                  <w:vAlign w:val="center"/>
                </w:tcPr>
                <w:p w14:paraId="51CDC02C">
                  <w:pPr>
                    <w:pStyle w:val="41"/>
                    <w:bidi w:val="0"/>
                    <w:rPr>
                      <w:rFonts w:hint="eastAsia"/>
                      <w:lang w:val="en-US" w:eastAsia="zh-CN"/>
                    </w:rPr>
                  </w:pPr>
                  <w:r>
                    <w:rPr>
                      <w:rFonts w:hint="default"/>
                      <w:lang w:val="en-US" w:eastAsia="zh-CN"/>
                    </w:rPr>
                    <w:t>0.534g</w:t>
                  </w:r>
                </w:p>
              </w:tc>
              <w:tc>
                <w:tcPr>
                  <w:tcW w:w="521" w:type="pct"/>
                  <w:vAlign w:val="center"/>
                </w:tcPr>
                <w:p w14:paraId="358E43DF">
                  <w:pPr>
                    <w:pStyle w:val="41"/>
                    <w:bidi w:val="0"/>
                    <w:rPr>
                      <w:rFonts w:hint="eastAsia"/>
                      <w:lang w:val="en-US" w:eastAsia="zh-CN"/>
                    </w:rPr>
                  </w:pPr>
                  <w:r>
                    <w:rPr>
                      <w:rFonts w:hint="eastAsia"/>
                      <w:lang w:val="en-US" w:eastAsia="zh-CN"/>
                    </w:rPr>
                    <w:t>固体</w:t>
                  </w:r>
                </w:p>
              </w:tc>
              <w:tc>
                <w:tcPr>
                  <w:tcW w:w="447" w:type="pct"/>
                  <w:vMerge w:val="continue"/>
                  <w:vAlign w:val="center"/>
                </w:tcPr>
                <w:p w14:paraId="23496A95">
                  <w:pPr>
                    <w:pStyle w:val="41"/>
                    <w:bidi w:val="0"/>
                    <w:rPr>
                      <w:rFonts w:hint="default"/>
                      <w:lang w:val="en-US" w:eastAsia="zh-CN"/>
                    </w:rPr>
                  </w:pPr>
                </w:p>
              </w:tc>
            </w:tr>
            <w:tr w14:paraId="3C874B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36748F1">
                  <w:pPr>
                    <w:pStyle w:val="41"/>
                    <w:numPr>
                      <w:ilvl w:val="0"/>
                      <w:numId w:val="13"/>
                    </w:numPr>
                    <w:bidi w:val="0"/>
                    <w:ind w:left="454" w:leftChars="0" w:hanging="454" w:firstLineChars="0"/>
                    <w:jc w:val="center"/>
                    <w:rPr>
                      <w:rFonts w:hint="eastAsia"/>
                    </w:rPr>
                  </w:pPr>
                </w:p>
              </w:tc>
              <w:tc>
                <w:tcPr>
                  <w:tcW w:w="864" w:type="pct"/>
                  <w:vAlign w:val="center"/>
                </w:tcPr>
                <w:p w14:paraId="55F5365C">
                  <w:pPr>
                    <w:pStyle w:val="41"/>
                    <w:bidi w:val="0"/>
                    <w:rPr>
                      <w:rFonts w:hint="eastAsia"/>
                      <w:lang w:val="en-US" w:eastAsia="zh-CN"/>
                    </w:rPr>
                  </w:pPr>
                  <w:r>
                    <w:rPr>
                      <w:rFonts w:hint="default"/>
                      <w:lang w:val="en-US" w:eastAsia="zh-CN"/>
                    </w:rPr>
                    <w:t>盐酸莫西沙星</w:t>
                  </w:r>
                </w:p>
              </w:tc>
              <w:tc>
                <w:tcPr>
                  <w:tcW w:w="669" w:type="pct"/>
                  <w:vAlign w:val="center"/>
                </w:tcPr>
                <w:p w14:paraId="5DCE4C32">
                  <w:pPr>
                    <w:pStyle w:val="41"/>
                    <w:bidi w:val="0"/>
                    <w:rPr>
                      <w:rFonts w:hint="default"/>
                      <w:lang w:val="en-US" w:eastAsia="zh-CN"/>
                    </w:rPr>
                  </w:pPr>
                  <w:r>
                    <w:rPr>
                      <w:rFonts w:hint="eastAsia"/>
                      <w:lang w:val="en-US" w:eastAsia="zh-CN"/>
                    </w:rPr>
                    <w:t>/</w:t>
                  </w:r>
                </w:p>
              </w:tc>
              <w:tc>
                <w:tcPr>
                  <w:tcW w:w="687" w:type="pct"/>
                  <w:vAlign w:val="center"/>
                </w:tcPr>
                <w:p w14:paraId="7AC92B66">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48677A68">
                  <w:pPr>
                    <w:pStyle w:val="41"/>
                    <w:bidi w:val="0"/>
                    <w:rPr>
                      <w:rFonts w:hint="eastAsia"/>
                      <w:lang w:val="en-US" w:eastAsia="zh-CN"/>
                    </w:rPr>
                  </w:pPr>
                  <w:r>
                    <w:rPr>
                      <w:rFonts w:hint="default"/>
                      <w:lang w:val="en-US" w:eastAsia="zh-CN"/>
                    </w:rPr>
                    <w:t>0.534g</w:t>
                  </w:r>
                </w:p>
              </w:tc>
              <w:tc>
                <w:tcPr>
                  <w:tcW w:w="740" w:type="pct"/>
                  <w:vAlign w:val="center"/>
                </w:tcPr>
                <w:p w14:paraId="2B438C10">
                  <w:pPr>
                    <w:pStyle w:val="41"/>
                    <w:bidi w:val="0"/>
                    <w:rPr>
                      <w:rFonts w:hint="eastAsia"/>
                      <w:lang w:val="en-US" w:eastAsia="zh-CN"/>
                    </w:rPr>
                  </w:pPr>
                  <w:r>
                    <w:rPr>
                      <w:rFonts w:hint="default"/>
                      <w:lang w:val="en-US" w:eastAsia="zh-CN"/>
                    </w:rPr>
                    <w:t>0.534g</w:t>
                  </w:r>
                </w:p>
              </w:tc>
              <w:tc>
                <w:tcPr>
                  <w:tcW w:w="521" w:type="pct"/>
                  <w:vAlign w:val="center"/>
                </w:tcPr>
                <w:p w14:paraId="26308015">
                  <w:pPr>
                    <w:pStyle w:val="41"/>
                    <w:bidi w:val="0"/>
                    <w:rPr>
                      <w:rFonts w:hint="eastAsia"/>
                      <w:lang w:val="en-US" w:eastAsia="zh-CN"/>
                    </w:rPr>
                  </w:pPr>
                  <w:r>
                    <w:rPr>
                      <w:rFonts w:hint="eastAsia"/>
                      <w:lang w:val="en-US" w:eastAsia="zh-CN"/>
                    </w:rPr>
                    <w:t>固体</w:t>
                  </w:r>
                </w:p>
              </w:tc>
              <w:tc>
                <w:tcPr>
                  <w:tcW w:w="447" w:type="pct"/>
                  <w:vMerge w:val="continue"/>
                  <w:vAlign w:val="center"/>
                </w:tcPr>
                <w:p w14:paraId="4C59B79F">
                  <w:pPr>
                    <w:pStyle w:val="41"/>
                    <w:bidi w:val="0"/>
                    <w:rPr>
                      <w:rFonts w:hint="default"/>
                      <w:lang w:val="en-US" w:eastAsia="zh-CN"/>
                    </w:rPr>
                  </w:pPr>
                </w:p>
              </w:tc>
            </w:tr>
            <w:tr w14:paraId="2D4B60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246D6E57">
                  <w:pPr>
                    <w:pStyle w:val="41"/>
                    <w:numPr>
                      <w:ilvl w:val="0"/>
                      <w:numId w:val="13"/>
                    </w:numPr>
                    <w:bidi w:val="0"/>
                    <w:ind w:left="454" w:leftChars="0" w:hanging="454" w:firstLineChars="0"/>
                    <w:jc w:val="center"/>
                    <w:rPr>
                      <w:rFonts w:hint="eastAsia"/>
                    </w:rPr>
                  </w:pPr>
                </w:p>
              </w:tc>
              <w:tc>
                <w:tcPr>
                  <w:tcW w:w="864" w:type="pct"/>
                  <w:vAlign w:val="center"/>
                </w:tcPr>
                <w:p w14:paraId="6092BECF">
                  <w:pPr>
                    <w:pStyle w:val="41"/>
                    <w:bidi w:val="0"/>
                    <w:rPr>
                      <w:rFonts w:hint="eastAsia"/>
                      <w:lang w:val="en-US" w:eastAsia="zh-CN"/>
                    </w:rPr>
                  </w:pPr>
                  <w:r>
                    <w:rPr>
                      <w:rFonts w:hint="default"/>
                      <w:lang w:val="en-US" w:eastAsia="zh-CN"/>
                    </w:rPr>
                    <w:t>盐酸克林霉素</w:t>
                  </w:r>
                </w:p>
              </w:tc>
              <w:tc>
                <w:tcPr>
                  <w:tcW w:w="669" w:type="pct"/>
                  <w:vAlign w:val="center"/>
                </w:tcPr>
                <w:p w14:paraId="1BCEBCEC">
                  <w:pPr>
                    <w:pStyle w:val="41"/>
                    <w:bidi w:val="0"/>
                    <w:rPr>
                      <w:rFonts w:hint="default"/>
                      <w:lang w:val="en-US" w:eastAsia="zh-CN"/>
                    </w:rPr>
                  </w:pPr>
                  <w:r>
                    <w:rPr>
                      <w:rFonts w:hint="eastAsia"/>
                      <w:lang w:val="en-US" w:eastAsia="zh-CN"/>
                    </w:rPr>
                    <w:t>/</w:t>
                  </w:r>
                </w:p>
              </w:tc>
              <w:tc>
                <w:tcPr>
                  <w:tcW w:w="687" w:type="pct"/>
                  <w:vAlign w:val="center"/>
                </w:tcPr>
                <w:p w14:paraId="3E7D3E69">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6B797821">
                  <w:pPr>
                    <w:pStyle w:val="41"/>
                    <w:bidi w:val="0"/>
                    <w:rPr>
                      <w:rFonts w:hint="eastAsia"/>
                      <w:lang w:val="en-US" w:eastAsia="zh-CN"/>
                    </w:rPr>
                  </w:pPr>
                  <w:r>
                    <w:rPr>
                      <w:rFonts w:hint="default"/>
                      <w:lang w:val="en-US" w:eastAsia="zh-CN"/>
                    </w:rPr>
                    <w:t>0.534g</w:t>
                  </w:r>
                </w:p>
              </w:tc>
              <w:tc>
                <w:tcPr>
                  <w:tcW w:w="740" w:type="pct"/>
                  <w:vAlign w:val="center"/>
                </w:tcPr>
                <w:p w14:paraId="183852BD">
                  <w:pPr>
                    <w:pStyle w:val="41"/>
                    <w:bidi w:val="0"/>
                    <w:rPr>
                      <w:rFonts w:hint="eastAsia"/>
                      <w:lang w:val="en-US" w:eastAsia="zh-CN"/>
                    </w:rPr>
                  </w:pPr>
                  <w:r>
                    <w:rPr>
                      <w:rFonts w:hint="default"/>
                      <w:lang w:val="en-US" w:eastAsia="zh-CN"/>
                    </w:rPr>
                    <w:t>0.534g</w:t>
                  </w:r>
                </w:p>
              </w:tc>
              <w:tc>
                <w:tcPr>
                  <w:tcW w:w="521" w:type="pct"/>
                  <w:vAlign w:val="center"/>
                </w:tcPr>
                <w:p w14:paraId="73C601F8">
                  <w:pPr>
                    <w:pStyle w:val="41"/>
                    <w:bidi w:val="0"/>
                    <w:rPr>
                      <w:rFonts w:hint="eastAsia"/>
                      <w:lang w:val="en-US" w:eastAsia="zh-CN"/>
                    </w:rPr>
                  </w:pPr>
                  <w:r>
                    <w:rPr>
                      <w:rFonts w:hint="eastAsia"/>
                      <w:lang w:val="en-US" w:eastAsia="zh-CN"/>
                    </w:rPr>
                    <w:t>固体</w:t>
                  </w:r>
                </w:p>
              </w:tc>
              <w:tc>
                <w:tcPr>
                  <w:tcW w:w="447" w:type="pct"/>
                  <w:vMerge w:val="continue"/>
                  <w:vAlign w:val="center"/>
                </w:tcPr>
                <w:p w14:paraId="2C266DAE">
                  <w:pPr>
                    <w:pStyle w:val="41"/>
                    <w:bidi w:val="0"/>
                    <w:rPr>
                      <w:rFonts w:hint="default"/>
                      <w:lang w:val="en-US" w:eastAsia="zh-CN"/>
                    </w:rPr>
                  </w:pPr>
                </w:p>
              </w:tc>
            </w:tr>
            <w:tr w14:paraId="7AB8E1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8C45E94">
                  <w:pPr>
                    <w:pStyle w:val="41"/>
                    <w:numPr>
                      <w:ilvl w:val="0"/>
                      <w:numId w:val="13"/>
                    </w:numPr>
                    <w:bidi w:val="0"/>
                    <w:ind w:left="454" w:leftChars="0" w:hanging="454" w:firstLineChars="0"/>
                    <w:jc w:val="center"/>
                    <w:rPr>
                      <w:rFonts w:hint="eastAsia"/>
                    </w:rPr>
                  </w:pPr>
                </w:p>
              </w:tc>
              <w:tc>
                <w:tcPr>
                  <w:tcW w:w="864" w:type="pct"/>
                  <w:vAlign w:val="center"/>
                </w:tcPr>
                <w:p w14:paraId="05728C28">
                  <w:pPr>
                    <w:pStyle w:val="41"/>
                    <w:bidi w:val="0"/>
                    <w:rPr>
                      <w:rFonts w:hint="eastAsia"/>
                      <w:lang w:val="en-US" w:eastAsia="zh-CN"/>
                    </w:rPr>
                  </w:pPr>
                  <w:r>
                    <w:rPr>
                      <w:rFonts w:hint="default"/>
                      <w:lang w:val="en-US" w:eastAsia="zh-CN"/>
                    </w:rPr>
                    <w:t>他唑巴坦</w:t>
                  </w:r>
                </w:p>
              </w:tc>
              <w:tc>
                <w:tcPr>
                  <w:tcW w:w="669" w:type="pct"/>
                  <w:vAlign w:val="center"/>
                </w:tcPr>
                <w:p w14:paraId="5C245930">
                  <w:pPr>
                    <w:pStyle w:val="41"/>
                    <w:bidi w:val="0"/>
                    <w:rPr>
                      <w:rFonts w:hint="default"/>
                      <w:lang w:val="en-US" w:eastAsia="zh-CN"/>
                    </w:rPr>
                  </w:pPr>
                  <w:r>
                    <w:rPr>
                      <w:rFonts w:hint="eastAsia"/>
                      <w:lang w:val="en-US" w:eastAsia="zh-CN"/>
                    </w:rPr>
                    <w:t>/</w:t>
                  </w:r>
                </w:p>
              </w:tc>
              <w:tc>
                <w:tcPr>
                  <w:tcW w:w="687" w:type="pct"/>
                  <w:vAlign w:val="center"/>
                </w:tcPr>
                <w:p w14:paraId="35AA8DDD">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40A3A510">
                  <w:pPr>
                    <w:pStyle w:val="41"/>
                    <w:bidi w:val="0"/>
                    <w:rPr>
                      <w:rFonts w:hint="eastAsia"/>
                      <w:lang w:val="en-US" w:eastAsia="zh-CN"/>
                    </w:rPr>
                  </w:pPr>
                  <w:r>
                    <w:rPr>
                      <w:rFonts w:hint="default"/>
                      <w:lang w:val="en-US" w:eastAsia="zh-CN"/>
                    </w:rPr>
                    <w:t>0.534g</w:t>
                  </w:r>
                </w:p>
              </w:tc>
              <w:tc>
                <w:tcPr>
                  <w:tcW w:w="740" w:type="pct"/>
                  <w:vAlign w:val="center"/>
                </w:tcPr>
                <w:p w14:paraId="0AA91FFB">
                  <w:pPr>
                    <w:pStyle w:val="41"/>
                    <w:bidi w:val="0"/>
                    <w:rPr>
                      <w:rFonts w:hint="eastAsia"/>
                      <w:lang w:val="en-US" w:eastAsia="zh-CN"/>
                    </w:rPr>
                  </w:pPr>
                  <w:r>
                    <w:rPr>
                      <w:rFonts w:hint="default"/>
                      <w:lang w:val="en-US" w:eastAsia="zh-CN"/>
                    </w:rPr>
                    <w:t>0.534g</w:t>
                  </w:r>
                </w:p>
              </w:tc>
              <w:tc>
                <w:tcPr>
                  <w:tcW w:w="521" w:type="pct"/>
                  <w:vAlign w:val="center"/>
                </w:tcPr>
                <w:p w14:paraId="6324F663">
                  <w:pPr>
                    <w:pStyle w:val="41"/>
                    <w:bidi w:val="0"/>
                    <w:rPr>
                      <w:rFonts w:hint="eastAsia"/>
                      <w:lang w:val="en-US" w:eastAsia="zh-CN"/>
                    </w:rPr>
                  </w:pPr>
                  <w:r>
                    <w:rPr>
                      <w:rFonts w:hint="eastAsia"/>
                      <w:lang w:val="en-US" w:eastAsia="zh-CN"/>
                    </w:rPr>
                    <w:t>固体</w:t>
                  </w:r>
                </w:p>
              </w:tc>
              <w:tc>
                <w:tcPr>
                  <w:tcW w:w="447" w:type="pct"/>
                  <w:vMerge w:val="continue"/>
                  <w:vAlign w:val="center"/>
                </w:tcPr>
                <w:p w14:paraId="479BC2D2">
                  <w:pPr>
                    <w:pStyle w:val="41"/>
                    <w:bidi w:val="0"/>
                    <w:rPr>
                      <w:rFonts w:hint="default"/>
                      <w:lang w:val="en-US" w:eastAsia="zh-CN"/>
                    </w:rPr>
                  </w:pPr>
                </w:p>
              </w:tc>
            </w:tr>
            <w:tr w14:paraId="3B042F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35D2E48D">
                  <w:pPr>
                    <w:pStyle w:val="41"/>
                    <w:numPr>
                      <w:ilvl w:val="0"/>
                      <w:numId w:val="13"/>
                    </w:numPr>
                    <w:bidi w:val="0"/>
                    <w:ind w:left="454" w:leftChars="0" w:hanging="454" w:firstLineChars="0"/>
                    <w:jc w:val="center"/>
                    <w:rPr>
                      <w:rFonts w:hint="eastAsia"/>
                    </w:rPr>
                  </w:pPr>
                </w:p>
              </w:tc>
              <w:tc>
                <w:tcPr>
                  <w:tcW w:w="864" w:type="pct"/>
                  <w:vAlign w:val="center"/>
                </w:tcPr>
                <w:p w14:paraId="34BEC270">
                  <w:pPr>
                    <w:pStyle w:val="41"/>
                    <w:bidi w:val="0"/>
                    <w:rPr>
                      <w:rFonts w:hint="eastAsia"/>
                      <w:lang w:val="en-US" w:eastAsia="zh-CN"/>
                    </w:rPr>
                  </w:pPr>
                  <w:r>
                    <w:rPr>
                      <w:rFonts w:hint="default"/>
                      <w:lang w:val="en-US" w:eastAsia="zh-CN"/>
                    </w:rPr>
                    <w:t>亚胺培南</w:t>
                  </w:r>
                </w:p>
              </w:tc>
              <w:tc>
                <w:tcPr>
                  <w:tcW w:w="669" w:type="pct"/>
                  <w:vAlign w:val="center"/>
                </w:tcPr>
                <w:p w14:paraId="0AB17575">
                  <w:pPr>
                    <w:pStyle w:val="41"/>
                    <w:bidi w:val="0"/>
                    <w:rPr>
                      <w:rFonts w:hint="default"/>
                      <w:lang w:val="en-US" w:eastAsia="zh-CN"/>
                    </w:rPr>
                  </w:pPr>
                  <w:r>
                    <w:rPr>
                      <w:rFonts w:hint="eastAsia"/>
                      <w:lang w:val="en-US" w:eastAsia="zh-CN"/>
                    </w:rPr>
                    <w:t>/</w:t>
                  </w:r>
                </w:p>
              </w:tc>
              <w:tc>
                <w:tcPr>
                  <w:tcW w:w="687" w:type="pct"/>
                  <w:vAlign w:val="center"/>
                </w:tcPr>
                <w:p w14:paraId="2800E358">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247F869F">
                  <w:pPr>
                    <w:pStyle w:val="41"/>
                    <w:bidi w:val="0"/>
                    <w:rPr>
                      <w:rFonts w:hint="eastAsia"/>
                      <w:lang w:val="en-US" w:eastAsia="zh-CN"/>
                    </w:rPr>
                  </w:pPr>
                  <w:r>
                    <w:rPr>
                      <w:rFonts w:hint="default"/>
                      <w:lang w:val="en-US" w:eastAsia="zh-CN"/>
                    </w:rPr>
                    <w:t>0.534g</w:t>
                  </w:r>
                </w:p>
              </w:tc>
              <w:tc>
                <w:tcPr>
                  <w:tcW w:w="740" w:type="pct"/>
                  <w:vAlign w:val="center"/>
                </w:tcPr>
                <w:p w14:paraId="334ACEEF">
                  <w:pPr>
                    <w:pStyle w:val="41"/>
                    <w:bidi w:val="0"/>
                    <w:rPr>
                      <w:rFonts w:hint="eastAsia"/>
                      <w:lang w:val="en-US" w:eastAsia="zh-CN"/>
                    </w:rPr>
                  </w:pPr>
                  <w:r>
                    <w:rPr>
                      <w:rFonts w:hint="default"/>
                      <w:lang w:val="en-US" w:eastAsia="zh-CN"/>
                    </w:rPr>
                    <w:t>0.534g</w:t>
                  </w:r>
                </w:p>
              </w:tc>
              <w:tc>
                <w:tcPr>
                  <w:tcW w:w="521" w:type="pct"/>
                  <w:vAlign w:val="center"/>
                </w:tcPr>
                <w:p w14:paraId="7E7BEBDE">
                  <w:pPr>
                    <w:pStyle w:val="41"/>
                    <w:bidi w:val="0"/>
                    <w:rPr>
                      <w:rFonts w:hint="eastAsia"/>
                      <w:lang w:val="en-US" w:eastAsia="zh-CN"/>
                    </w:rPr>
                  </w:pPr>
                  <w:r>
                    <w:rPr>
                      <w:rFonts w:hint="eastAsia"/>
                      <w:lang w:val="en-US" w:eastAsia="zh-CN"/>
                    </w:rPr>
                    <w:t>固体</w:t>
                  </w:r>
                </w:p>
              </w:tc>
              <w:tc>
                <w:tcPr>
                  <w:tcW w:w="447" w:type="pct"/>
                  <w:vMerge w:val="continue"/>
                  <w:vAlign w:val="center"/>
                </w:tcPr>
                <w:p w14:paraId="741FB29D">
                  <w:pPr>
                    <w:pStyle w:val="41"/>
                    <w:bidi w:val="0"/>
                    <w:rPr>
                      <w:rFonts w:hint="default"/>
                      <w:lang w:val="en-US" w:eastAsia="zh-CN"/>
                    </w:rPr>
                  </w:pPr>
                </w:p>
              </w:tc>
            </w:tr>
            <w:tr w14:paraId="4C5092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796124B">
                  <w:pPr>
                    <w:pStyle w:val="41"/>
                    <w:numPr>
                      <w:ilvl w:val="0"/>
                      <w:numId w:val="13"/>
                    </w:numPr>
                    <w:bidi w:val="0"/>
                    <w:ind w:left="454" w:leftChars="0" w:hanging="454" w:firstLineChars="0"/>
                    <w:jc w:val="center"/>
                    <w:rPr>
                      <w:rFonts w:hint="eastAsia"/>
                    </w:rPr>
                  </w:pPr>
                </w:p>
              </w:tc>
              <w:tc>
                <w:tcPr>
                  <w:tcW w:w="864" w:type="pct"/>
                  <w:vAlign w:val="center"/>
                </w:tcPr>
                <w:p w14:paraId="7D12D859">
                  <w:pPr>
                    <w:pStyle w:val="41"/>
                    <w:bidi w:val="0"/>
                    <w:rPr>
                      <w:rFonts w:hint="eastAsia"/>
                      <w:lang w:val="en-US" w:eastAsia="zh-CN"/>
                    </w:rPr>
                  </w:pPr>
                  <w:r>
                    <w:rPr>
                      <w:rFonts w:hint="default"/>
                      <w:lang w:val="en-US" w:eastAsia="zh-CN"/>
                    </w:rPr>
                    <w:t>厄他培南</w:t>
                  </w:r>
                </w:p>
              </w:tc>
              <w:tc>
                <w:tcPr>
                  <w:tcW w:w="669" w:type="pct"/>
                  <w:vAlign w:val="center"/>
                </w:tcPr>
                <w:p w14:paraId="70F91EE9">
                  <w:pPr>
                    <w:pStyle w:val="41"/>
                    <w:bidi w:val="0"/>
                    <w:rPr>
                      <w:rFonts w:hint="default"/>
                      <w:lang w:val="en-US" w:eastAsia="zh-CN"/>
                    </w:rPr>
                  </w:pPr>
                  <w:r>
                    <w:rPr>
                      <w:rFonts w:hint="eastAsia"/>
                      <w:lang w:val="en-US" w:eastAsia="zh-CN"/>
                    </w:rPr>
                    <w:t>/</w:t>
                  </w:r>
                </w:p>
              </w:tc>
              <w:tc>
                <w:tcPr>
                  <w:tcW w:w="687" w:type="pct"/>
                  <w:vAlign w:val="center"/>
                </w:tcPr>
                <w:p w14:paraId="4AAE1CCD">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1CC56666">
                  <w:pPr>
                    <w:pStyle w:val="41"/>
                    <w:bidi w:val="0"/>
                    <w:rPr>
                      <w:rFonts w:hint="eastAsia"/>
                      <w:lang w:val="en-US" w:eastAsia="zh-CN"/>
                    </w:rPr>
                  </w:pPr>
                  <w:r>
                    <w:rPr>
                      <w:rFonts w:hint="default"/>
                      <w:lang w:val="en-US" w:eastAsia="zh-CN"/>
                    </w:rPr>
                    <w:t>0.534g</w:t>
                  </w:r>
                </w:p>
              </w:tc>
              <w:tc>
                <w:tcPr>
                  <w:tcW w:w="740" w:type="pct"/>
                  <w:vAlign w:val="center"/>
                </w:tcPr>
                <w:p w14:paraId="7B27C6CD">
                  <w:pPr>
                    <w:pStyle w:val="41"/>
                    <w:bidi w:val="0"/>
                    <w:rPr>
                      <w:rFonts w:hint="eastAsia"/>
                      <w:lang w:val="en-US" w:eastAsia="zh-CN"/>
                    </w:rPr>
                  </w:pPr>
                  <w:r>
                    <w:rPr>
                      <w:rFonts w:hint="default"/>
                      <w:lang w:val="en-US" w:eastAsia="zh-CN"/>
                    </w:rPr>
                    <w:t>0.534g</w:t>
                  </w:r>
                </w:p>
              </w:tc>
              <w:tc>
                <w:tcPr>
                  <w:tcW w:w="521" w:type="pct"/>
                  <w:vAlign w:val="center"/>
                </w:tcPr>
                <w:p w14:paraId="4405EE6F">
                  <w:pPr>
                    <w:pStyle w:val="41"/>
                    <w:bidi w:val="0"/>
                    <w:rPr>
                      <w:rFonts w:hint="eastAsia"/>
                      <w:lang w:val="en-US" w:eastAsia="zh-CN"/>
                    </w:rPr>
                  </w:pPr>
                  <w:r>
                    <w:rPr>
                      <w:rFonts w:hint="eastAsia"/>
                      <w:lang w:val="en-US" w:eastAsia="zh-CN"/>
                    </w:rPr>
                    <w:t>固体</w:t>
                  </w:r>
                </w:p>
              </w:tc>
              <w:tc>
                <w:tcPr>
                  <w:tcW w:w="447" w:type="pct"/>
                  <w:vMerge w:val="continue"/>
                  <w:vAlign w:val="center"/>
                </w:tcPr>
                <w:p w14:paraId="3AFB1445">
                  <w:pPr>
                    <w:pStyle w:val="41"/>
                    <w:bidi w:val="0"/>
                    <w:rPr>
                      <w:rFonts w:hint="default"/>
                      <w:lang w:val="en-US" w:eastAsia="zh-CN"/>
                    </w:rPr>
                  </w:pPr>
                </w:p>
              </w:tc>
            </w:tr>
            <w:tr w14:paraId="236EB7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E064D40">
                  <w:pPr>
                    <w:pStyle w:val="41"/>
                    <w:numPr>
                      <w:ilvl w:val="0"/>
                      <w:numId w:val="13"/>
                    </w:numPr>
                    <w:bidi w:val="0"/>
                    <w:ind w:left="454" w:leftChars="0" w:hanging="454" w:firstLineChars="0"/>
                    <w:jc w:val="center"/>
                    <w:rPr>
                      <w:rFonts w:hint="eastAsia"/>
                    </w:rPr>
                  </w:pPr>
                </w:p>
              </w:tc>
              <w:tc>
                <w:tcPr>
                  <w:tcW w:w="864" w:type="pct"/>
                  <w:vAlign w:val="center"/>
                </w:tcPr>
                <w:p w14:paraId="5A82DAE5">
                  <w:pPr>
                    <w:pStyle w:val="41"/>
                    <w:bidi w:val="0"/>
                    <w:rPr>
                      <w:rFonts w:hint="eastAsia"/>
                      <w:lang w:val="en-US" w:eastAsia="zh-CN"/>
                    </w:rPr>
                  </w:pPr>
                  <w:r>
                    <w:rPr>
                      <w:rFonts w:hint="default"/>
                      <w:lang w:val="en-US" w:eastAsia="zh-CN"/>
                    </w:rPr>
                    <w:t>美罗培南三水</w:t>
                  </w:r>
                </w:p>
              </w:tc>
              <w:tc>
                <w:tcPr>
                  <w:tcW w:w="669" w:type="pct"/>
                  <w:vAlign w:val="center"/>
                </w:tcPr>
                <w:p w14:paraId="794C31FD">
                  <w:pPr>
                    <w:pStyle w:val="41"/>
                    <w:bidi w:val="0"/>
                    <w:rPr>
                      <w:rFonts w:hint="default"/>
                      <w:lang w:val="en-US" w:eastAsia="zh-CN"/>
                    </w:rPr>
                  </w:pPr>
                  <w:r>
                    <w:rPr>
                      <w:rFonts w:hint="eastAsia"/>
                      <w:lang w:val="en-US" w:eastAsia="zh-CN"/>
                    </w:rPr>
                    <w:t>/</w:t>
                  </w:r>
                </w:p>
              </w:tc>
              <w:tc>
                <w:tcPr>
                  <w:tcW w:w="687" w:type="pct"/>
                  <w:vAlign w:val="center"/>
                </w:tcPr>
                <w:p w14:paraId="47E512ED">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1EA32BEB">
                  <w:pPr>
                    <w:pStyle w:val="41"/>
                    <w:bidi w:val="0"/>
                    <w:rPr>
                      <w:rFonts w:hint="eastAsia"/>
                      <w:lang w:val="en-US" w:eastAsia="zh-CN"/>
                    </w:rPr>
                  </w:pPr>
                  <w:r>
                    <w:rPr>
                      <w:rFonts w:hint="default"/>
                      <w:lang w:val="en-US" w:eastAsia="zh-CN"/>
                    </w:rPr>
                    <w:t>0.534g</w:t>
                  </w:r>
                </w:p>
              </w:tc>
              <w:tc>
                <w:tcPr>
                  <w:tcW w:w="740" w:type="pct"/>
                  <w:vAlign w:val="center"/>
                </w:tcPr>
                <w:p w14:paraId="531EB9A8">
                  <w:pPr>
                    <w:pStyle w:val="41"/>
                    <w:bidi w:val="0"/>
                    <w:rPr>
                      <w:rFonts w:hint="eastAsia"/>
                      <w:lang w:val="en-US" w:eastAsia="zh-CN"/>
                    </w:rPr>
                  </w:pPr>
                  <w:r>
                    <w:rPr>
                      <w:rFonts w:hint="default"/>
                      <w:lang w:val="en-US" w:eastAsia="zh-CN"/>
                    </w:rPr>
                    <w:t>0.534g</w:t>
                  </w:r>
                </w:p>
              </w:tc>
              <w:tc>
                <w:tcPr>
                  <w:tcW w:w="521" w:type="pct"/>
                  <w:vAlign w:val="center"/>
                </w:tcPr>
                <w:p w14:paraId="72AAAEBE">
                  <w:pPr>
                    <w:pStyle w:val="41"/>
                    <w:bidi w:val="0"/>
                    <w:rPr>
                      <w:rFonts w:hint="eastAsia"/>
                      <w:lang w:val="en-US" w:eastAsia="zh-CN"/>
                    </w:rPr>
                  </w:pPr>
                  <w:r>
                    <w:rPr>
                      <w:rFonts w:hint="eastAsia"/>
                      <w:lang w:val="en-US" w:eastAsia="zh-CN"/>
                    </w:rPr>
                    <w:t>固体</w:t>
                  </w:r>
                </w:p>
              </w:tc>
              <w:tc>
                <w:tcPr>
                  <w:tcW w:w="447" w:type="pct"/>
                  <w:vMerge w:val="continue"/>
                  <w:vAlign w:val="center"/>
                </w:tcPr>
                <w:p w14:paraId="60E55D44">
                  <w:pPr>
                    <w:pStyle w:val="41"/>
                    <w:bidi w:val="0"/>
                    <w:rPr>
                      <w:rFonts w:hint="default"/>
                      <w:lang w:val="en-US" w:eastAsia="zh-CN"/>
                    </w:rPr>
                  </w:pPr>
                </w:p>
              </w:tc>
            </w:tr>
            <w:tr w14:paraId="07BD38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4967787">
                  <w:pPr>
                    <w:pStyle w:val="41"/>
                    <w:numPr>
                      <w:ilvl w:val="0"/>
                      <w:numId w:val="13"/>
                    </w:numPr>
                    <w:bidi w:val="0"/>
                    <w:ind w:left="454" w:leftChars="0" w:hanging="454" w:firstLineChars="0"/>
                    <w:jc w:val="center"/>
                    <w:rPr>
                      <w:rFonts w:hint="eastAsia"/>
                    </w:rPr>
                  </w:pPr>
                </w:p>
              </w:tc>
              <w:tc>
                <w:tcPr>
                  <w:tcW w:w="864" w:type="pct"/>
                  <w:vAlign w:val="center"/>
                </w:tcPr>
                <w:p w14:paraId="6451B033">
                  <w:pPr>
                    <w:pStyle w:val="41"/>
                    <w:bidi w:val="0"/>
                    <w:rPr>
                      <w:rFonts w:hint="eastAsia"/>
                      <w:lang w:val="en-US" w:eastAsia="zh-CN"/>
                    </w:rPr>
                  </w:pPr>
                  <w:r>
                    <w:rPr>
                      <w:rFonts w:hint="default"/>
                      <w:lang w:val="en-US" w:eastAsia="zh-CN"/>
                    </w:rPr>
                    <w:t>氨曲南</w:t>
                  </w:r>
                </w:p>
              </w:tc>
              <w:tc>
                <w:tcPr>
                  <w:tcW w:w="669" w:type="pct"/>
                  <w:vAlign w:val="center"/>
                </w:tcPr>
                <w:p w14:paraId="32BBC995">
                  <w:pPr>
                    <w:pStyle w:val="41"/>
                    <w:bidi w:val="0"/>
                    <w:rPr>
                      <w:rFonts w:hint="default"/>
                      <w:lang w:val="en-US" w:eastAsia="zh-CN"/>
                    </w:rPr>
                  </w:pPr>
                  <w:r>
                    <w:rPr>
                      <w:rFonts w:hint="eastAsia"/>
                      <w:lang w:val="en-US" w:eastAsia="zh-CN"/>
                    </w:rPr>
                    <w:t>/</w:t>
                  </w:r>
                </w:p>
              </w:tc>
              <w:tc>
                <w:tcPr>
                  <w:tcW w:w="687" w:type="pct"/>
                  <w:vAlign w:val="center"/>
                </w:tcPr>
                <w:p w14:paraId="0F85DA43">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671F7C00">
                  <w:pPr>
                    <w:pStyle w:val="41"/>
                    <w:bidi w:val="0"/>
                    <w:rPr>
                      <w:rFonts w:hint="eastAsia"/>
                      <w:lang w:val="en-US" w:eastAsia="zh-CN"/>
                    </w:rPr>
                  </w:pPr>
                  <w:r>
                    <w:rPr>
                      <w:rFonts w:hint="default"/>
                      <w:lang w:val="en-US" w:eastAsia="zh-CN"/>
                    </w:rPr>
                    <w:t>0.534g</w:t>
                  </w:r>
                </w:p>
              </w:tc>
              <w:tc>
                <w:tcPr>
                  <w:tcW w:w="740" w:type="pct"/>
                  <w:vAlign w:val="center"/>
                </w:tcPr>
                <w:p w14:paraId="43E1BCA9">
                  <w:pPr>
                    <w:pStyle w:val="41"/>
                    <w:bidi w:val="0"/>
                    <w:rPr>
                      <w:rFonts w:hint="eastAsia"/>
                      <w:lang w:val="en-US" w:eastAsia="zh-CN"/>
                    </w:rPr>
                  </w:pPr>
                  <w:r>
                    <w:rPr>
                      <w:rFonts w:hint="default"/>
                      <w:lang w:val="en-US" w:eastAsia="zh-CN"/>
                    </w:rPr>
                    <w:t>0.534g</w:t>
                  </w:r>
                </w:p>
              </w:tc>
              <w:tc>
                <w:tcPr>
                  <w:tcW w:w="521" w:type="pct"/>
                  <w:vAlign w:val="center"/>
                </w:tcPr>
                <w:p w14:paraId="58FD8AC2">
                  <w:pPr>
                    <w:pStyle w:val="41"/>
                    <w:bidi w:val="0"/>
                    <w:rPr>
                      <w:rFonts w:hint="eastAsia"/>
                      <w:lang w:val="en-US" w:eastAsia="zh-CN"/>
                    </w:rPr>
                  </w:pPr>
                  <w:r>
                    <w:rPr>
                      <w:rFonts w:hint="eastAsia"/>
                      <w:lang w:val="en-US" w:eastAsia="zh-CN"/>
                    </w:rPr>
                    <w:t>固体</w:t>
                  </w:r>
                </w:p>
              </w:tc>
              <w:tc>
                <w:tcPr>
                  <w:tcW w:w="447" w:type="pct"/>
                  <w:vMerge w:val="continue"/>
                  <w:vAlign w:val="center"/>
                </w:tcPr>
                <w:p w14:paraId="52D61A2D">
                  <w:pPr>
                    <w:pStyle w:val="41"/>
                    <w:bidi w:val="0"/>
                    <w:rPr>
                      <w:rFonts w:hint="default"/>
                      <w:lang w:val="en-US" w:eastAsia="zh-CN"/>
                    </w:rPr>
                  </w:pPr>
                </w:p>
              </w:tc>
            </w:tr>
            <w:tr w14:paraId="63809B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92B0277">
                  <w:pPr>
                    <w:pStyle w:val="41"/>
                    <w:numPr>
                      <w:ilvl w:val="0"/>
                      <w:numId w:val="13"/>
                    </w:numPr>
                    <w:bidi w:val="0"/>
                    <w:ind w:left="454" w:leftChars="0" w:hanging="454" w:firstLineChars="0"/>
                    <w:jc w:val="center"/>
                    <w:rPr>
                      <w:rFonts w:hint="eastAsia"/>
                    </w:rPr>
                  </w:pPr>
                </w:p>
              </w:tc>
              <w:tc>
                <w:tcPr>
                  <w:tcW w:w="864" w:type="pct"/>
                  <w:vAlign w:val="center"/>
                </w:tcPr>
                <w:p w14:paraId="467B416D">
                  <w:pPr>
                    <w:pStyle w:val="41"/>
                    <w:bidi w:val="0"/>
                    <w:rPr>
                      <w:rFonts w:hint="eastAsia"/>
                      <w:lang w:val="en-US" w:eastAsia="zh-CN"/>
                    </w:rPr>
                  </w:pPr>
                  <w:r>
                    <w:rPr>
                      <w:rFonts w:hint="default"/>
                      <w:lang w:val="en-US" w:eastAsia="zh-CN"/>
                    </w:rPr>
                    <w:t>阿莫西林克拉维酸钾</w:t>
                  </w:r>
                </w:p>
              </w:tc>
              <w:tc>
                <w:tcPr>
                  <w:tcW w:w="669" w:type="pct"/>
                  <w:vAlign w:val="center"/>
                </w:tcPr>
                <w:p w14:paraId="09316723">
                  <w:pPr>
                    <w:pStyle w:val="41"/>
                    <w:bidi w:val="0"/>
                    <w:rPr>
                      <w:rFonts w:hint="default"/>
                      <w:lang w:val="en-US" w:eastAsia="zh-CN"/>
                    </w:rPr>
                  </w:pPr>
                  <w:r>
                    <w:rPr>
                      <w:rFonts w:hint="eastAsia"/>
                      <w:lang w:val="en-US" w:eastAsia="zh-CN"/>
                    </w:rPr>
                    <w:t>/</w:t>
                  </w:r>
                </w:p>
              </w:tc>
              <w:tc>
                <w:tcPr>
                  <w:tcW w:w="687" w:type="pct"/>
                  <w:vAlign w:val="center"/>
                </w:tcPr>
                <w:p w14:paraId="4F617D4C">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1106F6CD">
                  <w:pPr>
                    <w:pStyle w:val="41"/>
                    <w:bidi w:val="0"/>
                    <w:rPr>
                      <w:rFonts w:hint="eastAsia"/>
                      <w:lang w:val="en-US" w:eastAsia="zh-CN"/>
                    </w:rPr>
                  </w:pPr>
                  <w:r>
                    <w:rPr>
                      <w:rFonts w:hint="default"/>
                      <w:lang w:val="en-US" w:eastAsia="zh-CN"/>
                    </w:rPr>
                    <w:t>0.534g</w:t>
                  </w:r>
                </w:p>
              </w:tc>
              <w:tc>
                <w:tcPr>
                  <w:tcW w:w="740" w:type="pct"/>
                  <w:vAlign w:val="center"/>
                </w:tcPr>
                <w:p w14:paraId="1FABCBB5">
                  <w:pPr>
                    <w:pStyle w:val="41"/>
                    <w:bidi w:val="0"/>
                    <w:rPr>
                      <w:rFonts w:hint="eastAsia"/>
                      <w:lang w:val="en-US" w:eastAsia="zh-CN"/>
                    </w:rPr>
                  </w:pPr>
                  <w:r>
                    <w:rPr>
                      <w:rFonts w:hint="default"/>
                      <w:lang w:val="en-US" w:eastAsia="zh-CN"/>
                    </w:rPr>
                    <w:t>0.534g</w:t>
                  </w:r>
                </w:p>
              </w:tc>
              <w:tc>
                <w:tcPr>
                  <w:tcW w:w="521" w:type="pct"/>
                  <w:vAlign w:val="center"/>
                </w:tcPr>
                <w:p w14:paraId="300653B6">
                  <w:pPr>
                    <w:pStyle w:val="41"/>
                    <w:bidi w:val="0"/>
                    <w:rPr>
                      <w:rFonts w:hint="eastAsia"/>
                      <w:lang w:val="en-US" w:eastAsia="zh-CN"/>
                    </w:rPr>
                  </w:pPr>
                  <w:r>
                    <w:rPr>
                      <w:rFonts w:hint="eastAsia"/>
                      <w:lang w:val="en-US" w:eastAsia="zh-CN"/>
                    </w:rPr>
                    <w:t>固体</w:t>
                  </w:r>
                </w:p>
              </w:tc>
              <w:tc>
                <w:tcPr>
                  <w:tcW w:w="447" w:type="pct"/>
                  <w:vMerge w:val="continue"/>
                  <w:vAlign w:val="center"/>
                </w:tcPr>
                <w:p w14:paraId="1DEA0091">
                  <w:pPr>
                    <w:pStyle w:val="41"/>
                    <w:bidi w:val="0"/>
                    <w:rPr>
                      <w:rFonts w:hint="default"/>
                      <w:lang w:val="en-US" w:eastAsia="zh-CN"/>
                    </w:rPr>
                  </w:pPr>
                </w:p>
              </w:tc>
            </w:tr>
            <w:tr w14:paraId="6184A3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63D4665">
                  <w:pPr>
                    <w:pStyle w:val="41"/>
                    <w:numPr>
                      <w:ilvl w:val="0"/>
                      <w:numId w:val="13"/>
                    </w:numPr>
                    <w:bidi w:val="0"/>
                    <w:ind w:left="454" w:leftChars="0" w:hanging="454" w:firstLineChars="0"/>
                    <w:jc w:val="center"/>
                    <w:rPr>
                      <w:rFonts w:hint="eastAsia"/>
                    </w:rPr>
                  </w:pPr>
                </w:p>
              </w:tc>
              <w:tc>
                <w:tcPr>
                  <w:tcW w:w="864" w:type="pct"/>
                  <w:vAlign w:val="center"/>
                </w:tcPr>
                <w:p w14:paraId="7D99BC6F">
                  <w:pPr>
                    <w:pStyle w:val="41"/>
                    <w:bidi w:val="0"/>
                    <w:rPr>
                      <w:rFonts w:hint="eastAsia"/>
                      <w:lang w:val="en-US" w:eastAsia="zh-CN"/>
                    </w:rPr>
                  </w:pPr>
                  <w:r>
                    <w:rPr>
                      <w:rFonts w:hint="default"/>
                      <w:lang w:val="en-US" w:eastAsia="zh-CN"/>
                    </w:rPr>
                    <w:t>盐酸四环素</w:t>
                  </w:r>
                </w:p>
              </w:tc>
              <w:tc>
                <w:tcPr>
                  <w:tcW w:w="669" w:type="pct"/>
                  <w:vAlign w:val="center"/>
                </w:tcPr>
                <w:p w14:paraId="63BB0461">
                  <w:pPr>
                    <w:pStyle w:val="41"/>
                    <w:bidi w:val="0"/>
                    <w:rPr>
                      <w:rFonts w:hint="default"/>
                      <w:lang w:val="en-US" w:eastAsia="zh-CN"/>
                    </w:rPr>
                  </w:pPr>
                  <w:r>
                    <w:rPr>
                      <w:rFonts w:hint="eastAsia"/>
                      <w:lang w:val="en-US" w:eastAsia="zh-CN"/>
                    </w:rPr>
                    <w:t>/</w:t>
                  </w:r>
                </w:p>
              </w:tc>
              <w:tc>
                <w:tcPr>
                  <w:tcW w:w="687" w:type="pct"/>
                  <w:vAlign w:val="center"/>
                </w:tcPr>
                <w:p w14:paraId="761E0F52">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448C3BB5">
                  <w:pPr>
                    <w:pStyle w:val="41"/>
                    <w:bidi w:val="0"/>
                    <w:rPr>
                      <w:rFonts w:hint="eastAsia"/>
                      <w:lang w:val="en-US" w:eastAsia="zh-CN"/>
                    </w:rPr>
                  </w:pPr>
                  <w:r>
                    <w:rPr>
                      <w:rFonts w:hint="default"/>
                      <w:lang w:val="en-US" w:eastAsia="zh-CN"/>
                    </w:rPr>
                    <w:t>0.534g</w:t>
                  </w:r>
                </w:p>
              </w:tc>
              <w:tc>
                <w:tcPr>
                  <w:tcW w:w="740" w:type="pct"/>
                  <w:vAlign w:val="center"/>
                </w:tcPr>
                <w:p w14:paraId="462B7A80">
                  <w:pPr>
                    <w:pStyle w:val="41"/>
                    <w:bidi w:val="0"/>
                    <w:rPr>
                      <w:rFonts w:hint="eastAsia"/>
                      <w:lang w:val="en-US" w:eastAsia="zh-CN"/>
                    </w:rPr>
                  </w:pPr>
                  <w:r>
                    <w:rPr>
                      <w:rFonts w:hint="default"/>
                      <w:lang w:val="en-US" w:eastAsia="zh-CN"/>
                    </w:rPr>
                    <w:t>0.534g</w:t>
                  </w:r>
                </w:p>
              </w:tc>
              <w:tc>
                <w:tcPr>
                  <w:tcW w:w="521" w:type="pct"/>
                  <w:vAlign w:val="center"/>
                </w:tcPr>
                <w:p w14:paraId="59F7DBE6">
                  <w:pPr>
                    <w:pStyle w:val="41"/>
                    <w:bidi w:val="0"/>
                    <w:rPr>
                      <w:rFonts w:hint="eastAsia"/>
                      <w:lang w:val="en-US" w:eastAsia="zh-CN"/>
                    </w:rPr>
                  </w:pPr>
                  <w:r>
                    <w:rPr>
                      <w:rFonts w:hint="eastAsia"/>
                      <w:lang w:val="en-US" w:eastAsia="zh-CN"/>
                    </w:rPr>
                    <w:t>固体</w:t>
                  </w:r>
                </w:p>
              </w:tc>
              <w:tc>
                <w:tcPr>
                  <w:tcW w:w="447" w:type="pct"/>
                  <w:vMerge w:val="continue"/>
                  <w:vAlign w:val="center"/>
                </w:tcPr>
                <w:p w14:paraId="68612229">
                  <w:pPr>
                    <w:pStyle w:val="41"/>
                    <w:bidi w:val="0"/>
                    <w:rPr>
                      <w:rFonts w:hint="default"/>
                      <w:lang w:val="en-US" w:eastAsia="zh-CN"/>
                    </w:rPr>
                  </w:pPr>
                </w:p>
              </w:tc>
            </w:tr>
            <w:tr w14:paraId="51039F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26866BE">
                  <w:pPr>
                    <w:pStyle w:val="41"/>
                    <w:numPr>
                      <w:ilvl w:val="0"/>
                      <w:numId w:val="13"/>
                    </w:numPr>
                    <w:bidi w:val="0"/>
                    <w:ind w:left="454" w:leftChars="0" w:hanging="454" w:firstLineChars="0"/>
                    <w:jc w:val="center"/>
                    <w:rPr>
                      <w:rFonts w:hint="eastAsia"/>
                    </w:rPr>
                  </w:pPr>
                </w:p>
              </w:tc>
              <w:tc>
                <w:tcPr>
                  <w:tcW w:w="864" w:type="pct"/>
                  <w:vAlign w:val="center"/>
                </w:tcPr>
                <w:p w14:paraId="0BEB2EED">
                  <w:pPr>
                    <w:pStyle w:val="41"/>
                    <w:bidi w:val="0"/>
                    <w:rPr>
                      <w:rFonts w:hint="eastAsia"/>
                      <w:lang w:val="en-US" w:eastAsia="zh-CN"/>
                    </w:rPr>
                  </w:pPr>
                  <w:r>
                    <w:rPr>
                      <w:rFonts w:hint="default"/>
                      <w:lang w:val="en-US" w:eastAsia="zh-CN"/>
                    </w:rPr>
                    <w:t>替加环素</w:t>
                  </w:r>
                </w:p>
              </w:tc>
              <w:tc>
                <w:tcPr>
                  <w:tcW w:w="669" w:type="pct"/>
                  <w:vAlign w:val="center"/>
                </w:tcPr>
                <w:p w14:paraId="0A8F1847">
                  <w:pPr>
                    <w:pStyle w:val="41"/>
                    <w:bidi w:val="0"/>
                    <w:rPr>
                      <w:rFonts w:hint="default"/>
                      <w:lang w:val="en-US" w:eastAsia="zh-CN"/>
                    </w:rPr>
                  </w:pPr>
                  <w:r>
                    <w:rPr>
                      <w:rFonts w:hint="eastAsia"/>
                      <w:lang w:val="en-US" w:eastAsia="zh-CN"/>
                    </w:rPr>
                    <w:t>/</w:t>
                  </w:r>
                </w:p>
              </w:tc>
              <w:tc>
                <w:tcPr>
                  <w:tcW w:w="687" w:type="pct"/>
                  <w:vAlign w:val="center"/>
                </w:tcPr>
                <w:p w14:paraId="3D47541D">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2F93ED6E">
                  <w:pPr>
                    <w:pStyle w:val="41"/>
                    <w:bidi w:val="0"/>
                    <w:rPr>
                      <w:rFonts w:hint="eastAsia"/>
                      <w:lang w:val="en-US" w:eastAsia="zh-CN"/>
                    </w:rPr>
                  </w:pPr>
                  <w:r>
                    <w:rPr>
                      <w:rFonts w:hint="default"/>
                      <w:lang w:val="en-US" w:eastAsia="zh-CN"/>
                    </w:rPr>
                    <w:t>0.534g</w:t>
                  </w:r>
                </w:p>
              </w:tc>
              <w:tc>
                <w:tcPr>
                  <w:tcW w:w="740" w:type="pct"/>
                  <w:vAlign w:val="center"/>
                </w:tcPr>
                <w:p w14:paraId="217A0B44">
                  <w:pPr>
                    <w:pStyle w:val="41"/>
                    <w:bidi w:val="0"/>
                    <w:rPr>
                      <w:rFonts w:hint="eastAsia"/>
                      <w:lang w:val="en-US" w:eastAsia="zh-CN"/>
                    </w:rPr>
                  </w:pPr>
                  <w:r>
                    <w:rPr>
                      <w:rFonts w:hint="default"/>
                      <w:lang w:val="en-US" w:eastAsia="zh-CN"/>
                    </w:rPr>
                    <w:t>0.534g</w:t>
                  </w:r>
                </w:p>
              </w:tc>
              <w:tc>
                <w:tcPr>
                  <w:tcW w:w="521" w:type="pct"/>
                  <w:vAlign w:val="center"/>
                </w:tcPr>
                <w:p w14:paraId="23479BC3">
                  <w:pPr>
                    <w:pStyle w:val="41"/>
                    <w:bidi w:val="0"/>
                    <w:rPr>
                      <w:rFonts w:hint="eastAsia"/>
                      <w:lang w:val="en-US" w:eastAsia="zh-CN"/>
                    </w:rPr>
                  </w:pPr>
                  <w:r>
                    <w:rPr>
                      <w:rFonts w:hint="eastAsia"/>
                      <w:lang w:val="en-US" w:eastAsia="zh-CN"/>
                    </w:rPr>
                    <w:t>固体</w:t>
                  </w:r>
                </w:p>
              </w:tc>
              <w:tc>
                <w:tcPr>
                  <w:tcW w:w="447" w:type="pct"/>
                  <w:vMerge w:val="continue"/>
                  <w:vAlign w:val="center"/>
                </w:tcPr>
                <w:p w14:paraId="1B04B80E">
                  <w:pPr>
                    <w:pStyle w:val="41"/>
                    <w:bidi w:val="0"/>
                    <w:rPr>
                      <w:rFonts w:hint="default"/>
                      <w:lang w:val="en-US" w:eastAsia="zh-CN"/>
                    </w:rPr>
                  </w:pPr>
                </w:p>
              </w:tc>
            </w:tr>
            <w:tr w14:paraId="7808AC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414FBE7">
                  <w:pPr>
                    <w:pStyle w:val="41"/>
                    <w:numPr>
                      <w:ilvl w:val="0"/>
                      <w:numId w:val="13"/>
                    </w:numPr>
                    <w:bidi w:val="0"/>
                    <w:ind w:left="454" w:leftChars="0" w:hanging="454" w:firstLineChars="0"/>
                    <w:jc w:val="center"/>
                    <w:rPr>
                      <w:rFonts w:hint="eastAsia"/>
                    </w:rPr>
                  </w:pPr>
                </w:p>
              </w:tc>
              <w:tc>
                <w:tcPr>
                  <w:tcW w:w="864" w:type="pct"/>
                  <w:vAlign w:val="center"/>
                </w:tcPr>
                <w:p w14:paraId="64645CE5">
                  <w:pPr>
                    <w:pStyle w:val="41"/>
                    <w:bidi w:val="0"/>
                    <w:rPr>
                      <w:rFonts w:hint="eastAsia"/>
                      <w:lang w:val="en-US" w:eastAsia="zh-CN"/>
                    </w:rPr>
                  </w:pPr>
                  <w:r>
                    <w:rPr>
                      <w:rFonts w:hint="default"/>
                      <w:lang w:val="en-US" w:eastAsia="zh-CN"/>
                    </w:rPr>
                    <w:t>盐酸米诺环素</w:t>
                  </w:r>
                </w:p>
              </w:tc>
              <w:tc>
                <w:tcPr>
                  <w:tcW w:w="669" w:type="pct"/>
                  <w:vAlign w:val="center"/>
                </w:tcPr>
                <w:p w14:paraId="6180A080">
                  <w:pPr>
                    <w:pStyle w:val="41"/>
                    <w:bidi w:val="0"/>
                    <w:rPr>
                      <w:rFonts w:hint="default"/>
                      <w:lang w:val="en-US" w:eastAsia="zh-CN"/>
                    </w:rPr>
                  </w:pPr>
                  <w:r>
                    <w:rPr>
                      <w:rFonts w:hint="eastAsia"/>
                      <w:lang w:val="en-US" w:eastAsia="zh-CN"/>
                    </w:rPr>
                    <w:t>/</w:t>
                  </w:r>
                </w:p>
              </w:tc>
              <w:tc>
                <w:tcPr>
                  <w:tcW w:w="687" w:type="pct"/>
                  <w:vAlign w:val="center"/>
                </w:tcPr>
                <w:p w14:paraId="5A044FA7">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47CC2CCB">
                  <w:pPr>
                    <w:pStyle w:val="41"/>
                    <w:bidi w:val="0"/>
                    <w:rPr>
                      <w:rFonts w:hint="eastAsia"/>
                      <w:lang w:val="en-US" w:eastAsia="zh-CN"/>
                    </w:rPr>
                  </w:pPr>
                  <w:r>
                    <w:rPr>
                      <w:rFonts w:hint="default"/>
                      <w:lang w:val="en-US" w:eastAsia="zh-CN"/>
                    </w:rPr>
                    <w:t>0.534g</w:t>
                  </w:r>
                </w:p>
              </w:tc>
              <w:tc>
                <w:tcPr>
                  <w:tcW w:w="740" w:type="pct"/>
                  <w:vAlign w:val="center"/>
                </w:tcPr>
                <w:p w14:paraId="12C8C222">
                  <w:pPr>
                    <w:pStyle w:val="41"/>
                    <w:bidi w:val="0"/>
                    <w:rPr>
                      <w:rFonts w:hint="eastAsia"/>
                      <w:lang w:val="en-US" w:eastAsia="zh-CN"/>
                    </w:rPr>
                  </w:pPr>
                  <w:r>
                    <w:rPr>
                      <w:rFonts w:hint="default"/>
                      <w:lang w:val="en-US" w:eastAsia="zh-CN"/>
                    </w:rPr>
                    <w:t>0.534g</w:t>
                  </w:r>
                </w:p>
              </w:tc>
              <w:tc>
                <w:tcPr>
                  <w:tcW w:w="521" w:type="pct"/>
                  <w:vAlign w:val="center"/>
                </w:tcPr>
                <w:p w14:paraId="6B474AEA">
                  <w:pPr>
                    <w:pStyle w:val="41"/>
                    <w:bidi w:val="0"/>
                    <w:rPr>
                      <w:rFonts w:hint="eastAsia"/>
                      <w:lang w:val="en-US" w:eastAsia="zh-CN"/>
                    </w:rPr>
                  </w:pPr>
                  <w:r>
                    <w:rPr>
                      <w:rFonts w:hint="eastAsia"/>
                      <w:lang w:val="en-US" w:eastAsia="zh-CN"/>
                    </w:rPr>
                    <w:t>固体</w:t>
                  </w:r>
                </w:p>
              </w:tc>
              <w:tc>
                <w:tcPr>
                  <w:tcW w:w="447" w:type="pct"/>
                  <w:vMerge w:val="continue"/>
                  <w:vAlign w:val="center"/>
                </w:tcPr>
                <w:p w14:paraId="48DEA5A6">
                  <w:pPr>
                    <w:pStyle w:val="41"/>
                    <w:bidi w:val="0"/>
                    <w:rPr>
                      <w:rFonts w:hint="default"/>
                      <w:lang w:val="en-US" w:eastAsia="zh-CN"/>
                    </w:rPr>
                  </w:pPr>
                </w:p>
              </w:tc>
            </w:tr>
            <w:tr w14:paraId="53EC84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637151A">
                  <w:pPr>
                    <w:pStyle w:val="41"/>
                    <w:numPr>
                      <w:ilvl w:val="0"/>
                      <w:numId w:val="13"/>
                    </w:numPr>
                    <w:bidi w:val="0"/>
                    <w:ind w:left="454" w:leftChars="0" w:hanging="454" w:firstLineChars="0"/>
                    <w:jc w:val="center"/>
                    <w:rPr>
                      <w:rFonts w:hint="eastAsia"/>
                    </w:rPr>
                  </w:pPr>
                </w:p>
              </w:tc>
              <w:tc>
                <w:tcPr>
                  <w:tcW w:w="864" w:type="pct"/>
                  <w:vAlign w:val="center"/>
                </w:tcPr>
                <w:p w14:paraId="59FCAB2D">
                  <w:pPr>
                    <w:pStyle w:val="41"/>
                    <w:bidi w:val="0"/>
                    <w:rPr>
                      <w:rFonts w:hint="eastAsia"/>
                      <w:lang w:val="en-US" w:eastAsia="zh-CN"/>
                    </w:rPr>
                  </w:pPr>
                  <w:r>
                    <w:rPr>
                      <w:rFonts w:hint="default"/>
                      <w:lang w:val="en-US" w:eastAsia="zh-CN"/>
                    </w:rPr>
                    <w:t>克拉霉素</w:t>
                  </w:r>
                </w:p>
              </w:tc>
              <w:tc>
                <w:tcPr>
                  <w:tcW w:w="669" w:type="pct"/>
                  <w:vAlign w:val="center"/>
                </w:tcPr>
                <w:p w14:paraId="2047D76E">
                  <w:pPr>
                    <w:pStyle w:val="41"/>
                    <w:bidi w:val="0"/>
                    <w:rPr>
                      <w:rFonts w:hint="default"/>
                      <w:lang w:val="en-US" w:eastAsia="zh-CN"/>
                    </w:rPr>
                  </w:pPr>
                  <w:r>
                    <w:rPr>
                      <w:rFonts w:hint="eastAsia"/>
                      <w:lang w:val="en-US" w:eastAsia="zh-CN"/>
                    </w:rPr>
                    <w:t>/</w:t>
                  </w:r>
                </w:p>
              </w:tc>
              <w:tc>
                <w:tcPr>
                  <w:tcW w:w="687" w:type="pct"/>
                  <w:vAlign w:val="center"/>
                </w:tcPr>
                <w:p w14:paraId="1833417D">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0B84F2BD">
                  <w:pPr>
                    <w:pStyle w:val="41"/>
                    <w:bidi w:val="0"/>
                    <w:rPr>
                      <w:rFonts w:hint="eastAsia"/>
                      <w:lang w:val="en-US" w:eastAsia="zh-CN"/>
                    </w:rPr>
                  </w:pPr>
                  <w:r>
                    <w:rPr>
                      <w:rFonts w:hint="default"/>
                      <w:lang w:val="en-US" w:eastAsia="zh-CN"/>
                    </w:rPr>
                    <w:t>0.534g</w:t>
                  </w:r>
                </w:p>
              </w:tc>
              <w:tc>
                <w:tcPr>
                  <w:tcW w:w="740" w:type="pct"/>
                  <w:vAlign w:val="center"/>
                </w:tcPr>
                <w:p w14:paraId="47DFCE11">
                  <w:pPr>
                    <w:pStyle w:val="41"/>
                    <w:bidi w:val="0"/>
                    <w:rPr>
                      <w:rFonts w:hint="eastAsia"/>
                      <w:lang w:val="en-US" w:eastAsia="zh-CN"/>
                    </w:rPr>
                  </w:pPr>
                  <w:r>
                    <w:rPr>
                      <w:rFonts w:hint="default"/>
                      <w:lang w:val="en-US" w:eastAsia="zh-CN"/>
                    </w:rPr>
                    <w:t>0.534g</w:t>
                  </w:r>
                </w:p>
              </w:tc>
              <w:tc>
                <w:tcPr>
                  <w:tcW w:w="521" w:type="pct"/>
                  <w:vAlign w:val="center"/>
                </w:tcPr>
                <w:p w14:paraId="645156A5">
                  <w:pPr>
                    <w:pStyle w:val="41"/>
                    <w:bidi w:val="0"/>
                    <w:rPr>
                      <w:rFonts w:hint="eastAsia"/>
                      <w:lang w:val="en-US" w:eastAsia="zh-CN"/>
                    </w:rPr>
                  </w:pPr>
                  <w:r>
                    <w:rPr>
                      <w:rFonts w:hint="eastAsia"/>
                      <w:lang w:val="en-US" w:eastAsia="zh-CN"/>
                    </w:rPr>
                    <w:t>固体</w:t>
                  </w:r>
                </w:p>
              </w:tc>
              <w:tc>
                <w:tcPr>
                  <w:tcW w:w="447" w:type="pct"/>
                  <w:vMerge w:val="continue"/>
                  <w:vAlign w:val="center"/>
                </w:tcPr>
                <w:p w14:paraId="08594A33">
                  <w:pPr>
                    <w:pStyle w:val="41"/>
                    <w:bidi w:val="0"/>
                    <w:rPr>
                      <w:rFonts w:hint="default"/>
                      <w:lang w:val="en-US" w:eastAsia="zh-CN"/>
                    </w:rPr>
                  </w:pPr>
                </w:p>
              </w:tc>
            </w:tr>
            <w:tr w14:paraId="259847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2C2CFF13">
                  <w:pPr>
                    <w:pStyle w:val="41"/>
                    <w:numPr>
                      <w:ilvl w:val="0"/>
                      <w:numId w:val="13"/>
                    </w:numPr>
                    <w:bidi w:val="0"/>
                    <w:ind w:left="454" w:leftChars="0" w:hanging="454" w:firstLineChars="0"/>
                    <w:jc w:val="center"/>
                    <w:rPr>
                      <w:rFonts w:hint="eastAsia"/>
                    </w:rPr>
                  </w:pPr>
                </w:p>
              </w:tc>
              <w:tc>
                <w:tcPr>
                  <w:tcW w:w="864" w:type="pct"/>
                  <w:vAlign w:val="center"/>
                </w:tcPr>
                <w:p w14:paraId="451A660A">
                  <w:pPr>
                    <w:pStyle w:val="41"/>
                    <w:bidi w:val="0"/>
                    <w:rPr>
                      <w:rFonts w:hint="eastAsia"/>
                      <w:lang w:val="en-US" w:eastAsia="zh-CN"/>
                    </w:rPr>
                  </w:pPr>
                  <w:r>
                    <w:rPr>
                      <w:rFonts w:hint="default"/>
                      <w:lang w:val="en-US" w:eastAsia="zh-CN"/>
                    </w:rPr>
                    <w:t>多粘菌素B</w:t>
                  </w:r>
                </w:p>
              </w:tc>
              <w:tc>
                <w:tcPr>
                  <w:tcW w:w="669" w:type="pct"/>
                  <w:vAlign w:val="center"/>
                </w:tcPr>
                <w:p w14:paraId="2F136DEF">
                  <w:pPr>
                    <w:pStyle w:val="41"/>
                    <w:bidi w:val="0"/>
                    <w:rPr>
                      <w:rFonts w:hint="default"/>
                      <w:lang w:val="en-US" w:eastAsia="zh-CN"/>
                    </w:rPr>
                  </w:pPr>
                  <w:r>
                    <w:rPr>
                      <w:rFonts w:hint="eastAsia"/>
                      <w:lang w:val="en-US" w:eastAsia="zh-CN"/>
                    </w:rPr>
                    <w:t>/</w:t>
                  </w:r>
                </w:p>
              </w:tc>
              <w:tc>
                <w:tcPr>
                  <w:tcW w:w="687" w:type="pct"/>
                  <w:vAlign w:val="center"/>
                </w:tcPr>
                <w:p w14:paraId="0B48CEA0">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7A4E90C3">
                  <w:pPr>
                    <w:pStyle w:val="41"/>
                    <w:bidi w:val="0"/>
                    <w:rPr>
                      <w:rFonts w:hint="eastAsia"/>
                      <w:lang w:val="en-US" w:eastAsia="zh-CN"/>
                    </w:rPr>
                  </w:pPr>
                  <w:r>
                    <w:rPr>
                      <w:rFonts w:hint="default"/>
                      <w:lang w:val="en-US" w:eastAsia="zh-CN"/>
                    </w:rPr>
                    <w:t>0.534g</w:t>
                  </w:r>
                </w:p>
              </w:tc>
              <w:tc>
                <w:tcPr>
                  <w:tcW w:w="740" w:type="pct"/>
                  <w:vAlign w:val="center"/>
                </w:tcPr>
                <w:p w14:paraId="39639364">
                  <w:pPr>
                    <w:pStyle w:val="41"/>
                    <w:bidi w:val="0"/>
                    <w:rPr>
                      <w:rFonts w:hint="eastAsia"/>
                      <w:lang w:val="en-US" w:eastAsia="zh-CN"/>
                    </w:rPr>
                  </w:pPr>
                  <w:r>
                    <w:rPr>
                      <w:rFonts w:hint="default"/>
                      <w:lang w:val="en-US" w:eastAsia="zh-CN"/>
                    </w:rPr>
                    <w:t>0.534g</w:t>
                  </w:r>
                </w:p>
              </w:tc>
              <w:tc>
                <w:tcPr>
                  <w:tcW w:w="521" w:type="pct"/>
                  <w:vAlign w:val="center"/>
                </w:tcPr>
                <w:p w14:paraId="19876C8A">
                  <w:pPr>
                    <w:pStyle w:val="41"/>
                    <w:bidi w:val="0"/>
                    <w:rPr>
                      <w:rFonts w:hint="eastAsia"/>
                      <w:lang w:val="en-US" w:eastAsia="zh-CN"/>
                    </w:rPr>
                  </w:pPr>
                  <w:r>
                    <w:rPr>
                      <w:rFonts w:hint="eastAsia"/>
                      <w:lang w:val="en-US" w:eastAsia="zh-CN"/>
                    </w:rPr>
                    <w:t>固体</w:t>
                  </w:r>
                </w:p>
              </w:tc>
              <w:tc>
                <w:tcPr>
                  <w:tcW w:w="447" w:type="pct"/>
                  <w:vMerge w:val="continue"/>
                  <w:vAlign w:val="center"/>
                </w:tcPr>
                <w:p w14:paraId="3BE4E533">
                  <w:pPr>
                    <w:pStyle w:val="41"/>
                    <w:bidi w:val="0"/>
                    <w:rPr>
                      <w:rFonts w:hint="default"/>
                      <w:lang w:val="en-US" w:eastAsia="zh-CN"/>
                    </w:rPr>
                  </w:pPr>
                </w:p>
              </w:tc>
            </w:tr>
            <w:tr w14:paraId="662BFD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11DB4EC">
                  <w:pPr>
                    <w:pStyle w:val="41"/>
                    <w:numPr>
                      <w:ilvl w:val="0"/>
                      <w:numId w:val="13"/>
                    </w:numPr>
                    <w:bidi w:val="0"/>
                    <w:ind w:left="454" w:leftChars="0" w:hanging="454" w:firstLineChars="0"/>
                    <w:jc w:val="center"/>
                    <w:rPr>
                      <w:rFonts w:hint="eastAsia"/>
                    </w:rPr>
                  </w:pPr>
                </w:p>
              </w:tc>
              <w:tc>
                <w:tcPr>
                  <w:tcW w:w="864" w:type="pct"/>
                  <w:vAlign w:val="center"/>
                </w:tcPr>
                <w:p w14:paraId="73A8AACD">
                  <w:pPr>
                    <w:pStyle w:val="41"/>
                    <w:bidi w:val="0"/>
                    <w:rPr>
                      <w:rFonts w:hint="eastAsia"/>
                      <w:lang w:val="en-US" w:eastAsia="zh-CN"/>
                    </w:rPr>
                  </w:pPr>
                  <w:r>
                    <w:rPr>
                      <w:rFonts w:hint="default"/>
                      <w:lang w:val="en-US" w:eastAsia="zh-CN"/>
                    </w:rPr>
                    <w:t>盐酸万古霉素</w:t>
                  </w:r>
                </w:p>
              </w:tc>
              <w:tc>
                <w:tcPr>
                  <w:tcW w:w="669" w:type="pct"/>
                  <w:vAlign w:val="center"/>
                </w:tcPr>
                <w:p w14:paraId="50820935">
                  <w:pPr>
                    <w:pStyle w:val="41"/>
                    <w:bidi w:val="0"/>
                    <w:rPr>
                      <w:rFonts w:hint="default"/>
                      <w:lang w:val="en-US" w:eastAsia="zh-CN"/>
                    </w:rPr>
                  </w:pPr>
                  <w:r>
                    <w:rPr>
                      <w:rFonts w:hint="eastAsia"/>
                      <w:lang w:val="en-US" w:eastAsia="zh-CN"/>
                    </w:rPr>
                    <w:t>/</w:t>
                  </w:r>
                </w:p>
              </w:tc>
              <w:tc>
                <w:tcPr>
                  <w:tcW w:w="687" w:type="pct"/>
                  <w:vAlign w:val="center"/>
                </w:tcPr>
                <w:p w14:paraId="4211E79C">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593C1C86">
                  <w:pPr>
                    <w:pStyle w:val="41"/>
                    <w:bidi w:val="0"/>
                    <w:rPr>
                      <w:rFonts w:hint="eastAsia"/>
                      <w:lang w:val="en-US" w:eastAsia="zh-CN"/>
                    </w:rPr>
                  </w:pPr>
                  <w:r>
                    <w:rPr>
                      <w:rFonts w:hint="default"/>
                      <w:lang w:val="en-US" w:eastAsia="zh-CN"/>
                    </w:rPr>
                    <w:t>0.534g</w:t>
                  </w:r>
                </w:p>
              </w:tc>
              <w:tc>
                <w:tcPr>
                  <w:tcW w:w="740" w:type="pct"/>
                  <w:vAlign w:val="center"/>
                </w:tcPr>
                <w:p w14:paraId="30D4B84A">
                  <w:pPr>
                    <w:pStyle w:val="41"/>
                    <w:bidi w:val="0"/>
                    <w:rPr>
                      <w:rFonts w:hint="eastAsia"/>
                      <w:lang w:val="en-US" w:eastAsia="zh-CN"/>
                    </w:rPr>
                  </w:pPr>
                  <w:r>
                    <w:rPr>
                      <w:rFonts w:hint="default"/>
                      <w:lang w:val="en-US" w:eastAsia="zh-CN"/>
                    </w:rPr>
                    <w:t>0.534g</w:t>
                  </w:r>
                </w:p>
              </w:tc>
              <w:tc>
                <w:tcPr>
                  <w:tcW w:w="521" w:type="pct"/>
                  <w:vAlign w:val="center"/>
                </w:tcPr>
                <w:p w14:paraId="6D047D22">
                  <w:pPr>
                    <w:pStyle w:val="41"/>
                    <w:bidi w:val="0"/>
                    <w:rPr>
                      <w:rFonts w:hint="eastAsia"/>
                      <w:lang w:val="en-US" w:eastAsia="zh-CN"/>
                    </w:rPr>
                  </w:pPr>
                  <w:r>
                    <w:rPr>
                      <w:rFonts w:hint="eastAsia"/>
                      <w:lang w:val="en-US" w:eastAsia="zh-CN"/>
                    </w:rPr>
                    <w:t>固体</w:t>
                  </w:r>
                </w:p>
              </w:tc>
              <w:tc>
                <w:tcPr>
                  <w:tcW w:w="447" w:type="pct"/>
                  <w:vMerge w:val="continue"/>
                  <w:vAlign w:val="center"/>
                </w:tcPr>
                <w:p w14:paraId="160D5734">
                  <w:pPr>
                    <w:pStyle w:val="41"/>
                    <w:bidi w:val="0"/>
                    <w:rPr>
                      <w:rFonts w:hint="default"/>
                      <w:lang w:val="en-US" w:eastAsia="zh-CN"/>
                    </w:rPr>
                  </w:pPr>
                </w:p>
              </w:tc>
            </w:tr>
            <w:tr w14:paraId="42BF90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2CE3634">
                  <w:pPr>
                    <w:pStyle w:val="41"/>
                    <w:numPr>
                      <w:ilvl w:val="0"/>
                      <w:numId w:val="13"/>
                    </w:numPr>
                    <w:bidi w:val="0"/>
                    <w:ind w:left="454" w:leftChars="0" w:hanging="454" w:firstLineChars="0"/>
                    <w:jc w:val="center"/>
                    <w:rPr>
                      <w:rFonts w:hint="eastAsia"/>
                    </w:rPr>
                  </w:pPr>
                </w:p>
              </w:tc>
              <w:tc>
                <w:tcPr>
                  <w:tcW w:w="864" w:type="pct"/>
                  <w:vAlign w:val="center"/>
                </w:tcPr>
                <w:p w14:paraId="29BB18C1">
                  <w:pPr>
                    <w:pStyle w:val="41"/>
                    <w:bidi w:val="0"/>
                    <w:rPr>
                      <w:rFonts w:hint="eastAsia"/>
                      <w:lang w:val="en-US" w:eastAsia="zh-CN"/>
                    </w:rPr>
                  </w:pPr>
                  <w:r>
                    <w:rPr>
                      <w:rFonts w:hint="default"/>
                      <w:lang w:val="en-US" w:eastAsia="zh-CN"/>
                    </w:rPr>
                    <w:t>利奈唑胺</w:t>
                  </w:r>
                </w:p>
              </w:tc>
              <w:tc>
                <w:tcPr>
                  <w:tcW w:w="669" w:type="pct"/>
                  <w:vAlign w:val="center"/>
                </w:tcPr>
                <w:p w14:paraId="43C03F1A">
                  <w:pPr>
                    <w:pStyle w:val="41"/>
                    <w:bidi w:val="0"/>
                    <w:rPr>
                      <w:rFonts w:hint="default"/>
                      <w:lang w:val="en-US" w:eastAsia="zh-CN"/>
                    </w:rPr>
                  </w:pPr>
                  <w:r>
                    <w:rPr>
                      <w:rFonts w:hint="eastAsia"/>
                      <w:lang w:val="en-US" w:eastAsia="zh-CN"/>
                    </w:rPr>
                    <w:t>/</w:t>
                  </w:r>
                </w:p>
              </w:tc>
              <w:tc>
                <w:tcPr>
                  <w:tcW w:w="687" w:type="pct"/>
                  <w:vAlign w:val="center"/>
                </w:tcPr>
                <w:p w14:paraId="67679BA4">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2742C801">
                  <w:pPr>
                    <w:pStyle w:val="41"/>
                    <w:bidi w:val="0"/>
                    <w:rPr>
                      <w:rFonts w:hint="eastAsia"/>
                      <w:lang w:val="en-US" w:eastAsia="zh-CN"/>
                    </w:rPr>
                  </w:pPr>
                  <w:r>
                    <w:rPr>
                      <w:rFonts w:hint="default"/>
                      <w:lang w:val="en-US" w:eastAsia="zh-CN"/>
                    </w:rPr>
                    <w:t>0.534g</w:t>
                  </w:r>
                </w:p>
              </w:tc>
              <w:tc>
                <w:tcPr>
                  <w:tcW w:w="740" w:type="pct"/>
                  <w:vAlign w:val="center"/>
                </w:tcPr>
                <w:p w14:paraId="354D8409">
                  <w:pPr>
                    <w:pStyle w:val="41"/>
                    <w:bidi w:val="0"/>
                    <w:rPr>
                      <w:rFonts w:hint="eastAsia"/>
                      <w:lang w:val="en-US" w:eastAsia="zh-CN"/>
                    </w:rPr>
                  </w:pPr>
                  <w:r>
                    <w:rPr>
                      <w:rFonts w:hint="default"/>
                      <w:lang w:val="en-US" w:eastAsia="zh-CN"/>
                    </w:rPr>
                    <w:t>0.534g</w:t>
                  </w:r>
                </w:p>
              </w:tc>
              <w:tc>
                <w:tcPr>
                  <w:tcW w:w="521" w:type="pct"/>
                  <w:vAlign w:val="center"/>
                </w:tcPr>
                <w:p w14:paraId="2E8D385A">
                  <w:pPr>
                    <w:pStyle w:val="41"/>
                    <w:bidi w:val="0"/>
                    <w:rPr>
                      <w:rFonts w:hint="eastAsia"/>
                      <w:lang w:val="en-US" w:eastAsia="zh-CN"/>
                    </w:rPr>
                  </w:pPr>
                  <w:r>
                    <w:rPr>
                      <w:rFonts w:hint="eastAsia"/>
                      <w:lang w:val="en-US" w:eastAsia="zh-CN"/>
                    </w:rPr>
                    <w:t>固体</w:t>
                  </w:r>
                </w:p>
              </w:tc>
              <w:tc>
                <w:tcPr>
                  <w:tcW w:w="447" w:type="pct"/>
                  <w:vMerge w:val="continue"/>
                  <w:vAlign w:val="center"/>
                </w:tcPr>
                <w:p w14:paraId="111ED2A5">
                  <w:pPr>
                    <w:pStyle w:val="41"/>
                    <w:bidi w:val="0"/>
                    <w:rPr>
                      <w:rFonts w:hint="default"/>
                      <w:lang w:val="en-US" w:eastAsia="zh-CN"/>
                    </w:rPr>
                  </w:pPr>
                </w:p>
              </w:tc>
            </w:tr>
            <w:tr w14:paraId="49B15A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360FAAA8">
                  <w:pPr>
                    <w:pStyle w:val="41"/>
                    <w:numPr>
                      <w:ilvl w:val="0"/>
                      <w:numId w:val="13"/>
                    </w:numPr>
                    <w:bidi w:val="0"/>
                    <w:ind w:left="454" w:leftChars="0" w:hanging="454" w:firstLineChars="0"/>
                    <w:jc w:val="center"/>
                    <w:rPr>
                      <w:rFonts w:hint="eastAsia"/>
                    </w:rPr>
                  </w:pPr>
                </w:p>
              </w:tc>
              <w:tc>
                <w:tcPr>
                  <w:tcW w:w="864" w:type="pct"/>
                  <w:vAlign w:val="center"/>
                </w:tcPr>
                <w:p w14:paraId="2AC89E5F">
                  <w:pPr>
                    <w:pStyle w:val="41"/>
                    <w:bidi w:val="0"/>
                    <w:rPr>
                      <w:rFonts w:hint="eastAsia"/>
                      <w:lang w:val="en-US" w:eastAsia="zh-CN"/>
                    </w:rPr>
                  </w:pPr>
                  <w:r>
                    <w:rPr>
                      <w:rFonts w:hint="default"/>
                      <w:lang w:val="en-US" w:eastAsia="zh-CN"/>
                    </w:rPr>
                    <w:t>替考拉宁</w:t>
                  </w:r>
                </w:p>
              </w:tc>
              <w:tc>
                <w:tcPr>
                  <w:tcW w:w="669" w:type="pct"/>
                  <w:vAlign w:val="center"/>
                </w:tcPr>
                <w:p w14:paraId="714DE2DA">
                  <w:pPr>
                    <w:pStyle w:val="41"/>
                    <w:bidi w:val="0"/>
                    <w:rPr>
                      <w:rFonts w:hint="default"/>
                      <w:lang w:val="en-US" w:eastAsia="zh-CN"/>
                    </w:rPr>
                  </w:pPr>
                  <w:r>
                    <w:rPr>
                      <w:rFonts w:hint="eastAsia"/>
                      <w:lang w:val="en-US" w:eastAsia="zh-CN"/>
                    </w:rPr>
                    <w:t>/</w:t>
                  </w:r>
                </w:p>
              </w:tc>
              <w:tc>
                <w:tcPr>
                  <w:tcW w:w="687" w:type="pct"/>
                  <w:vAlign w:val="center"/>
                </w:tcPr>
                <w:p w14:paraId="2AAE5AF5">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029B30C7">
                  <w:pPr>
                    <w:pStyle w:val="41"/>
                    <w:bidi w:val="0"/>
                    <w:rPr>
                      <w:rFonts w:hint="eastAsia"/>
                      <w:lang w:val="en-US" w:eastAsia="zh-CN"/>
                    </w:rPr>
                  </w:pPr>
                  <w:r>
                    <w:rPr>
                      <w:rFonts w:hint="default"/>
                      <w:lang w:val="en-US" w:eastAsia="zh-CN"/>
                    </w:rPr>
                    <w:t>0.534g</w:t>
                  </w:r>
                </w:p>
              </w:tc>
              <w:tc>
                <w:tcPr>
                  <w:tcW w:w="740" w:type="pct"/>
                  <w:vAlign w:val="center"/>
                </w:tcPr>
                <w:p w14:paraId="0AAD415E">
                  <w:pPr>
                    <w:pStyle w:val="41"/>
                    <w:bidi w:val="0"/>
                    <w:rPr>
                      <w:rFonts w:hint="eastAsia"/>
                      <w:lang w:val="en-US" w:eastAsia="zh-CN"/>
                    </w:rPr>
                  </w:pPr>
                  <w:r>
                    <w:rPr>
                      <w:rFonts w:hint="default"/>
                      <w:lang w:val="en-US" w:eastAsia="zh-CN"/>
                    </w:rPr>
                    <w:t>0.534g</w:t>
                  </w:r>
                </w:p>
              </w:tc>
              <w:tc>
                <w:tcPr>
                  <w:tcW w:w="521" w:type="pct"/>
                  <w:vAlign w:val="center"/>
                </w:tcPr>
                <w:p w14:paraId="51D94509">
                  <w:pPr>
                    <w:pStyle w:val="41"/>
                    <w:bidi w:val="0"/>
                    <w:rPr>
                      <w:rFonts w:hint="eastAsia"/>
                      <w:lang w:val="en-US" w:eastAsia="zh-CN"/>
                    </w:rPr>
                  </w:pPr>
                  <w:r>
                    <w:rPr>
                      <w:rFonts w:hint="eastAsia"/>
                      <w:lang w:val="en-US" w:eastAsia="zh-CN"/>
                    </w:rPr>
                    <w:t>固体</w:t>
                  </w:r>
                </w:p>
              </w:tc>
              <w:tc>
                <w:tcPr>
                  <w:tcW w:w="447" w:type="pct"/>
                  <w:vMerge w:val="continue"/>
                  <w:vAlign w:val="center"/>
                </w:tcPr>
                <w:p w14:paraId="3EA1F7A0">
                  <w:pPr>
                    <w:pStyle w:val="41"/>
                    <w:bidi w:val="0"/>
                    <w:rPr>
                      <w:rFonts w:hint="default"/>
                      <w:lang w:val="en-US" w:eastAsia="zh-CN"/>
                    </w:rPr>
                  </w:pPr>
                </w:p>
              </w:tc>
            </w:tr>
            <w:tr w14:paraId="6A686B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84844BD">
                  <w:pPr>
                    <w:pStyle w:val="41"/>
                    <w:numPr>
                      <w:ilvl w:val="0"/>
                      <w:numId w:val="13"/>
                    </w:numPr>
                    <w:bidi w:val="0"/>
                    <w:ind w:left="454" w:leftChars="0" w:hanging="454" w:firstLineChars="0"/>
                    <w:jc w:val="center"/>
                    <w:rPr>
                      <w:rFonts w:hint="eastAsia"/>
                    </w:rPr>
                  </w:pPr>
                </w:p>
              </w:tc>
              <w:tc>
                <w:tcPr>
                  <w:tcW w:w="864" w:type="pct"/>
                  <w:vAlign w:val="center"/>
                </w:tcPr>
                <w:p w14:paraId="277CCCA9">
                  <w:pPr>
                    <w:pStyle w:val="41"/>
                    <w:bidi w:val="0"/>
                    <w:rPr>
                      <w:rFonts w:hint="eastAsia"/>
                      <w:lang w:val="en-US" w:eastAsia="zh-CN"/>
                    </w:rPr>
                  </w:pPr>
                  <w:r>
                    <w:rPr>
                      <w:rFonts w:hint="default"/>
                      <w:lang w:val="en-US" w:eastAsia="zh-CN"/>
                    </w:rPr>
                    <w:t>甲氧苄啶</w:t>
                  </w:r>
                </w:p>
              </w:tc>
              <w:tc>
                <w:tcPr>
                  <w:tcW w:w="669" w:type="pct"/>
                  <w:vAlign w:val="center"/>
                </w:tcPr>
                <w:p w14:paraId="38D12C74">
                  <w:pPr>
                    <w:pStyle w:val="41"/>
                    <w:bidi w:val="0"/>
                    <w:rPr>
                      <w:rFonts w:hint="default"/>
                      <w:lang w:val="en-US" w:eastAsia="zh-CN"/>
                    </w:rPr>
                  </w:pPr>
                  <w:r>
                    <w:rPr>
                      <w:rFonts w:hint="eastAsia"/>
                      <w:lang w:val="en-US" w:eastAsia="zh-CN"/>
                    </w:rPr>
                    <w:t>/</w:t>
                  </w:r>
                </w:p>
              </w:tc>
              <w:tc>
                <w:tcPr>
                  <w:tcW w:w="687" w:type="pct"/>
                  <w:vAlign w:val="center"/>
                </w:tcPr>
                <w:p w14:paraId="7F068622">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4C0E088A">
                  <w:pPr>
                    <w:pStyle w:val="41"/>
                    <w:bidi w:val="0"/>
                    <w:rPr>
                      <w:rFonts w:hint="eastAsia"/>
                      <w:lang w:val="en-US" w:eastAsia="zh-CN"/>
                    </w:rPr>
                  </w:pPr>
                  <w:r>
                    <w:rPr>
                      <w:rFonts w:hint="default"/>
                      <w:lang w:val="en-US" w:eastAsia="zh-CN"/>
                    </w:rPr>
                    <w:t>0.534g</w:t>
                  </w:r>
                </w:p>
              </w:tc>
              <w:tc>
                <w:tcPr>
                  <w:tcW w:w="740" w:type="pct"/>
                  <w:vAlign w:val="center"/>
                </w:tcPr>
                <w:p w14:paraId="7D2D05CE">
                  <w:pPr>
                    <w:pStyle w:val="41"/>
                    <w:bidi w:val="0"/>
                    <w:rPr>
                      <w:rFonts w:hint="eastAsia"/>
                      <w:lang w:val="en-US" w:eastAsia="zh-CN"/>
                    </w:rPr>
                  </w:pPr>
                  <w:r>
                    <w:rPr>
                      <w:rFonts w:hint="default"/>
                      <w:lang w:val="en-US" w:eastAsia="zh-CN"/>
                    </w:rPr>
                    <w:t>0.534g</w:t>
                  </w:r>
                </w:p>
              </w:tc>
              <w:tc>
                <w:tcPr>
                  <w:tcW w:w="521" w:type="pct"/>
                  <w:vAlign w:val="center"/>
                </w:tcPr>
                <w:p w14:paraId="0B58D42A">
                  <w:pPr>
                    <w:pStyle w:val="41"/>
                    <w:bidi w:val="0"/>
                    <w:rPr>
                      <w:rFonts w:hint="eastAsia"/>
                      <w:lang w:val="en-US" w:eastAsia="zh-CN"/>
                    </w:rPr>
                  </w:pPr>
                  <w:r>
                    <w:rPr>
                      <w:rFonts w:hint="eastAsia"/>
                      <w:lang w:val="en-US" w:eastAsia="zh-CN"/>
                    </w:rPr>
                    <w:t>固体</w:t>
                  </w:r>
                </w:p>
              </w:tc>
              <w:tc>
                <w:tcPr>
                  <w:tcW w:w="447" w:type="pct"/>
                  <w:vMerge w:val="continue"/>
                  <w:vAlign w:val="center"/>
                </w:tcPr>
                <w:p w14:paraId="3EB62A68">
                  <w:pPr>
                    <w:pStyle w:val="41"/>
                    <w:bidi w:val="0"/>
                    <w:rPr>
                      <w:rFonts w:hint="default"/>
                      <w:lang w:val="en-US" w:eastAsia="zh-CN"/>
                    </w:rPr>
                  </w:pPr>
                </w:p>
              </w:tc>
            </w:tr>
            <w:tr w14:paraId="485888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0DB27F2">
                  <w:pPr>
                    <w:pStyle w:val="41"/>
                    <w:numPr>
                      <w:ilvl w:val="0"/>
                      <w:numId w:val="13"/>
                    </w:numPr>
                    <w:bidi w:val="0"/>
                    <w:ind w:left="454" w:leftChars="0" w:hanging="454" w:firstLineChars="0"/>
                    <w:jc w:val="center"/>
                    <w:rPr>
                      <w:rFonts w:hint="eastAsia"/>
                    </w:rPr>
                  </w:pPr>
                </w:p>
              </w:tc>
              <w:tc>
                <w:tcPr>
                  <w:tcW w:w="864" w:type="pct"/>
                  <w:vAlign w:val="center"/>
                </w:tcPr>
                <w:p w14:paraId="04394AAC">
                  <w:pPr>
                    <w:pStyle w:val="41"/>
                    <w:bidi w:val="0"/>
                    <w:rPr>
                      <w:rFonts w:hint="eastAsia"/>
                      <w:lang w:val="en-US" w:eastAsia="zh-CN"/>
                    </w:rPr>
                  </w:pPr>
                  <w:r>
                    <w:rPr>
                      <w:rFonts w:hint="default"/>
                      <w:lang w:val="en-US" w:eastAsia="zh-CN"/>
                    </w:rPr>
                    <w:t>磺胺异恶唑</w:t>
                  </w:r>
                </w:p>
              </w:tc>
              <w:tc>
                <w:tcPr>
                  <w:tcW w:w="669" w:type="pct"/>
                  <w:vAlign w:val="center"/>
                </w:tcPr>
                <w:p w14:paraId="7F445DDE">
                  <w:pPr>
                    <w:pStyle w:val="41"/>
                    <w:bidi w:val="0"/>
                    <w:rPr>
                      <w:rFonts w:hint="default"/>
                      <w:lang w:val="en-US" w:eastAsia="zh-CN"/>
                    </w:rPr>
                  </w:pPr>
                  <w:r>
                    <w:rPr>
                      <w:rFonts w:hint="eastAsia"/>
                      <w:lang w:val="en-US" w:eastAsia="zh-CN"/>
                    </w:rPr>
                    <w:t>/</w:t>
                  </w:r>
                </w:p>
              </w:tc>
              <w:tc>
                <w:tcPr>
                  <w:tcW w:w="687" w:type="pct"/>
                  <w:vAlign w:val="center"/>
                </w:tcPr>
                <w:p w14:paraId="5A4D1F7D">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6C2A737F">
                  <w:pPr>
                    <w:pStyle w:val="41"/>
                    <w:bidi w:val="0"/>
                    <w:rPr>
                      <w:rFonts w:hint="eastAsia"/>
                      <w:lang w:val="en-US" w:eastAsia="zh-CN"/>
                    </w:rPr>
                  </w:pPr>
                  <w:r>
                    <w:rPr>
                      <w:rFonts w:hint="default"/>
                      <w:lang w:val="en-US" w:eastAsia="zh-CN"/>
                    </w:rPr>
                    <w:t>0.534g</w:t>
                  </w:r>
                </w:p>
              </w:tc>
              <w:tc>
                <w:tcPr>
                  <w:tcW w:w="740" w:type="pct"/>
                  <w:vAlign w:val="center"/>
                </w:tcPr>
                <w:p w14:paraId="392D5DBA">
                  <w:pPr>
                    <w:pStyle w:val="41"/>
                    <w:bidi w:val="0"/>
                    <w:rPr>
                      <w:rFonts w:hint="eastAsia"/>
                      <w:lang w:val="en-US" w:eastAsia="zh-CN"/>
                    </w:rPr>
                  </w:pPr>
                  <w:r>
                    <w:rPr>
                      <w:rFonts w:hint="default"/>
                      <w:lang w:val="en-US" w:eastAsia="zh-CN"/>
                    </w:rPr>
                    <w:t>0.534g</w:t>
                  </w:r>
                </w:p>
              </w:tc>
              <w:tc>
                <w:tcPr>
                  <w:tcW w:w="521" w:type="pct"/>
                  <w:vAlign w:val="center"/>
                </w:tcPr>
                <w:p w14:paraId="50E9AF9D">
                  <w:pPr>
                    <w:pStyle w:val="41"/>
                    <w:bidi w:val="0"/>
                    <w:rPr>
                      <w:rFonts w:hint="eastAsia"/>
                      <w:lang w:val="en-US" w:eastAsia="zh-CN"/>
                    </w:rPr>
                  </w:pPr>
                  <w:r>
                    <w:rPr>
                      <w:rFonts w:hint="eastAsia"/>
                      <w:lang w:val="en-US" w:eastAsia="zh-CN"/>
                    </w:rPr>
                    <w:t>固体</w:t>
                  </w:r>
                </w:p>
              </w:tc>
              <w:tc>
                <w:tcPr>
                  <w:tcW w:w="447" w:type="pct"/>
                  <w:vMerge w:val="continue"/>
                  <w:vAlign w:val="center"/>
                </w:tcPr>
                <w:p w14:paraId="28C070EC">
                  <w:pPr>
                    <w:pStyle w:val="41"/>
                    <w:bidi w:val="0"/>
                    <w:rPr>
                      <w:rFonts w:hint="default"/>
                      <w:lang w:val="en-US" w:eastAsia="zh-CN"/>
                    </w:rPr>
                  </w:pPr>
                </w:p>
              </w:tc>
            </w:tr>
            <w:tr w14:paraId="168B1B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A9E3B09">
                  <w:pPr>
                    <w:pStyle w:val="41"/>
                    <w:numPr>
                      <w:ilvl w:val="0"/>
                      <w:numId w:val="13"/>
                    </w:numPr>
                    <w:bidi w:val="0"/>
                    <w:ind w:left="454" w:leftChars="0" w:hanging="454" w:firstLineChars="0"/>
                    <w:jc w:val="center"/>
                    <w:rPr>
                      <w:rFonts w:hint="eastAsia"/>
                    </w:rPr>
                  </w:pPr>
                </w:p>
              </w:tc>
              <w:tc>
                <w:tcPr>
                  <w:tcW w:w="864" w:type="pct"/>
                  <w:vAlign w:val="center"/>
                </w:tcPr>
                <w:p w14:paraId="5811321D">
                  <w:pPr>
                    <w:pStyle w:val="41"/>
                    <w:bidi w:val="0"/>
                    <w:rPr>
                      <w:rFonts w:hint="eastAsia"/>
                      <w:lang w:val="en-US" w:eastAsia="zh-CN"/>
                    </w:rPr>
                  </w:pPr>
                  <w:r>
                    <w:rPr>
                      <w:rFonts w:hint="default"/>
                      <w:lang w:val="en-US" w:eastAsia="zh-CN"/>
                    </w:rPr>
                    <w:t>哌拉西林钠</w:t>
                  </w:r>
                </w:p>
              </w:tc>
              <w:tc>
                <w:tcPr>
                  <w:tcW w:w="669" w:type="pct"/>
                  <w:vAlign w:val="center"/>
                </w:tcPr>
                <w:p w14:paraId="5ABC2F95">
                  <w:pPr>
                    <w:pStyle w:val="41"/>
                    <w:bidi w:val="0"/>
                    <w:rPr>
                      <w:rFonts w:hint="default"/>
                      <w:lang w:val="en-US" w:eastAsia="zh-CN"/>
                    </w:rPr>
                  </w:pPr>
                  <w:r>
                    <w:rPr>
                      <w:rFonts w:hint="eastAsia"/>
                      <w:lang w:val="en-US" w:eastAsia="zh-CN"/>
                    </w:rPr>
                    <w:t>/</w:t>
                  </w:r>
                </w:p>
              </w:tc>
              <w:tc>
                <w:tcPr>
                  <w:tcW w:w="687" w:type="pct"/>
                  <w:vAlign w:val="center"/>
                </w:tcPr>
                <w:p w14:paraId="11D610C6">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4056A932">
                  <w:pPr>
                    <w:pStyle w:val="41"/>
                    <w:bidi w:val="0"/>
                    <w:rPr>
                      <w:rFonts w:hint="eastAsia"/>
                      <w:lang w:val="en-US" w:eastAsia="zh-CN"/>
                    </w:rPr>
                  </w:pPr>
                  <w:r>
                    <w:rPr>
                      <w:rFonts w:hint="default"/>
                      <w:lang w:val="en-US" w:eastAsia="zh-CN"/>
                    </w:rPr>
                    <w:t>0.534g</w:t>
                  </w:r>
                </w:p>
              </w:tc>
              <w:tc>
                <w:tcPr>
                  <w:tcW w:w="740" w:type="pct"/>
                  <w:vAlign w:val="center"/>
                </w:tcPr>
                <w:p w14:paraId="658B9A5C">
                  <w:pPr>
                    <w:pStyle w:val="41"/>
                    <w:bidi w:val="0"/>
                    <w:rPr>
                      <w:rFonts w:hint="eastAsia"/>
                      <w:lang w:val="en-US" w:eastAsia="zh-CN"/>
                    </w:rPr>
                  </w:pPr>
                  <w:r>
                    <w:rPr>
                      <w:rFonts w:hint="default"/>
                      <w:lang w:val="en-US" w:eastAsia="zh-CN"/>
                    </w:rPr>
                    <w:t>0.534g</w:t>
                  </w:r>
                </w:p>
              </w:tc>
              <w:tc>
                <w:tcPr>
                  <w:tcW w:w="521" w:type="pct"/>
                  <w:vAlign w:val="center"/>
                </w:tcPr>
                <w:p w14:paraId="52DA7947">
                  <w:pPr>
                    <w:pStyle w:val="41"/>
                    <w:bidi w:val="0"/>
                    <w:rPr>
                      <w:rFonts w:hint="eastAsia"/>
                      <w:lang w:val="en-US" w:eastAsia="zh-CN"/>
                    </w:rPr>
                  </w:pPr>
                  <w:r>
                    <w:rPr>
                      <w:rFonts w:hint="eastAsia"/>
                      <w:lang w:val="en-US" w:eastAsia="zh-CN"/>
                    </w:rPr>
                    <w:t>固体</w:t>
                  </w:r>
                </w:p>
              </w:tc>
              <w:tc>
                <w:tcPr>
                  <w:tcW w:w="447" w:type="pct"/>
                  <w:vMerge w:val="continue"/>
                  <w:vAlign w:val="center"/>
                </w:tcPr>
                <w:p w14:paraId="10EBC3E9">
                  <w:pPr>
                    <w:pStyle w:val="41"/>
                    <w:bidi w:val="0"/>
                    <w:rPr>
                      <w:rFonts w:hint="default"/>
                      <w:lang w:val="en-US" w:eastAsia="zh-CN"/>
                    </w:rPr>
                  </w:pPr>
                </w:p>
              </w:tc>
            </w:tr>
            <w:tr w14:paraId="4F4953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697BF4E">
                  <w:pPr>
                    <w:pStyle w:val="41"/>
                    <w:numPr>
                      <w:ilvl w:val="0"/>
                      <w:numId w:val="13"/>
                    </w:numPr>
                    <w:bidi w:val="0"/>
                    <w:ind w:left="454" w:leftChars="0" w:hanging="454" w:firstLineChars="0"/>
                    <w:jc w:val="center"/>
                    <w:rPr>
                      <w:rFonts w:hint="eastAsia"/>
                    </w:rPr>
                  </w:pPr>
                </w:p>
              </w:tc>
              <w:tc>
                <w:tcPr>
                  <w:tcW w:w="864" w:type="pct"/>
                  <w:vAlign w:val="center"/>
                </w:tcPr>
                <w:p w14:paraId="72366E97">
                  <w:pPr>
                    <w:pStyle w:val="41"/>
                    <w:bidi w:val="0"/>
                    <w:rPr>
                      <w:rFonts w:hint="eastAsia"/>
                      <w:lang w:val="en-US" w:eastAsia="zh-CN"/>
                    </w:rPr>
                  </w:pPr>
                  <w:r>
                    <w:rPr>
                      <w:rFonts w:hint="default"/>
                      <w:lang w:val="en-US" w:eastAsia="zh-CN"/>
                    </w:rPr>
                    <w:t>乳糖酸克拉霉素</w:t>
                  </w:r>
                </w:p>
              </w:tc>
              <w:tc>
                <w:tcPr>
                  <w:tcW w:w="669" w:type="pct"/>
                  <w:vAlign w:val="center"/>
                </w:tcPr>
                <w:p w14:paraId="2D38D29B">
                  <w:pPr>
                    <w:pStyle w:val="41"/>
                    <w:bidi w:val="0"/>
                    <w:rPr>
                      <w:rFonts w:hint="default"/>
                      <w:lang w:val="en-US" w:eastAsia="zh-CN"/>
                    </w:rPr>
                  </w:pPr>
                  <w:r>
                    <w:rPr>
                      <w:rFonts w:hint="eastAsia"/>
                      <w:lang w:val="en-US" w:eastAsia="zh-CN"/>
                    </w:rPr>
                    <w:t>/</w:t>
                  </w:r>
                </w:p>
              </w:tc>
              <w:tc>
                <w:tcPr>
                  <w:tcW w:w="687" w:type="pct"/>
                  <w:vAlign w:val="center"/>
                </w:tcPr>
                <w:p w14:paraId="2F27F085">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2C575274">
                  <w:pPr>
                    <w:pStyle w:val="41"/>
                    <w:bidi w:val="0"/>
                    <w:rPr>
                      <w:rFonts w:hint="eastAsia"/>
                      <w:lang w:val="en-US" w:eastAsia="zh-CN"/>
                    </w:rPr>
                  </w:pPr>
                  <w:r>
                    <w:rPr>
                      <w:rFonts w:hint="default"/>
                      <w:lang w:val="en-US" w:eastAsia="zh-CN"/>
                    </w:rPr>
                    <w:t>0.534g</w:t>
                  </w:r>
                </w:p>
              </w:tc>
              <w:tc>
                <w:tcPr>
                  <w:tcW w:w="740" w:type="pct"/>
                  <w:vAlign w:val="center"/>
                </w:tcPr>
                <w:p w14:paraId="53673387">
                  <w:pPr>
                    <w:pStyle w:val="41"/>
                    <w:bidi w:val="0"/>
                    <w:rPr>
                      <w:rFonts w:hint="eastAsia"/>
                      <w:lang w:val="en-US" w:eastAsia="zh-CN"/>
                    </w:rPr>
                  </w:pPr>
                  <w:r>
                    <w:rPr>
                      <w:rFonts w:hint="default"/>
                      <w:lang w:val="en-US" w:eastAsia="zh-CN"/>
                    </w:rPr>
                    <w:t>0.534g</w:t>
                  </w:r>
                </w:p>
              </w:tc>
              <w:tc>
                <w:tcPr>
                  <w:tcW w:w="521" w:type="pct"/>
                  <w:vAlign w:val="center"/>
                </w:tcPr>
                <w:p w14:paraId="424B977B">
                  <w:pPr>
                    <w:pStyle w:val="41"/>
                    <w:bidi w:val="0"/>
                    <w:rPr>
                      <w:rFonts w:hint="eastAsia"/>
                      <w:lang w:val="en-US" w:eastAsia="zh-CN"/>
                    </w:rPr>
                  </w:pPr>
                  <w:r>
                    <w:rPr>
                      <w:rFonts w:hint="eastAsia"/>
                      <w:lang w:val="en-US" w:eastAsia="zh-CN"/>
                    </w:rPr>
                    <w:t>固体</w:t>
                  </w:r>
                </w:p>
              </w:tc>
              <w:tc>
                <w:tcPr>
                  <w:tcW w:w="447" w:type="pct"/>
                  <w:vMerge w:val="continue"/>
                  <w:vAlign w:val="center"/>
                </w:tcPr>
                <w:p w14:paraId="590DE738">
                  <w:pPr>
                    <w:pStyle w:val="41"/>
                    <w:bidi w:val="0"/>
                    <w:rPr>
                      <w:rFonts w:hint="default"/>
                      <w:lang w:val="en-US" w:eastAsia="zh-CN"/>
                    </w:rPr>
                  </w:pPr>
                </w:p>
              </w:tc>
            </w:tr>
            <w:tr w14:paraId="4FE8D7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3D93A56">
                  <w:pPr>
                    <w:pStyle w:val="41"/>
                    <w:numPr>
                      <w:ilvl w:val="0"/>
                      <w:numId w:val="13"/>
                    </w:numPr>
                    <w:bidi w:val="0"/>
                    <w:ind w:left="454" w:leftChars="0" w:hanging="454" w:firstLineChars="0"/>
                    <w:jc w:val="center"/>
                    <w:rPr>
                      <w:rFonts w:hint="eastAsia"/>
                    </w:rPr>
                  </w:pPr>
                </w:p>
              </w:tc>
              <w:tc>
                <w:tcPr>
                  <w:tcW w:w="864" w:type="pct"/>
                  <w:vAlign w:val="center"/>
                </w:tcPr>
                <w:p w14:paraId="7841A94F">
                  <w:pPr>
                    <w:pStyle w:val="41"/>
                    <w:bidi w:val="0"/>
                    <w:rPr>
                      <w:rFonts w:hint="eastAsia"/>
                      <w:lang w:val="en-US" w:eastAsia="zh-CN"/>
                    </w:rPr>
                  </w:pPr>
                  <w:r>
                    <w:rPr>
                      <w:rFonts w:hint="default"/>
                      <w:lang w:val="en-US" w:eastAsia="zh-CN"/>
                    </w:rPr>
                    <w:t>乳糖酸红霉素</w:t>
                  </w:r>
                </w:p>
              </w:tc>
              <w:tc>
                <w:tcPr>
                  <w:tcW w:w="669" w:type="pct"/>
                  <w:vAlign w:val="center"/>
                </w:tcPr>
                <w:p w14:paraId="76FF1C04">
                  <w:pPr>
                    <w:pStyle w:val="41"/>
                    <w:bidi w:val="0"/>
                    <w:rPr>
                      <w:rFonts w:hint="default"/>
                      <w:lang w:val="en-US" w:eastAsia="zh-CN"/>
                    </w:rPr>
                  </w:pPr>
                  <w:r>
                    <w:rPr>
                      <w:rFonts w:hint="eastAsia"/>
                      <w:lang w:val="en-US" w:eastAsia="zh-CN"/>
                    </w:rPr>
                    <w:t>/</w:t>
                  </w:r>
                </w:p>
              </w:tc>
              <w:tc>
                <w:tcPr>
                  <w:tcW w:w="687" w:type="pct"/>
                  <w:vAlign w:val="center"/>
                </w:tcPr>
                <w:p w14:paraId="30F416F4">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1C3B8A07">
                  <w:pPr>
                    <w:pStyle w:val="41"/>
                    <w:bidi w:val="0"/>
                    <w:rPr>
                      <w:rFonts w:hint="eastAsia"/>
                      <w:lang w:val="en-US" w:eastAsia="zh-CN"/>
                    </w:rPr>
                  </w:pPr>
                  <w:r>
                    <w:rPr>
                      <w:rFonts w:hint="default"/>
                      <w:lang w:val="en-US" w:eastAsia="zh-CN"/>
                    </w:rPr>
                    <w:t>0.534g</w:t>
                  </w:r>
                </w:p>
              </w:tc>
              <w:tc>
                <w:tcPr>
                  <w:tcW w:w="740" w:type="pct"/>
                  <w:vAlign w:val="center"/>
                </w:tcPr>
                <w:p w14:paraId="1C376253">
                  <w:pPr>
                    <w:pStyle w:val="41"/>
                    <w:bidi w:val="0"/>
                    <w:rPr>
                      <w:rFonts w:hint="eastAsia"/>
                      <w:lang w:val="en-US" w:eastAsia="zh-CN"/>
                    </w:rPr>
                  </w:pPr>
                  <w:r>
                    <w:rPr>
                      <w:rFonts w:hint="default"/>
                      <w:lang w:val="en-US" w:eastAsia="zh-CN"/>
                    </w:rPr>
                    <w:t>0.534g</w:t>
                  </w:r>
                </w:p>
              </w:tc>
              <w:tc>
                <w:tcPr>
                  <w:tcW w:w="521" w:type="pct"/>
                  <w:vAlign w:val="center"/>
                </w:tcPr>
                <w:p w14:paraId="6C5C4884">
                  <w:pPr>
                    <w:pStyle w:val="41"/>
                    <w:bidi w:val="0"/>
                    <w:rPr>
                      <w:rFonts w:hint="eastAsia"/>
                      <w:lang w:val="en-US" w:eastAsia="zh-CN"/>
                    </w:rPr>
                  </w:pPr>
                  <w:r>
                    <w:rPr>
                      <w:rFonts w:hint="eastAsia"/>
                      <w:lang w:val="en-US" w:eastAsia="zh-CN"/>
                    </w:rPr>
                    <w:t>固体</w:t>
                  </w:r>
                </w:p>
              </w:tc>
              <w:tc>
                <w:tcPr>
                  <w:tcW w:w="447" w:type="pct"/>
                  <w:vMerge w:val="continue"/>
                  <w:vAlign w:val="center"/>
                </w:tcPr>
                <w:p w14:paraId="1007D8A1">
                  <w:pPr>
                    <w:pStyle w:val="41"/>
                    <w:bidi w:val="0"/>
                    <w:rPr>
                      <w:rFonts w:hint="default"/>
                      <w:lang w:val="en-US" w:eastAsia="zh-CN"/>
                    </w:rPr>
                  </w:pPr>
                </w:p>
              </w:tc>
            </w:tr>
            <w:tr w14:paraId="35E71E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53DE510">
                  <w:pPr>
                    <w:pStyle w:val="41"/>
                    <w:numPr>
                      <w:ilvl w:val="0"/>
                      <w:numId w:val="13"/>
                    </w:numPr>
                    <w:bidi w:val="0"/>
                    <w:ind w:left="454" w:leftChars="0" w:hanging="454" w:firstLineChars="0"/>
                    <w:jc w:val="center"/>
                    <w:rPr>
                      <w:rFonts w:hint="eastAsia"/>
                    </w:rPr>
                  </w:pPr>
                </w:p>
              </w:tc>
              <w:tc>
                <w:tcPr>
                  <w:tcW w:w="864" w:type="pct"/>
                  <w:vAlign w:val="center"/>
                </w:tcPr>
                <w:p w14:paraId="2C937C74">
                  <w:pPr>
                    <w:pStyle w:val="41"/>
                    <w:bidi w:val="0"/>
                    <w:rPr>
                      <w:rFonts w:hint="eastAsia"/>
                      <w:lang w:val="en-US" w:eastAsia="zh-CN"/>
                    </w:rPr>
                  </w:pPr>
                  <w:r>
                    <w:rPr>
                      <w:rFonts w:hint="default"/>
                      <w:lang w:val="en-US" w:eastAsia="zh-CN"/>
                    </w:rPr>
                    <w:t>两性霉素B</w:t>
                  </w:r>
                </w:p>
              </w:tc>
              <w:tc>
                <w:tcPr>
                  <w:tcW w:w="669" w:type="pct"/>
                  <w:vAlign w:val="center"/>
                </w:tcPr>
                <w:p w14:paraId="67F145E9">
                  <w:pPr>
                    <w:pStyle w:val="41"/>
                    <w:bidi w:val="0"/>
                    <w:rPr>
                      <w:rFonts w:hint="default"/>
                      <w:lang w:val="en-US" w:eastAsia="zh-CN"/>
                    </w:rPr>
                  </w:pPr>
                  <w:r>
                    <w:rPr>
                      <w:rFonts w:hint="eastAsia"/>
                      <w:lang w:val="en-US" w:eastAsia="zh-CN"/>
                    </w:rPr>
                    <w:t>/</w:t>
                  </w:r>
                </w:p>
              </w:tc>
              <w:tc>
                <w:tcPr>
                  <w:tcW w:w="687" w:type="pct"/>
                  <w:vAlign w:val="center"/>
                </w:tcPr>
                <w:p w14:paraId="759E1C43">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64E0BEB5">
                  <w:pPr>
                    <w:pStyle w:val="41"/>
                    <w:bidi w:val="0"/>
                    <w:rPr>
                      <w:rFonts w:hint="eastAsia"/>
                      <w:lang w:val="en-US" w:eastAsia="zh-CN"/>
                    </w:rPr>
                  </w:pPr>
                  <w:r>
                    <w:rPr>
                      <w:rFonts w:hint="default"/>
                      <w:lang w:val="en-US" w:eastAsia="zh-CN"/>
                    </w:rPr>
                    <w:t>0.534g</w:t>
                  </w:r>
                </w:p>
              </w:tc>
              <w:tc>
                <w:tcPr>
                  <w:tcW w:w="740" w:type="pct"/>
                  <w:vAlign w:val="center"/>
                </w:tcPr>
                <w:p w14:paraId="0D30E057">
                  <w:pPr>
                    <w:pStyle w:val="41"/>
                    <w:bidi w:val="0"/>
                    <w:rPr>
                      <w:rFonts w:hint="eastAsia"/>
                      <w:lang w:val="en-US" w:eastAsia="zh-CN"/>
                    </w:rPr>
                  </w:pPr>
                  <w:r>
                    <w:rPr>
                      <w:rFonts w:hint="default"/>
                      <w:lang w:val="en-US" w:eastAsia="zh-CN"/>
                    </w:rPr>
                    <w:t>0.534g</w:t>
                  </w:r>
                </w:p>
              </w:tc>
              <w:tc>
                <w:tcPr>
                  <w:tcW w:w="521" w:type="pct"/>
                  <w:vAlign w:val="center"/>
                </w:tcPr>
                <w:p w14:paraId="1082F792">
                  <w:pPr>
                    <w:pStyle w:val="41"/>
                    <w:bidi w:val="0"/>
                    <w:rPr>
                      <w:rFonts w:hint="eastAsia"/>
                      <w:lang w:val="en-US" w:eastAsia="zh-CN"/>
                    </w:rPr>
                  </w:pPr>
                  <w:r>
                    <w:rPr>
                      <w:rFonts w:hint="eastAsia"/>
                      <w:lang w:val="en-US" w:eastAsia="zh-CN"/>
                    </w:rPr>
                    <w:t>固体</w:t>
                  </w:r>
                </w:p>
              </w:tc>
              <w:tc>
                <w:tcPr>
                  <w:tcW w:w="447" w:type="pct"/>
                  <w:vMerge w:val="continue"/>
                  <w:vAlign w:val="center"/>
                </w:tcPr>
                <w:p w14:paraId="417B4726">
                  <w:pPr>
                    <w:pStyle w:val="41"/>
                    <w:bidi w:val="0"/>
                    <w:rPr>
                      <w:rFonts w:hint="default"/>
                      <w:lang w:val="en-US" w:eastAsia="zh-CN"/>
                    </w:rPr>
                  </w:pPr>
                </w:p>
              </w:tc>
            </w:tr>
            <w:tr w14:paraId="5BE370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AE30701">
                  <w:pPr>
                    <w:pStyle w:val="41"/>
                    <w:numPr>
                      <w:ilvl w:val="0"/>
                      <w:numId w:val="13"/>
                    </w:numPr>
                    <w:bidi w:val="0"/>
                    <w:ind w:left="454" w:leftChars="0" w:hanging="454" w:firstLineChars="0"/>
                    <w:jc w:val="center"/>
                    <w:rPr>
                      <w:rFonts w:hint="eastAsia"/>
                    </w:rPr>
                  </w:pPr>
                </w:p>
              </w:tc>
              <w:tc>
                <w:tcPr>
                  <w:tcW w:w="864" w:type="pct"/>
                  <w:vAlign w:val="center"/>
                </w:tcPr>
                <w:p w14:paraId="56230F08">
                  <w:pPr>
                    <w:pStyle w:val="41"/>
                    <w:bidi w:val="0"/>
                    <w:rPr>
                      <w:rFonts w:hint="eastAsia"/>
                      <w:lang w:val="en-US" w:eastAsia="zh-CN"/>
                    </w:rPr>
                  </w:pPr>
                  <w:r>
                    <w:rPr>
                      <w:rFonts w:hint="default"/>
                      <w:lang w:val="en-US" w:eastAsia="zh-CN"/>
                    </w:rPr>
                    <w:t>氟康唑</w:t>
                  </w:r>
                </w:p>
              </w:tc>
              <w:tc>
                <w:tcPr>
                  <w:tcW w:w="669" w:type="pct"/>
                  <w:vAlign w:val="center"/>
                </w:tcPr>
                <w:p w14:paraId="5A1D340E">
                  <w:pPr>
                    <w:pStyle w:val="41"/>
                    <w:bidi w:val="0"/>
                    <w:rPr>
                      <w:rFonts w:hint="default"/>
                      <w:lang w:val="en-US" w:eastAsia="zh-CN"/>
                    </w:rPr>
                  </w:pPr>
                  <w:r>
                    <w:rPr>
                      <w:rFonts w:hint="eastAsia"/>
                      <w:lang w:val="en-US" w:eastAsia="zh-CN"/>
                    </w:rPr>
                    <w:t>/</w:t>
                  </w:r>
                </w:p>
              </w:tc>
              <w:tc>
                <w:tcPr>
                  <w:tcW w:w="687" w:type="pct"/>
                  <w:vAlign w:val="center"/>
                </w:tcPr>
                <w:p w14:paraId="714063CE">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710588B6">
                  <w:pPr>
                    <w:pStyle w:val="41"/>
                    <w:bidi w:val="0"/>
                    <w:rPr>
                      <w:rFonts w:hint="eastAsia"/>
                      <w:lang w:val="en-US" w:eastAsia="zh-CN"/>
                    </w:rPr>
                  </w:pPr>
                  <w:r>
                    <w:rPr>
                      <w:rFonts w:hint="default"/>
                      <w:lang w:val="en-US" w:eastAsia="zh-CN"/>
                    </w:rPr>
                    <w:t>0.534g</w:t>
                  </w:r>
                </w:p>
              </w:tc>
              <w:tc>
                <w:tcPr>
                  <w:tcW w:w="740" w:type="pct"/>
                  <w:vAlign w:val="center"/>
                </w:tcPr>
                <w:p w14:paraId="38283747">
                  <w:pPr>
                    <w:pStyle w:val="41"/>
                    <w:bidi w:val="0"/>
                    <w:rPr>
                      <w:rFonts w:hint="eastAsia"/>
                      <w:lang w:val="en-US" w:eastAsia="zh-CN"/>
                    </w:rPr>
                  </w:pPr>
                  <w:r>
                    <w:rPr>
                      <w:rFonts w:hint="default"/>
                      <w:lang w:val="en-US" w:eastAsia="zh-CN"/>
                    </w:rPr>
                    <w:t>0.534g</w:t>
                  </w:r>
                </w:p>
              </w:tc>
              <w:tc>
                <w:tcPr>
                  <w:tcW w:w="521" w:type="pct"/>
                  <w:vAlign w:val="center"/>
                </w:tcPr>
                <w:p w14:paraId="76F37E98">
                  <w:pPr>
                    <w:pStyle w:val="41"/>
                    <w:bidi w:val="0"/>
                    <w:rPr>
                      <w:rFonts w:hint="eastAsia"/>
                      <w:lang w:val="en-US" w:eastAsia="zh-CN"/>
                    </w:rPr>
                  </w:pPr>
                  <w:r>
                    <w:rPr>
                      <w:rFonts w:hint="eastAsia"/>
                      <w:lang w:val="en-US" w:eastAsia="zh-CN"/>
                    </w:rPr>
                    <w:t>固体</w:t>
                  </w:r>
                </w:p>
              </w:tc>
              <w:tc>
                <w:tcPr>
                  <w:tcW w:w="447" w:type="pct"/>
                  <w:vMerge w:val="continue"/>
                  <w:vAlign w:val="center"/>
                </w:tcPr>
                <w:p w14:paraId="1D202A4C">
                  <w:pPr>
                    <w:pStyle w:val="41"/>
                    <w:bidi w:val="0"/>
                    <w:rPr>
                      <w:rFonts w:hint="default"/>
                      <w:lang w:val="en-US" w:eastAsia="zh-CN"/>
                    </w:rPr>
                  </w:pPr>
                </w:p>
              </w:tc>
            </w:tr>
            <w:tr w14:paraId="5EFFF6D6">
              <w:tblPrEx>
                <w:tblCellMar>
                  <w:top w:w="0" w:type="dxa"/>
                  <w:left w:w="108" w:type="dxa"/>
                  <w:bottom w:w="0" w:type="dxa"/>
                  <w:right w:w="108" w:type="dxa"/>
                </w:tblCellMar>
              </w:tblPrEx>
              <w:trPr>
                <w:trHeight w:val="23" w:hRule="atLeast"/>
                <w:jc w:val="center"/>
              </w:trPr>
              <w:tc>
                <w:tcPr>
                  <w:tcW w:w="296" w:type="pct"/>
                  <w:vAlign w:val="center"/>
                </w:tcPr>
                <w:p w14:paraId="44ABB716">
                  <w:pPr>
                    <w:pStyle w:val="41"/>
                    <w:numPr>
                      <w:ilvl w:val="0"/>
                      <w:numId w:val="13"/>
                    </w:numPr>
                    <w:bidi w:val="0"/>
                    <w:ind w:left="454" w:leftChars="0" w:hanging="454" w:firstLineChars="0"/>
                    <w:jc w:val="center"/>
                    <w:rPr>
                      <w:rFonts w:hint="eastAsia"/>
                    </w:rPr>
                  </w:pPr>
                </w:p>
              </w:tc>
              <w:tc>
                <w:tcPr>
                  <w:tcW w:w="864" w:type="pct"/>
                  <w:vAlign w:val="center"/>
                </w:tcPr>
                <w:p w14:paraId="6FDEADA7">
                  <w:pPr>
                    <w:pStyle w:val="41"/>
                    <w:bidi w:val="0"/>
                    <w:rPr>
                      <w:rFonts w:hint="eastAsia"/>
                      <w:lang w:val="en-US" w:eastAsia="zh-CN"/>
                    </w:rPr>
                  </w:pPr>
                  <w:r>
                    <w:rPr>
                      <w:rFonts w:hint="default"/>
                      <w:lang w:val="en-US" w:eastAsia="zh-CN"/>
                    </w:rPr>
                    <w:t>伊曲康唑</w:t>
                  </w:r>
                </w:p>
              </w:tc>
              <w:tc>
                <w:tcPr>
                  <w:tcW w:w="669" w:type="pct"/>
                  <w:vAlign w:val="center"/>
                </w:tcPr>
                <w:p w14:paraId="469C17ED">
                  <w:pPr>
                    <w:pStyle w:val="41"/>
                    <w:bidi w:val="0"/>
                    <w:rPr>
                      <w:rFonts w:hint="default"/>
                      <w:lang w:val="en-US" w:eastAsia="zh-CN"/>
                    </w:rPr>
                  </w:pPr>
                  <w:r>
                    <w:rPr>
                      <w:rFonts w:hint="eastAsia"/>
                      <w:lang w:val="en-US" w:eastAsia="zh-CN"/>
                    </w:rPr>
                    <w:t>/</w:t>
                  </w:r>
                </w:p>
              </w:tc>
              <w:tc>
                <w:tcPr>
                  <w:tcW w:w="687" w:type="pct"/>
                  <w:vAlign w:val="center"/>
                </w:tcPr>
                <w:p w14:paraId="6E7A7A01">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2B84AF54">
                  <w:pPr>
                    <w:pStyle w:val="41"/>
                    <w:bidi w:val="0"/>
                    <w:rPr>
                      <w:rFonts w:hint="eastAsia"/>
                      <w:lang w:val="en-US" w:eastAsia="zh-CN"/>
                    </w:rPr>
                  </w:pPr>
                  <w:r>
                    <w:rPr>
                      <w:rFonts w:hint="default"/>
                      <w:lang w:val="en-US" w:eastAsia="zh-CN"/>
                    </w:rPr>
                    <w:t>0.534g</w:t>
                  </w:r>
                </w:p>
              </w:tc>
              <w:tc>
                <w:tcPr>
                  <w:tcW w:w="740" w:type="pct"/>
                  <w:vAlign w:val="center"/>
                </w:tcPr>
                <w:p w14:paraId="57A4F634">
                  <w:pPr>
                    <w:pStyle w:val="41"/>
                    <w:bidi w:val="0"/>
                    <w:rPr>
                      <w:rFonts w:hint="eastAsia"/>
                      <w:lang w:val="en-US" w:eastAsia="zh-CN"/>
                    </w:rPr>
                  </w:pPr>
                  <w:r>
                    <w:rPr>
                      <w:rFonts w:hint="default"/>
                      <w:lang w:val="en-US" w:eastAsia="zh-CN"/>
                    </w:rPr>
                    <w:t>0.534g</w:t>
                  </w:r>
                </w:p>
              </w:tc>
              <w:tc>
                <w:tcPr>
                  <w:tcW w:w="521" w:type="pct"/>
                  <w:vAlign w:val="center"/>
                </w:tcPr>
                <w:p w14:paraId="3B46AB89">
                  <w:pPr>
                    <w:pStyle w:val="41"/>
                    <w:bidi w:val="0"/>
                    <w:rPr>
                      <w:rFonts w:hint="eastAsia"/>
                      <w:lang w:val="en-US" w:eastAsia="zh-CN"/>
                    </w:rPr>
                  </w:pPr>
                  <w:r>
                    <w:rPr>
                      <w:rFonts w:hint="eastAsia"/>
                      <w:lang w:val="en-US" w:eastAsia="zh-CN"/>
                    </w:rPr>
                    <w:t>固体</w:t>
                  </w:r>
                </w:p>
              </w:tc>
              <w:tc>
                <w:tcPr>
                  <w:tcW w:w="447" w:type="pct"/>
                  <w:vMerge w:val="continue"/>
                  <w:vAlign w:val="center"/>
                </w:tcPr>
                <w:p w14:paraId="43A1B195">
                  <w:pPr>
                    <w:pStyle w:val="41"/>
                    <w:bidi w:val="0"/>
                    <w:rPr>
                      <w:rFonts w:hint="default"/>
                      <w:lang w:val="en-US" w:eastAsia="zh-CN"/>
                    </w:rPr>
                  </w:pPr>
                </w:p>
              </w:tc>
            </w:tr>
            <w:tr w14:paraId="505040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C0054CC">
                  <w:pPr>
                    <w:pStyle w:val="41"/>
                    <w:numPr>
                      <w:ilvl w:val="0"/>
                      <w:numId w:val="13"/>
                    </w:numPr>
                    <w:bidi w:val="0"/>
                    <w:ind w:left="454" w:leftChars="0" w:hanging="454" w:firstLineChars="0"/>
                    <w:jc w:val="center"/>
                    <w:rPr>
                      <w:rFonts w:hint="eastAsia"/>
                    </w:rPr>
                  </w:pPr>
                </w:p>
              </w:tc>
              <w:tc>
                <w:tcPr>
                  <w:tcW w:w="864" w:type="pct"/>
                  <w:vAlign w:val="center"/>
                </w:tcPr>
                <w:p w14:paraId="24F2EDB3">
                  <w:pPr>
                    <w:pStyle w:val="41"/>
                    <w:bidi w:val="0"/>
                    <w:rPr>
                      <w:rFonts w:hint="eastAsia"/>
                      <w:lang w:val="en-US" w:eastAsia="zh-CN"/>
                    </w:rPr>
                  </w:pPr>
                  <w:r>
                    <w:rPr>
                      <w:rFonts w:hint="default"/>
                      <w:lang w:val="en-US" w:eastAsia="zh-CN"/>
                    </w:rPr>
                    <w:t>伏立康唑</w:t>
                  </w:r>
                </w:p>
              </w:tc>
              <w:tc>
                <w:tcPr>
                  <w:tcW w:w="669" w:type="pct"/>
                  <w:vAlign w:val="center"/>
                </w:tcPr>
                <w:p w14:paraId="3C86FD39">
                  <w:pPr>
                    <w:pStyle w:val="41"/>
                    <w:bidi w:val="0"/>
                    <w:rPr>
                      <w:rFonts w:hint="default"/>
                      <w:lang w:val="en-US" w:eastAsia="zh-CN"/>
                    </w:rPr>
                  </w:pPr>
                  <w:r>
                    <w:rPr>
                      <w:rFonts w:hint="eastAsia"/>
                      <w:lang w:val="en-US" w:eastAsia="zh-CN"/>
                    </w:rPr>
                    <w:t>/</w:t>
                  </w:r>
                </w:p>
              </w:tc>
              <w:tc>
                <w:tcPr>
                  <w:tcW w:w="687" w:type="pct"/>
                  <w:vAlign w:val="center"/>
                </w:tcPr>
                <w:p w14:paraId="7B4BA7E9">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76AA7161">
                  <w:pPr>
                    <w:pStyle w:val="41"/>
                    <w:bidi w:val="0"/>
                    <w:rPr>
                      <w:rFonts w:hint="eastAsia"/>
                      <w:lang w:val="en-US" w:eastAsia="zh-CN"/>
                    </w:rPr>
                  </w:pPr>
                  <w:r>
                    <w:rPr>
                      <w:rFonts w:hint="default"/>
                      <w:lang w:val="en-US" w:eastAsia="zh-CN"/>
                    </w:rPr>
                    <w:t>0.534g</w:t>
                  </w:r>
                </w:p>
              </w:tc>
              <w:tc>
                <w:tcPr>
                  <w:tcW w:w="740" w:type="pct"/>
                  <w:vAlign w:val="center"/>
                </w:tcPr>
                <w:p w14:paraId="0D0D3B8C">
                  <w:pPr>
                    <w:pStyle w:val="41"/>
                    <w:bidi w:val="0"/>
                    <w:rPr>
                      <w:rFonts w:hint="eastAsia"/>
                      <w:lang w:val="en-US" w:eastAsia="zh-CN"/>
                    </w:rPr>
                  </w:pPr>
                  <w:r>
                    <w:rPr>
                      <w:rFonts w:hint="default"/>
                      <w:lang w:val="en-US" w:eastAsia="zh-CN"/>
                    </w:rPr>
                    <w:t>0.534g</w:t>
                  </w:r>
                </w:p>
              </w:tc>
              <w:tc>
                <w:tcPr>
                  <w:tcW w:w="521" w:type="pct"/>
                  <w:vAlign w:val="center"/>
                </w:tcPr>
                <w:p w14:paraId="3002D913">
                  <w:pPr>
                    <w:pStyle w:val="41"/>
                    <w:bidi w:val="0"/>
                    <w:rPr>
                      <w:rFonts w:hint="eastAsia"/>
                      <w:lang w:val="en-US" w:eastAsia="zh-CN"/>
                    </w:rPr>
                  </w:pPr>
                  <w:r>
                    <w:rPr>
                      <w:rFonts w:hint="eastAsia"/>
                      <w:lang w:val="en-US" w:eastAsia="zh-CN"/>
                    </w:rPr>
                    <w:t>固体</w:t>
                  </w:r>
                </w:p>
              </w:tc>
              <w:tc>
                <w:tcPr>
                  <w:tcW w:w="447" w:type="pct"/>
                  <w:vMerge w:val="continue"/>
                  <w:vAlign w:val="center"/>
                </w:tcPr>
                <w:p w14:paraId="59B5FA56">
                  <w:pPr>
                    <w:pStyle w:val="41"/>
                    <w:bidi w:val="0"/>
                    <w:rPr>
                      <w:rFonts w:hint="default"/>
                      <w:lang w:val="en-US" w:eastAsia="zh-CN"/>
                    </w:rPr>
                  </w:pPr>
                </w:p>
              </w:tc>
            </w:tr>
            <w:tr w14:paraId="19CD3F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DB57086">
                  <w:pPr>
                    <w:pStyle w:val="41"/>
                    <w:numPr>
                      <w:ilvl w:val="0"/>
                      <w:numId w:val="13"/>
                    </w:numPr>
                    <w:bidi w:val="0"/>
                    <w:ind w:left="454" w:leftChars="0" w:hanging="454" w:firstLineChars="0"/>
                    <w:jc w:val="center"/>
                    <w:rPr>
                      <w:rFonts w:hint="eastAsia"/>
                    </w:rPr>
                  </w:pPr>
                </w:p>
              </w:tc>
              <w:tc>
                <w:tcPr>
                  <w:tcW w:w="864" w:type="pct"/>
                  <w:vAlign w:val="center"/>
                </w:tcPr>
                <w:p w14:paraId="14330BA9">
                  <w:pPr>
                    <w:pStyle w:val="41"/>
                    <w:bidi w:val="0"/>
                    <w:rPr>
                      <w:rFonts w:hint="eastAsia"/>
                      <w:lang w:val="en-US" w:eastAsia="zh-CN"/>
                    </w:rPr>
                  </w:pPr>
                  <w:r>
                    <w:rPr>
                      <w:rFonts w:hint="default"/>
                      <w:lang w:val="en-US" w:eastAsia="zh-CN"/>
                    </w:rPr>
                    <w:t>泊沙康唑</w:t>
                  </w:r>
                </w:p>
              </w:tc>
              <w:tc>
                <w:tcPr>
                  <w:tcW w:w="669" w:type="pct"/>
                  <w:vAlign w:val="center"/>
                </w:tcPr>
                <w:p w14:paraId="50FFDE26">
                  <w:pPr>
                    <w:pStyle w:val="41"/>
                    <w:bidi w:val="0"/>
                    <w:rPr>
                      <w:rFonts w:hint="default"/>
                      <w:lang w:val="en-US" w:eastAsia="zh-CN"/>
                    </w:rPr>
                  </w:pPr>
                  <w:r>
                    <w:rPr>
                      <w:rFonts w:hint="eastAsia"/>
                      <w:lang w:val="en-US" w:eastAsia="zh-CN"/>
                    </w:rPr>
                    <w:t>/</w:t>
                  </w:r>
                </w:p>
              </w:tc>
              <w:tc>
                <w:tcPr>
                  <w:tcW w:w="687" w:type="pct"/>
                  <w:vAlign w:val="center"/>
                </w:tcPr>
                <w:p w14:paraId="035889AB">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6C281535">
                  <w:pPr>
                    <w:pStyle w:val="41"/>
                    <w:bidi w:val="0"/>
                    <w:rPr>
                      <w:rFonts w:hint="eastAsia"/>
                      <w:lang w:val="en-US" w:eastAsia="zh-CN"/>
                    </w:rPr>
                  </w:pPr>
                  <w:r>
                    <w:rPr>
                      <w:rFonts w:hint="default"/>
                      <w:lang w:val="en-US" w:eastAsia="zh-CN"/>
                    </w:rPr>
                    <w:t>0.534g</w:t>
                  </w:r>
                </w:p>
              </w:tc>
              <w:tc>
                <w:tcPr>
                  <w:tcW w:w="740" w:type="pct"/>
                  <w:vAlign w:val="center"/>
                </w:tcPr>
                <w:p w14:paraId="238B2015">
                  <w:pPr>
                    <w:pStyle w:val="41"/>
                    <w:bidi w:val="0"/>
                    <w:rPr>
                      <w:rFonts w:hint="eastAsia"/>
                      <w:lang w:val="en-US" w:eastAsia="zh-CN"/>
                    </w:rPr>
                  </w:pPr>
                  <w:r>
                    <w:rPr>
                      <w:rFonts w:hint="default"/>
                      <w:lang w:val="en-US" w:eastAsia="zh-CN"/>
                    </w:rPr>
                    <w:t>0.534g</w:t>
                  </w:r>
                </w:p>
              </w:tc>
              <w:tc>
                <w:tcPr>
                  <w:tcW w:w="521" w:type="pct"/>
                  <w:vAlign w:val="center"/>
                </w:tcPr>
                <w:p w14:paraId="23C63AB0">
                  <w:pPr>
                    <w:pStyle w:val="41"/>
                    <w:bidi w:val="0"/>
                    <w:rPr>
                      <w:rFonts w:hint="eastAsia"/>
                      <w:lang w:val="en-US" w:eastAsia="zh-CN"/>
                    </w:rPr>
                  </w:pPr>
                  <w:r>
                    <w:rPr>
                      <w:rFonts w:hint="eastAsia"/>
                      <w:lang w:val="en-US" w:eastAsia="zh-CN"/>
                    </w:rPr>
                    <w:t>固体</w:t>
                  </w:r>
                </w:p>
              </w:tc>
              <w:tc>
                <w:tcPr>
                  <w:tcW w:w="447" w:type="pct"/>
                  <w:vMerge w:val="continue"/>
                  <w:vAlign w:val="center"/>
                </w:tcPr>
                <w:p w14:paraId="4641EC8B">
                  <w:pPr>
                    <w:pStyle w:val="41"/>
                    <w:bidi w:val="0"/>
                    <w:rPr>
                      <w:rFonts w:hint="default"/>
                      <w:lang w:val="en-US" w:eastAsia="zh-CN"/>
                    </w:rPr>
                  </w:pPr>
                </w:p>
              </w:tc>
            </w:tr>
            <w:tr w14:paraId="6011A3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25544BBD">
                  <w:pPr>
                    <w:pStyle w:val="41"/>
                    <w:numPr>
                      <w:ilvl w:val="0"/>
                      <w:numId w:val="13"/>
                    </w:numPr>
                    <w:bidi w:val="0"/>
                    <w:ind w:left="454" w:leftChars="0" w:hanging="454" w:firstLineChars="0"/>
                    <w:jc w:val="center"/>
                    <w:rPr>
                      <w:rFonts w:hint="eastAsia"/>
                    </w:rPr>
                  </w:pPr>
                </w:p>
              </w:tc>
              <w:tc>
                <w:tcPr>
                  <w:tcW w:w="864" w:type="pct"/>
                  <w:vAlign w:val="center"/>
                </w:tcPr>
                <w:p w14:paraId="44875A36">
                  <w:pPr>
                    <w:pStyle w:val="41"/>
                    <w:bidi w:val="0"/>
                    <w:rPr>
                      <w:rFonts w:hint="eastAsia"/>
                      <w:lang w:val="en-US" w:eastAsia="zh-CN"/>
                    </w:rPr>
                  </w:pPr>
                  <w:r>
                    <w:rPr>
                      <w:rFonts w:hint="default"/>
                      <w:lang w:val="en-US" w:eastAsia="zh-CN"/>
                    </w:rPr>
                    <w:t>米卡芬净</w:t>
                  </w:r>
                </w:p>
              </w:tc>
              <w:tc>
                <w:tcPr>
                  <w:tcW w:w="669" w:type="pct"/>
                  <w:vAlign w:val="center"/>
                </w:tcPr>
                <w:p w14:paraId="070C5A31">
                  <w:pPr>
                    <w:pStyle w:val="41"/>
                    <w:bidi w:val="0"/>
                    <w:rPr>
                      <w:rFonts w:hint="default"/>
                      <w:lang w:val="en-US" w:eastAsia="zh-CN"/>
                    </w:rPr>
                  </w:pPr>
                  <w:r>
                    <w:rPr>
                      <w:rFonts w:hint="eastAsia"/>
                      <w:lang w:val="en-US" w:eastAsia="zh-CN"/>
                    </w:rPr>
                    <w:t>/</w:t>
                  </w:r>
                </w:p>
              </w:tc>
              <w:tc>
                <w:tcPr>
                  <w:tcW w:w="687" w:type="pct"/>
                  <w:vAlign w:val="center"/>
                </w:tcPr>
                <w:p w14:paraId="130F7429">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4174E285">
                  <w:pPr>
                    <w:pStyle w:val="41"/>
                    <w:bidi w:val="0"/>
                    <w:rPr>
                      <w:rFonts w:hint="eastAsia"/>
                      <w:lang w:val="en-US" w:eastAsia="zh-CN"/>
                    </w:rPr>
                  </w:pPr>
                  <w:r>
                    <w:rPr>
                      <w:rFonts w:hint="default"/>
                      <w:lang w:val="en-US" w:eastAsia="zh-CN"/>
                    </w:rPr>
                    <w:t>0.534g</w:t>
                  </w:r>
                </w:p>
              </w:tc>
              <w:tc>
                <w:tcPr>
                  <w:tcW w:w="740" w:type="pct"/>
                  <w:vAlign w:val="center"/>
                </w:tcPr>
                <w:p w14:paraId="67F60DE1">
                  <w:pPr>
                    <w:pStyle w:val="41"/>
                    <w:bidi w:val="0"/>
                    <w:rPr>
                      <w:rFonts w:hint="eastAsia"/>
                      <w:lang w:val="en-US" w:eastAsia="zh-CN"/>
                    </w:rPr>
                  </w:pPr>
                  <w:r>
                    <w:rPr>
                      <w:rFonts w:hint="default"/>
                      <w:lang w:val="en-US" w:eastAsia="zh-CN"/>
                    </w:rPr>
                    <w:t>0.534g</w:t>
                  </w:r>
                </w:p>
              </w:tc>
              <w:tc>
                <w:tcPr>
                  <w:tcW w:w="521" w:type="pct"/>
                  <w:vAlign w:val="center"/>
                </w:tcPr>
                <w:p w14:paraId="644668F5">
                  <w:pPr>
                    <w:pStyle w:val="41"/>
                    <w:bidi w:val="0"/>
                    <w:rPr>
                      <w:rFonts w:hint="eastAsia"/>
                      <w:lang w:val="en-US" w:eastAsia="zh-CN"/>
                    </w:rPr>
                  </w:pPr>
                  <w:r>
                    <w:rPr>
                      <w:rFonts w:hint="eastAsia"/>
                      <w:lang w:val="en-US" w:eastAsia="zh-CN"/>
                    </w:rPr>
                    <w:t>固体</w:t>
                  </w:r>
                </w:p>
              </w:tc>
              <w:tc>
                <w:tcPr>
                  <w:tcW w:w="447" w:type="pct"/>
                  <w:vMerge w:val="continue"/>
                  <w:vAlign w:val="center"/>
                </w:tcPr>
                <w:p w14:paraId="0D4DD6D5">
                  <w:pPr>
                    <w:pStyle w:val="41"/>
                    <w:bidi w:val="0"/>
                    <w:rPr>
                      <w:rFonts w:hint="default"/>
                      <w:lang w:val="en-US" w:eastAsia="zh-CN"/>
                    </w:rPr>
                  </w:pPr>
                </w:p>
              </w:tc>
            </w:tr>
            <w:tr w14:paraId="0D71D4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202267B">
                  <w:pPr>
                    <w:pStyle w:val="41"/>
                    <w:numPr>
                      <w:ilvl w:val="0"/>
                      <w:numId w:val="13"/>
                    </w:numPr>
                    <w:bidi w:val="0"/>
                    <w:ind w:left="454" w:leftChars="0" w:hanging="454" w:firstLineChars="0"/>
                    <w:jc w:val="center"/>
                    <w:rPr>
                      <w:rFonts w:hint="eastAsia"/>
                    </w:rPr>
                  </w:pPr>
                </w:p>
              </w:tc>
              <w:tc>
                <w:tcPr>
                  <w:tcW w:w="864" w:type="pct"/>
                  <w:vAlign w:val="center"/>
                </w:tcPr>
                <w:p w14:paraId="748DBC42">
                  <w:pPr>
                    <w:pStyle w:val="41"/>
                    <w:bidi w:val="0"/>
                    <w:rPr>
                      <w:rFonts w:hint="eastAsia"/>
                      <w:lang w:val="en-US" w:eastAsia="zh-CN"/>
                    </w:rPr>
                  </w:pPr>
                  <w:r>
                    <w:rPr>
                      <w:rFonts w:hint="default"/>
                      <w:lang w:val="en-US" w:eastAsia="zh-CN"/>
                    </w:rPr>
                    <w:t>卡泊芬净</w:t>
                  </w:r>
                </w:p>
              </w:tc>
              <w:tc>
                <w:tcPr>
                  <w:tcW w:w="669" w:type="pct"/>
                  <w:vAlign w:val="center"/>
                </w:tcPr>
                <w:p w14:paraId="45DA0156">
                  <w:pPr>
                    <w:pStyle w:val="41"/>
                    <w:bidi w:val="0"/>
                    <w:rPr>
                      <w:rFonts w:hint="default"/>
                      <w:lang w:val="en-US" w:eastAsia="zh-CN"/>
                    </w:rPr>
                  </w:pPr>
                  <w:r>
                    <w:rPr>
                      <w:rFonts w:hint="eastAsia"/>
                      <w:lang w:val="en-US" w:eastAsia="zh-CN"/>
                    </w:rPr>
                    <w:t>/</w:t>
                  </w:r>
                </w:p>
              </w:tc>
              <w:tc>
                <w:tcPr>
                  <w:tcW w:w="687" w:type="pct"/>
                  <w:vAlign w:val="center"/>
                </w:tcPr>
                <w:p w14:paraId="1D2F4831">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06A153E8">
                  <w:pPr>
                    <w:pStyle w:val="41"/>
                    <w:bidi w:val="0"/>
                    <w:rPr>
                      <w:rFonts w:hint="eastAsia"/>
                      <w:lang w:val="en-US" w:eastAsia="zh-CN"/>
                    </w:rPr>
                  </w:pPr>
                  <w:r>
                    <w:rPr>
                      <w:rFonts w:hint="default"/>
                      <w:lang w:val="en-US" w:eastAsia="zh-CN"/>
                    </w:rPr>
                    <w:t>0.534g</w:t>
                  </w:r>
                </w:p>
              </w:tc>
              <w:tc>
                <w:tcPr>
                  <w:tcW w:w="740" w:type="pct"/>
                  <w:vAlign w:val="center"/>
                </w:tcPr>
                <w:p w14:paraId="4EEA57F1">
                  <w:pPr>
                    <w:pStyle w:val="41"/>
                    <w:bidi w:val="0"/>
                    <w:rPr>
                      <w:rFonts w:hint="eastAsia"/>
                      <w:lang w:val="en-US" w:eastAsia="zh-CN"/>
                    </w:rPr>
                  </w:pPr>
                  <w:r>
                    <w:rPr>
                      <w:rFonts w:hint="default"/>
                      <w:lang w:val="en-US" w:eastAsia="zh-CN"/>
                    </w:rPr>
                    <w:t>0.534g</w:t>
                  </w:r>
                </w:p>
              </w:tc>
              <w:tc>
                <w:tcPr>
                  <w:tcW w:w="521" w:type="pct"/>
                  <w:vAlign w:val="center"/>
                </w:tcPr>
                <w:p w14:paraId="57034808">
                  <w:pPr>
                    <w:pStyle w:val="41"/>
                    <w:bidi w:val="0"/>
                    <w:rPr>
                      <w:rFonts w:hint="eastAsia"/>
                      <w:lang w:val="en-US" w:eastAsia="zh-CN"/>
                    </w:rPr>
                  </w:pPr>
                  <w:r>
                    <w:rPr>
                      <w:rFonts w:hint="eastAsia"/>
                      <w:lang w:val="en-US" w:eastAsia="zh-CN"/>
                    </w:rPr>
                    <w:t>固体</w:t>
                  </w:r>
                </w:p>
              </w:tc>
              <w:tc>
                <w:tcPr>
                  <w:tcW w:w="447" w:type="pct"/>
                  <w:vMerge w:val="continue"/>
                  <w:vAlign w:val="center"/>
                </w:tcPr>
                <w:p w14:paraId="2FDCCE2E">
                  <w:pPr>
                    <w:pStyle w:val="41"/>
                    <w:bidi w:val="0"/>
                    <w:rPr>
                      <w:rFonts w:hint="default"/>
                      <w:lang w:val="en-US" w:eastAsia="zh-CN"/>
                    </w:rPr>
                  </w:pPr>
                </w:p>
              </w:tc>
            </w:tr>
            <w:tr w14:paraId="6E62FF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7A23DCA">
                  <w:pPr>
                    <w:pStyle w:val="41"/>
                    <w:numPr>
                      <w:ilvl w:val="0"/>
                      <w:numId w:val="13"/>
                    </w:numPr>
                    <w:bidi w:val="0"/>
                    <w:ind w:left="454" w:leftChars="0" w:hanging="454" w:firstLineChars="0"/>
                    <w:jc w:val="center"/>
                    <w:rPr>
                      <w:rFonts w:hint="eastAsia"/>
                    </w:rPr>
                  </w:pPr>
                </w:p>
              </w:tc>
              <w:tc>
                <w:tcPr>
                  <w:tcW w:w="864" w:type="pct"/>
                  <w:vAlign w:val="center"/>
                </w:tcPr>
                <w:p w14:paraId="2DEB9680">
                  <w:pPr>
                    <w:pStyle w:val="41"/>
                    <w:bidi w:val="0"/>
                    <w:rPr>
                      <w:rFonts w:hint="eastAsia"/>
                      <w:lang w:val="en-US" w:eastAsia="zh-CN"/>
                    </w:rPr>
                  </w:pPr>
                  <w:r>
                    <w:rPr>
                      <w:rFonts w:hint="default"/>
                      <w:lang w:val="en-US" w:eastAsia="zh-CN"/>
                    </w:rPr>
                    <w:t>阿尼芬净</w:t>
                  </w:r>
                </w:p>
              </w:tc>
              <w:tc>
                <w:tcPr>
                  <w:tcW w:w="669" w:type="pct"/>
                  <w:vAlign w:val="center"/>
                </w:tcPr>
                <w:p w14:paraId="57C62CC3">
                  <w:pPr>
                    <w:pStyle w:val="41"/>
                    <w:bidi w:val="0"/>
                    <w:rPr>
                      <w:rFonts w:hint="default"/>
                      <w:lang w:val="en-US" w:eastAsia="zh-CN"/>
                    </w:rPr>
                  </w:pPr>
                  <w:r>
                    <w:rPr>
                      <w:rFonts w:hint="eastAsia"/>
                      <w:lang w:val="en-US" w:eastAsia="zh-CN"/>
                    </w:rPr>
                    <w:t>/</w:t>
                  </w:r>
                </w:p>
              </w:tc>
              <w:tc>
                <w:tcPr>
                  <w:tcW w:w="687" w:type="pct"/>
                  <w:vAlign w:val="center"/>
                </w:tcPr>
                <w:p w14:paraId="14C62516">
                  <w:pPr>
                    <w:pStyle w:val="41"/>
                    <w:bidi w:val="0"/>
                    <w:rPr>
                      <w:rFonts w:hint="eastAsia"/>
                      <w:lang w:val="en-US" w:eastAsia="zh-CN"/>
                    </w:rPr>
                  </w:pPr>
                  <w:r>
                    <w:rPr>
                      <w:rFonts w:hint="default"/>
                      <w:lang w:val="en-US" w:eastAsia="zh-CN"/>
                    </w:rPr>
                    <w:t>0.534</w:t>
                  </w:r>
                  <w:r>
                    <w:rPr>
                      <w:rFonts w:hint="eastAsia"/>
                      <w:lang w:val="en-US" w:eastAsia="zh-CN"/>
                    </w:rPr>
                    <w:t>g/袋</w:t>
                  </w:r>
                </w:p>
              </w:tc>
              <w:tc>
                <w:tcPr>
                  <w:tcW w:w="771" w:type="pct"/>
                  <w:vAlign w:val="center"/>
                </w:tcPr>
                <w:p w14:paraId="46B03EDD">
                  <w:pPr>
                    <w:pStyle w:val="41"/>
                    <w:bidi w:val="0"/>
                    <w:rPr>
                      <w:rFonts w:hint="eastAsia"/>
                      <w:lang w:val="en-US" w:eastAsia="zh-CN"/>
                    </w:rPr>
                  </w:pPr>
                  <w:r>
                    <w:rPr>
                      <w:rFonts w:hint="default"/>
                      <w:lang w:val="en-US" w:eastAsia="zh-CN"/>
                    </w:rPr>
                    <w:t>0.534g</w:t>
                  </w:r>
                </w:p>
              </w:tc>
              <w:tc>
                <w:tcPr>
                  <w:tcW w:w="740" w:type="pct"/>
                  <w:vAlign w:val="center"/>
                </w:tcPr>
                <w:p w14:paraId="735733AC">
                  <w:pPr>
                    <w:pStyle w:val="41"/>
                    <w:bidi w:val="0"/>
                    <w:rPr>
                      <w:rFonts w:hint="eastAsia"/>
                      <w:lang w:val="en-US" w:eastAsia="zh-CN"/>
                    </w:rPr>
                  </w:pPr>
                  <w:r>
                    <w:rPr>
                      <w:rFonts w:hint="default"/>
                      <w:lang w:val="en-US" w:eastAsia="zh-CN"/>
                    </w:rPr>
                    <w:t>0.534g</w:t>
                  </w:r>
                </w:p>
              </w:tc>
              <w:tc>
                <w:tcPr>
                  <w:tcW w:w="521" w:type="pct"/>
                  <w:vAlign w:val="center"/>
                </w:tcPr>
                <w:p w14:paraId="382B6139">
                  <w:pPr>
                    <w:pStyle w:val="41"/>
                    <w:bidi w:val="0"/>
                    <w:rPr>
                      <w:rFonts w:hint="eastAsia"/>
                      <w:lang w:val="en-US" w:eastAsia="zh-CN"/>
                    </w:rPr>
                  </w:pPr>
                  <w:r>
                    <w:rPr>
                      <w:rFonts w:hint="eastAsia"/>
                      <w:lang w:val="en-US" w:eastAsia="zh-CN"/>
                    </w:rPr>
                    <w:t>固体</w:t>
                  </w:r>
                </w:p>
              </w:tc>
              <w:tc>
                <w:tcPr>
                  <w:tcW w:w="447" w:type="pct"/>
                  <w:vMerge w:val="continue"/>
                  <w:vAlign w:val="center"/>
                </w:tcPr>
                <w:p w14:paraId="19F1AA3F">
                  <w:pPr>
                    <w:pStyle w:val="41"/>
                    <w:bidi w:val="0"/>
                    <w:rPr>
                      <w:rFonts w:hint="default"/>
                      <w:lang w:val="en-US" w:eastAsia="zh-CN"/>
                    </w:rPr>
                  </w:pPr>
                </w:p>
              </w:tc>
            </w:tr>
            <w:tr w14:paraId="45C4C8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B917ACD">
                  <w:pPr>
                    <w:pStyle w:val="41"/>
                    <w:numPr>
                      <w:ilvl w:val="0"/>
                      <w:numId w:val="13"/>
                    </w:numPr>
                    <w:bidi w:val="0"/>
                    <w:ind w:left="454" w:leftChars="0" w:hanging="454" w:firstLineChars="0"/>
                    <w:jc w:val="center"/>
                    <w:rPr>
                      <w:rFonts w:hint="eastAsia"/>
                    </w:rPr>
                  </w:pPr>
                </w:p>
              </w:tc>
              <w:tc>
                <w:tcPr>
                  <w:tcW w:w="864" w:type="pct"/>
                  <w:vAlign w:val="center"/>
                </w:tcPr>
                <w:p w14:paraId="29BDFB46">
                  <w:pPr>
                    <w:pStyle w:val="41"/>
                    <w:bidi w:val="0"/>
                    <w:rPr>
                      <w:rFonts w:hint="eastAsia"/>
                      <w:lang w:val="en-US" w:eastAsia="zh-CN"/>
                    </w:rPr>
                  </w:pPr>
                  <w:r>
                    <w:rPr>
                      <w:rFonts w:hint="default"/>
                      <w:lang w:val="en-US" w:eastAsia="zh-CN"/>
                    </w:rPr>
                    <w:t>MH琼脂</w:t>
                  </w:r>
                </w:p>
              </w:tc>
              <w:tc>
                <w:tcPr>
                  <w:tcW w:w="669" w:type="pct"/>
                  <w:vAlign w:val="center"/>
                </w:tcPr>
                <w:p w14:paraId="294F03B1">
                  <w:pPr>
                    <w:pStyle w:val="41"/>
                    <w:bidi w:val="0"/>
                    <w:rPr>
                      <w:rFonts w:hint="default"/>
                      <w:lang w:val="en-US" w:eastAsia="zh-CN"/>
                    </w:rPr>
                  </w:pPr>
                  <w:r>
                    <w:rPr>
                      <w:rFonts w:hint="eastAsia"/>
                      <w:lang w:val="en-US" w:eastAsia="zh-CN"/>
                    </w:rPr>
                    <w:t>/</w:t>
                  </w:r>
                </w:p>
              </w:tc>
              <w:tc>
                <w:tcPr>
                  <w:tcW w:w="687" w:type="pct"/>
                  <w:vAlign w:val="center"/>
                </w:tcPr>
                <w:p w14:paraId="6D15CCC6">
                  <w:pPr>
                    <w:pStyle w:val="41"/>
                    <w:bidi w:val="0"/>
                    <w:rPr>
                      <w:rFonts w:hint="default"/>
                      <w:lang w:val="en-US" w:eastAsia="zh-CN"/>
                    </w:rPr>
                  </w:pPr>
                  <w:r>
                    <w:rPr>
                      <w:rFonts w:hint="eastAsia"/>
                      <w:lang w:val="en-US" w:eastAsia="zh-CN"/>
                    </w:rPr>
                    <w:t>1kg/瓶</w:t>
                  </w:r>
                </w:p>
              </w:tc>
              <w:tc>
                <w:tcPr>
                  <w:tcW w:w="771" w:type="pct"/>
                  <w:vAlign w:val="center"/>
                </w:tcPr>
                <w:p w14:paraId="0EC190EB">
                  <w:pPr>
                    <w:pStyle w:val="41"/>
                    <w:bidi w:val="0"/>
                    <w:rPr>
                      <w:rFonts w:hint="eastAsia"/>
                      <w:lang w:val="en-US" w:eastAsia="zh-CN"/>
                    </w:rPr>
                  </w:pPr>
                  <w:r>
                    <w:rPr>
                      <w:rFonts w:hint="default"/>
                      <w:lang w:val="en-US" w:eastAsia="zh-CN"/>
                    </w:rPr>
                    <w:t>31.752kg</w:t>
                  </w:r>
                </w:p>
              </w:tc>
              <w:tc>
                <w:tcPr>
                  <w:tcW w:w="740" w:type="pct"/>
                  <w:vAlign w:val="center"/>
                </w:tcPr>
                <w:p w14:paraId="7F50421E">
                  <w:pPr>
                    <w:pStyle w:val="41"/>
                    <w:bidi w:val="0"/>
                    <w:rPr>
                      <w:rFonts w:hint="default"/>
                      <w:lang w:val="en-US" w:eastAsia="zh-CN"/>
                    </w:rPr>
                  </w:pPr>
                  <w:r>
                    <w:rPr>
                      <w:rFonts w:hint="eastAsia"/>
                      <w:lang w:val="en-US" w:eastAsia="zh-CN"/>
                    </w:rPr>
                    <w:t>10kg</w:t>
                  </w:r>
                </w:p>
              </w:tc>
              <w:tc>
                <w:tcPr>
                  <w:tcW w:w="521" w:type="pct"/>
                  <w:vAlign w:val="center"/>
                </w:tcPr>
                <w:p w14:paraId="6AD4358E">
                  <w:pPr>
                    <w:pStyle w:val="41"/>
                    <w:bidi w:val="0"/>
                    <w:rPr>
                      <w:rFonts w:hint="eastAsia"/>
                      <w:lang w:val="en-US" w:eastAsia="zh-CN"/>
                    </w:rPr>
                  </w:pPr>
                  <w:r>
                    <w:rPr>
                      <w:rFonts w:hint="eastAsia"/>
                      <w:lang w:val="en-US" w:eastAsia="zh-CN"/>
                    </w:rPr>
                    <w:t>固体</w:t>
                  </w:r>
                </w:p>
              </w:tc>
              <w:tc>
                <w:tcPr>
                  <w:tcW w:w="447" w:type="pct"/>
                  <w:vMerge w:val="continue"/>
                  <w:vAlign w:val="center"/>
                </w:tcPr>
                <w:p w14:paraId="4DB59742">
                  <w:pPr>
                    <w:pStyle w:val="41"/>
                    <w:bidi w:val="0"/>
                    <w:rPr>
                      <w:rFonts w:hint="default"/>
                      <w:lang w:val="en-US" w:eastAsia="zh-CN"/>
                    </w:rPr>
                  </w:pPr>
                </w:p>
              </w:tc>
            </w:tr>
            <w:tr w14:paraId="1C390A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5F6CFEC">
                  <w:pPr>
                    <w:pStyle w:val="41"/>
                    <w:numPr>
                      <w:ilvl w:val="0"/>
                      <w:numId w:val="13"/>
                    </w:numPr>
                    <w:bidi w:val="0"/>
                    <w:ind w:left="454" w:leftChars="0" w:hanging="454" w:firstLineChars="0"/>
                    <w:jc w:val="center"/>
                    <w:rPr>
                      <w:rFonts w:hint="eastAsia"/>
                    </w:rPr>
                  </w:pPr>
                </w:p>
              </w:tc>
              <w:tc>
                <w:tcPr>
                  <w:tcW w:w="864" w:type="pct"/>
                  <w:vAlign w:val="center"/>
                </w:tcPr>
                <w:p w14:paraId="6F14F827">
                  <w:pPr>
                    <w:pStyle w:val="41"/>
                    <w:bidi w:val="0"/>
                    <w:rPr>
                      <w:rFonts w:hint="eastAsia"/>
                      <w:lang w:val="en-US" w:eastAsia="zh-CN"/>
                    </w:rPr>
                  </w:pPr>
                  <w:r>
                    <w:rPr>
                      <w:rFonts w:hint="default"/>
                      <w:lang w:val="en-US" w:eastAsia="zh-CN"/>
                    </w:rPr>
                    <w:t>MH肉汤</w:t>
                  </w:r>
                </w:p>
              </w:tc>
              <w:tc>
                <w:tcPr>
                  <w:tcW w:w="669" w:type="pct"/>
                  <w:vAlign w:val="center"/>
                </w:tcPr>
                <w:p w14:paraId="66944A46">
                  <w:pPr>
                    <w:pStyle w:val="41"/>
                    <w:bidi w:val="0"/>
                    <w:rPr>
                      <w:rFonts w:hint="default"/>
                      <w:lang w:val="en-US" w:eastAsia="zh-CN"/>
                    </w:rPr>
                  </w:pPr>
                  <w:r>
                    <w:rPr>
                      <w:rFonts w:hint="eastAsia"/>
                      <w:lang w:val="en-US" w:eastAsia="zh-CN"/>
                    </w:rPr>
                    <w:t>/</w:t>
                  </w:r>
                </w:p>
              </w:tc>
              <w:tc>
                <w:tcPr>
                  <w:tcW w:w="687" w:type="pct"/>
                  <w:vAlign w:val="center"/>
                </w:tcPr>
                <w:p w14:paraId="521952BE">
                  <w:pPr>
                    <w:pStyle w:val="41"/>
                    <w:bidi w:val="0"/>
                    <w:rPr>
                      <w:rFonts w:hint="eastAsia"/>
                    </w:rPr>
                  </w:pPr>
                  <w:r>
                    <w:rPr>
                      <w:rFonts w:hint="eastAsia"/>
                      <w:lang w:val="en-US" w:eastAsia="zh-CN"/>
                    </w:rPr>
                    <w:t>500g/瓶</w:t>
                  </w:r>
                </w:p>
              </w:tc>
              <w:tc>
                <w:tcPr>
                  <w:tcW w:w="771" w:type="pct"/>
                  <w:vAlign w:val="center"/>
                </w:tcPr>
                <w:p w14:paraId="5071FE0A">
                  <w:pPr>
                    <w:pStyle w:val="41"/>
                    <w:bidi w:val="0"/>
                    <w:rPr>
                      <w:rFonts w:hint="eastAsia"/>
                      <w:lang w:val="en-US" w:eastAsia="zh-CN"/>
                    </w:rPr>
                  </w:pPr>
                  <w:r>
                    <w:rPr>
                      <w:rFonts w:hint="default"/>
                      <w:lang w:val="en-US" w:eastAsia="zh-CN"/>
                    </w:rPr>
                    <w:t>6.3kg</w:t>
                  </w:r>
                </w:p>
              </w:tc>
              <w:tc>
                <w:tcPr>
                  <w:tcW w:w="740" w:type="pct"/>
                  <w:vAlign w:val="center"/>
                </w:tcPr>
                <w:p w14:paraId="1113BC33">
                  <w:pPr>
                    <w:pStyle w:val="41"/>
                    <w:bidi w:val="0"/>
                    <w:rPr>
                      <w:rFonts w:hint="default"/>
                      <w:lang w:val="en-US" w:eastAsia="zh-CN"/>
                    </w:rPr>
                  </w:pPr>
                  <w:r>
                    <w:rPr>
                      <w:rFonts w:hint="eastAsia"/>
                      <w:lang w:val="en-US" w:eastAsia="zh-CN"/>
                    </w:rPr>
                    <w:t>2kg</w:t>
                  </w:r>
                </w:p>
              </w:tc>
              <w:tc>
                <w:tcPr>
                  <w:tcW w:w="521" w:type="pct"/>
                  <w:vAlign w:val="center"/>
                </w:tcPr>
                <w:p w14:paraId="6BE13F7E">
                  <w:pPr>
                    <w:pStyle w:val="41"/>
                    <w:bidi w:val="0"/>
                    <w:rPr>
                      <w:rFonts w:hint="eastAsia"/>
                      <w:lang w:val="en-US" w:eastAsia="zh-CN"/>
                    </w:rPr>
                  </w:pPr>
                  <w:r>
                    <w:rPr>
                      <w:rFonts w:hint="eastAsia"/>
                      <w:lang w:val="en-US" w:eastAsia="zh-CN"/>
                    </w:rPr>
                    <w:t>固体</w:t>
                  </w:r>
                </w:p>
              </w:tc>
              <w:tc>
                <w:tcPr>
                  <w:tcW w:w="447" w:type="pct"/>
                  <w:vMerge w:val="continue"/>
                  <w:vAlign w:val="center"/>
                </w:tcPr>
                <w:p w14:paraId="035AD743">
                  <w:pPr>
                    <w:pStyle w:val="41"/>
                    <w:bidi w:val="0"/>
                    <w:rPr>
                      <w:rFonts w:hint="default"/>
                      <w:lang w:val="en-US" w:eastAsia="zh-CN"/>
                    </w:rPr>
                  </w:pPr>
                </w:p>
              </w:tc>
            </w:tr>
            <w:tr w14:paraId="39F360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30362EE">
                  <w:pPr>
                    <w:pStyle w:val="41"/>
                    <w:numPr>
                      <w:ilvl w:val="0"/>
                      <w:numId w:val="13"/>
                    </w:numPr>
                    <w:bidi w:val="0"/>
                    <w:ind w:left="454" w:leftChars="0" w:hanging="454" w:firstLineChars="0"/>
                    <w:jc w:val="center"/>
                    <w:rPr>
                      <w:rFonts w:hint="eastAsia"/>
                    </w:rPr>
                  </w:pPr>
                </w:p>
              </w:tc>
              <w:tc>
                <w:tcPr>
                  <w:tcW w:w="864" w:type="pct"/>
                  <w:vAlign w:val="center"/>
                </w:tcPr>
                <w:p w14:paraId="38D0DB46">
                  <w:pPr>
                    <w:pStyle w:val="41"/>
                    <w:bidi w:val="0"/>
                    <w:rPr>
                      <w:rFonts w:hint="eastAsia"/>
                      <w:lang w:val="en-US" w:eastAsia="zh-CN"/>
                    </w:rPr>
                  </w:pPr>
                  <w:r>
                    <w:rPr>
                      <w:rFonts w:hint="default"/>
                      <w:lang w:val="en-US" w:eastAsia="zh-CN"/>
                    </w:rPr>
                    <w:t>Agarose 琼脂糖</w:t>
                  </w:r>
                </w:p>
              </w:tc>
              <w:tc>
                <w:tcPr>
                  <w:tcW w:w="669" w:type="pct"/>
                  <w:vAlign w:val="center"/>
                </w:tcPr>
                <w:p w14:paraId="31838B9B">
                  <w:pPr>
                    <w:pStyle w:val="41"/>
                    <w:bidi w:val="0"/>
                    <w:rPr>
                      <w:rFonts w:hint="default"/>
                      <w:lang w:val="en-US" w:eastAsia="zh-CN"/>
                    </w:rPr>
                  </w:pPr>
                  <w:r>
                    <w:rPr>
                      <w:rFonts w:hint="eastAsia"/>
                      <w:lang w:val="en-US" w:eastAsia="zh-CN"/>
                    </w:rPr>
                    <w:t>/</w:t>
                  </w:r>
                </w:p>
              </w:tc>
              <w:tc>
                <w:tcPr>
                  <w:tcW w:w="687" w:type="pct"/>
                  <w:vAlign w:val="center"/>
                </w:tcPr>
                <w:p w14:paraId="250EC344">
                  <w:pPr>
                    <w:pStyle w:val="41"/>
                    <w:bidi w:val="0"/>
                    <w:rPr>
                      <w:rFonts w:hint="eastAsia"/>
                    </w:rPr>
                  </w:pPr>
                  <w:r>
                    <w:rPr>
                      <w:rFonts w:hint="eastAsia"/>
                      <w:lang w:val="en-US" w:eastAsia="zh-CN"/>
                    </w:rPr>
                    <w:t>500g/瓶</w:t>
                  </w:r>
                </w:p>
              </w:tc>
              <w:tc>
                <w:tcPr>
                  <w:tcW w:w="771" w:type="pct"/>
                  <w:vAlign w:val="center"/>
                </w:tcPr>
                <w:p w14:paraId="2FDC7E32">
                  <w:pPr>
                    <w:pStyle w:val="41"/>
                    <w:bidi w:val="0"/>
                    <w:rPr>
                      <w:rFonts w:hint="eastAsia"/>
                      <w:lang w:val="en-US" w:eastAsia="zh-CN"/>
                    </w:rPr>
                  </w:pPr>
                  <w:r>
                    <w:rPr>
                      <w:rFonts w:hint="default"/>
                      <w:lang w:val="en-US" w:eastAsia="zh-CN"/>
                    </w:rPr>
                    <w:t>4.5kg</w:t>
                  </w:r>
                </w:p>
              </w:tc>
              <w:tc>
                <w:tcPr>
                  <w:tcW w:w="740" w:type="pct"/>
                  <w:vAlign w:val="center"/>
                </w:tcPr>
                <w:p w14:paraId="7AE34457">
                  <w:pPr>
                    <w:pStyle w:val="41"/>
                    <w:bidi w:val="0"/>
                    <w:rPr>
                      <w:rFonts w:hint="eastAsia"/>
                    </w:rPr>
                  </w:pPr>
                  <w:r>
                    <w:rPr>
                      <w:rFonts w:hint="eastAsia"/>
                      <w:lang w:val="en-US" w:eastAsia="zh-CN"/>
                    </w:rPr>
                    <w:t>2kg</w:t>
                  </w:r>
                </w:p>
              </w:tc>
              <w:tc>
                <w:tcPr>
                  <w:tcW w:w="521" w:type="pct"/>
                  <w:vAlign w:val="center"/>
                </w:tcPr>
                <w:p w14:paraId="6B0077C5">
                  <w:pPr>
                    <w:pStyle w:val="41"/>
                    <w:bidi w:val="0"/>
                    <w:rPr>
                      <w:rFonts w:hint="eastAsia"/>
                      <w:lang w:val="en-US" w:eastAsia="zh-CN"/>
                    </w:rPr>
                  </w:pPr>
                  <w:r>
                    <w:rPr>
                      <w:rFonts w:hint="eastAsia"/>
                      <w:lang w:val="en-US" w:eastAsia="zh-CN"/>
                    </w:rPr>
                    <w:t>固体</w:t>
                  </w:r>
                </w:p>
              </w:tc>
              <w:tc>
                <w:tcPr>
                  <w:tcW w:w="447" w:type="pct"/>
                  <w:vMerge w:val="continue"/>
                  <w:vAlign w:val="center"/>
                </w:tcPr>
                <w:p w14:paraId="264B0BFA">
                  <w:pPr>
                    <w:pStyle w:val="41"/>
                    <w:bidi w:val="0"/>
                    <w:rPr>
                      <w:rFonts w:hint="default"/>
                      <w:lang w:val="en-US" w:eastAsia="zh-CN"/>
                    </w:rPr>
                  </w:pPr>
                </w:p>
              </w:tc>
            </w:tr>
            <w:tr w14:paraId="17F221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586AC78">
                  <w:pPr>
                    <w:pStyle w:val="41"/>
                    <w:numPr>
                      <w:ilvl w:val="0"/>
                      <w:numId w:val="13"/>
                    </w:numPr>
                    <w:bidi w:val="0"/>
                    <w:ind w:left="454" w:leftChars="0" w:hanging="454" w:firstLineChars="0"/>
                    <w:jc w:val="center"/>
                    <w:rPr>
                      <w:rFonts w:hint="eastAsia"/>
                    </w:rPr>
                  </w:pPr>
                </w:p>
              </w:tc>
              <w:tc>
                <w:tcPr>
                  <w:tcW w:w="864" w:type="pct"/>
                  <w:vAlign w:val="center"/>
                </w:tcPr>
                <w:p w14:paraId="7F0AB381">
                  <w:pPr>
                    <w:pStyle w:val="41"/>
                    <w:bidi w:val="0"/>
                    <w:rPr>
                      <w:rFonts w:hint="eastAsia"/>
                      <w:lang w:val="en-US" w:eastAsia="zh-CN"/>
                    </w:rPr>
                  </w:pPr>
                  <w:r>
                    <w:rPr>
                      <w:rFonts w:hint="default"/>
                      <w:lang w:val="en-US" w:eastAsia="zh-CN"/>
                    </w:rPr>
                    <w:t>酵母浸粉</w:t>
                  </w:r>
                </w:p>
              </w:tc>
              <w:tc>
                <w:tcPr>
                  <w:tcW w:w="669" w:type="pct"/>
                  <w:vAlign w:val="center"/>
                </w:tcPr>
                <w:p w14:paraId="16704AFE">
                  <w:pPr>
                    <w:pStyle w:val="41"/>
                    <w:bidi w:val="0"/>
                    <w:rPr>
                      <w:rFonts w:hint="default"/>
                      <w:lang w:val="en-US" w:eastAsia="zh-CN"/>
                    </w:rPr>
                  </w:pPr>
                  <w:r>
                    <w:rPr>
                      <w:rFonts w:hint="eastAsia"/>
                      <w:lang w:val="en-US" w:eastAsia="zh-CN"/>
                    </w:rPr>
                    <w:t>/</w:t>
                  </w:r>
                </w:p>
              </w:tc>
              <w:tc>
                <w:tcPr>
                  <w:tcW w:w="687" w:type="pct"/>
                  <w:vAlign w:val="center"/>
                </w:tcPr>
                <w:p w14:paraId="5C87245B">
                  <w:pPr>
                    <w:pStyle w:val="41"/>
                    <w:bidi w:val="0"/>
                    <w:rPr>
                      <w:rFonts w:hint="default"/>
                      <w:lang w:val="en-US" w:eastAsia="zh-CN"/>
                    </w:rPr>
                  </w:pPr>
                  <w:r>
                    <w:rPr>
                      <w:rFonts w:hint="eastAsia"/>
                      <w:lang w:val="en-US" w:eastAsia="zh-CN"/>
                    </w:rPr>
                    <w:t>500g/瓶</w:t>
                  </w:r>
                </w:p>
              </w:tc>
              <w:tc>
                <w:tcPr>
                  <w:tcW w:w="771" w:type="pct"/>
                  <w:vAlign w:val="center"/>
                </w:tcPr>
                <w:p w14:paraId="326C46C4">
                  <w:pPr>
                    <w:pStyle w:val="41"/>
                    <w:bidi w:val="0"/>
                    <w:rPr>
                      <w:rFonts w:hint="eastAsia"/>
                      <w:lang w:val="en-US" w:eastAsia="zh-CN"/>
                    </w:rPr>
                  </w:pPr>
                  <w:r>
                    <w:rPr>
                      <w:rFonts w:hint="default"/>
                      <w:lang w:val="en-US" w:eastAsia="zh-CN"/>
                    </w:rPr>
                    <w:t>0.39kg</w:t>
                  </w:r>
                </w:p>
              </w:tc>
              <w:tc>
                <w:tcPr>
                  <w:tcW w:w="740" w:type="pct"/>
                  <w:vAlign w:val="center"/>
                </w:tcPr>
                <w:p w14:paraId="4AB9295B">
                  <w:pPr>
                    <w:pStyle w:val="41"/>
                    <w:bidi w:val="0"/>
                    <w:rPr>
                      <w:rFonts w:hint="eastAsia"/>
                    </w:rPr>
                  </w:pPr>
                  <w:r>
                    <w:rPr>
                      <w:rFonts w:hint="eastAsia"/>
                      <w:lang w:val="en-US" w:eastAsia="zh-CN"/>
                    </w:rPr>
                    <w:t>500g</w:t>
                  </w:r>
                </w:p>
              </w:tc>
              <w:tc>
                <w:tcPr>
                  <w:tcW w:w="521" w:type="pct"/>
                  <w:vAlign w:val="center"/>
                </w:tcPr>
                <w:p w14:paraId="17328C04">
                  <w:pPr>
                    <w:pStyle w:val="41"/>
                    <w:bidi w:val="0"/>
                    <w:rPr>
                      <w:rFonts w:hint="eastAsia"/>
                    </w:rPr>
                  </w:pPr>
                  <w:r>
                    <w:rPr>
                      <w:rFonts w:hint="eastAsia"/>
                      <w:lang w:val="en-US" w:eastAsia="zh-CN"/>
                    </w:rPr>
                    <w:t>固体</w:t>
                  </w:r>
                </w:p>
              </w:tc>
              <w:tc>
                <w:tcPr>
                  <w:tcW w:w="447" w:type="pct"/>
                  <w:vMerge w:val="continue"/>
                  <w:vAlign w:val="center"/>
                </w:tcPr>
                <w:p w14:paraId="40FAA3D8">
                  <w:pPr>
                    <w:pStyle w:val="41"/>
                    <w:bidi w:val="0"/>
                    <w:rPr>
                      <w:rFonts w:hint="default"/>
                      <w:lang w:val="en-US" w:eastAsia="zh-CN"/>
                    </w:rPr>
                  </w:pPr>
                </w:p>
              </w:tc>
            </w:tr>
            <w:tr w14:paraId="07D9D6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2986BFE">
                  <w:pPr>
                    <w:pStyle w:val="41"/>
                    <w:numPr>
                      <w:ilvl w:val="0"/>
                      <w:numId w:val="13"/>
                    </w:numPr>
                    <w:bidi w:val="0"/>
                    <w:ind w:left="454" w:leftChars="0" w:hanging="454" w:firstLineChars="0"/>
                    <w:jc w:val="center"/>
                    <w:rPr>
                      <w:rFonts w:hint="eastAsia"/>
                    </w:rPr>
                  </w:pPr>
                </w:p>
              </w:tc>
              <w:tc>
                <w:tcPr>
                  <w:tcW w:w="864" w:type="pct"/>
                  <w:vAlign w:val="center"/>
                </w:tcPr>
                <w:p w14:paraId="53621D59">
                  <w:pPr>
                    <w:pStyle w:val="41"/>
                    <w:bidi w:val="0"/>
                    <w:rPr>
                      <w:rFonts w:hint="eastAsia"/>
                      <w:lang w:val="en-US" w:eastAsia="zh-CN"/>
                    </w:rPr>
                  </w:pPr>
                  <w:r>
                    <w:rPr>
                      <w:rFonts w:hint="default"/>
                      <w:lang w:val="en-US" w:eastAsia="zh-CN"/>
                    </w:rPr>
                    <w:t>氯化血红素</w:t>
                  </w:r>
                </w:p>
              </w:tc>
              <w:tc>
                <w:tcPr>
                  <w:tcW w:w="669" w:type="pct"/>
                  <w:vAlign w:val="center"/>
                </w:tcPr>
                <w:p w14:paraId="62559BE9">
                  <w:pPr>
                    <w:pStyle w:val="41"/>
                    <w:bidi w:val="0"/>
                    <w:rPr>
                      <w:rFonts w:hint="default"/>
                      <w:lang w:val="en-US" w:eastAsia="zh-CN"/>
                    </w:rPr>
                  </w:pPr>
                  <w:r>
                    <w:rPr>
                      <w:rFonts w:hint="eastAsia"/>
                      <w:lang w:val="en-US" w:eastAsia="zh-CN"/>
                    </w:rPr>
                    <w:t>/</w:t>
                  </w:r>
                </w:p>
              </w:tc>
              <w:tc>
                <w:tcPr>
                  <w:tcW w:w="687" w:type="pct"/>
                  <w:vAlign w:val="center"/>
                </w:tcPr>
                <w:p w14:paraId="127CAC17">
                  <w:pPr>
                    <w:pStyle w:val="41"/>
                    <w:bidi w:val="0"/>
                    <w:rPr>
                      <w:rFonts w:hint="default"/>
                      <w:lang w:val="en-US" w:eastAsia="zh-CN"/>
                    </w:rPr>
                  </w:pPr>
                  <w:r>
                    <w:rPr>
                      <w:rFonts w:hint="eastAsia"/>
                      <w:lang w:val="en-US" w:eastAsia="zh-CN"/>
                    </w:rPr>
                    <w:t>1g/袋</w:t>
                  </w:r>
                </w:p>
              </w:tc>
              <w:tc>
                <w:tcPr>
                  <w:tcW w:w="771" w:type="pct"/>
                  <w:vAlign w:val="center"/>
                </w:tcPr>
                <w:p w14:paraId="29997348">
                  <w:pPr>
                    <w:pStyle w:val="41"/>
                    <w:bidi w:val="0"/>
                    <w:rPr>
                      <w:rFonts w:hint="eastAsia"/>
                      <w:lang w:val="en-US" w:eastAsia="zh-CN"/>
                    </w:rPr>
                  </w:pPr>
                  <w:r>
                    <w:rPr>
                      <w:rFonts w:hint="default"/>
                      <w:lang w:val="en-US" w:eastAsia="zh-CN"/>
                    </w:rPr>
                    <w:t>0.000325kg</w:t>
                  </w:r>
                </w:p>
              </w:tc>
              <w:tc>
                <w:tcPr>
                  <w:tcW w:w="740" w:type="pct"/>
                  <w:vAlign w:val="center"/>
                </w:tcPr>
                <w:p w14:paraId="56910D49">
                  <w:pPr>
                    <w:pStyle w:val="41"/>
                    <w:bidi w:val="0"/>
                    <w:rPr>
                      <w:rFonts w:hint="default"/>
                      <w:lang w:val="en-US" w:eastAsia="zh-CN"/>
                    </w:rPr>
                  </w:pPr>
                  <w:r>
                    <w:rPr>
                      <w:rFonts w:hint="eastAsia"/>
                      <w:lang w:val="en-US" w:eastAsia="zh-CN"/>
                    </w:rPr>
                    <w:t>1g</w:t>
                  </w:r>
                </w:p>
              </w:tc>
              <w:tc>
                <w:tcPr>
                  <w:tcW w:w="521" w:type="pct"/>
                  <w:vAlign w:val="center"/>
                </w:tcPr>
                <w:p w14:paraId="0F25306B">
                  <w:pPr>
                    <w:pStyle w:val="41"/>
                    <w:bidi w:val="0"/>
                    <w:rPr>
                      <w:rFonts w:hint="eastAsia"/>
                    </w:rPr>
                  </w:pPr>
                  <w:r>
                    <w:rPr>
                      <w:rFonts w:hint="eastAsia"/>
                      <w:lang w:val="en-US" w:eastAsia="zh-CN"/>
                    </w:rPr>
                    <w:t>固体</w:t>
                  </w:r>
                </w:p>
              </w:tc>
              <w:tc>
                <w:tcPr>
                  <w:tcW w:w="447" w:type="pct"/>
                  <w:vMerge w:val="continue"/>
                  <w:vAlign w:val="center"/>
                </w:tcPr>
                <w:p w14:paraId="62144C93">
                  <w:pPr>
                    <w:pStyle w:val="41"/>
                    <w:bidi w:val="0"/>
                    <w:rPr>
                      <w:rFonts w:hint="default"/>
                      <w:lang w:val="en-US" w:eastAsia="zh-CN"/>
                    </w:rPr>
                  </w:pPr>
                </w:p>
              </w:tc>
            </w:tr>
            <w:tr w14:paraId="0C9EFB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24B3877">
                  <w:pPr>
                    <w:pStyle w:val="41"/>
                    <w:numPr>
                      <w:ilvl w:val="0"/>
                      <w:numId w:val="13"/>
                    </w:numPr>
                    <w:bidi w:val="0"/>
                    <w:ind w:left="454" w:leftChars="0" w:hanging="454" w:firstLineChars="0"/>
                    <w:jc w:val="center"/>
                    <w:rPr>
                      <w:rFonts w:hint="eastAsia"/>
                    </w:rPr>
                  </w:pPr>
                </w:p>
              </w:tc>
              <w:tc>
                <w:tcPr>
                  <w:tcW w:w="864" w:type="pct"/>
                  <w:vAlign w:val="center"/>
                </w:tcPr>
                <w:p w14:paraId="43E8C18F">
                  <w:pPr>
                    <w:pStyle w:val="41"/>
                    <w:bidi w:val="0"/>
                    <w:rPr>
                      <w:rFonts w:hint="eastAsia"/>
                      <w:lang w:val="en-US" w:eastAsia="zh-CN"/>
                    </w:rPr>
                  </w:pPr>
                  <w:r>
                    <w:rPr>
                      <w:rFonts w:hint="default"/>
                      <w:lang w:val="en-US" w:eastAsia="zh-CN"/>
                    </w:rPr>
                    <w:t>辅酶I</w:t>
                  </w:r>
                </w:p>
              </w:tc>
              <w:tc>
                <w:tcPr>
                  <w:tcW w:w="669" w:type="pct"/>
                  <w:vAlign w:val="center"/>
                </w:tcPr>
                <w:p w14:paraId="5D4AE1B9">
                  <w:pPr>
                    <w:pStyle w:val="41"/>
                    <w:bidi w:val="0"/>
                    <w:rPr>
                      <w:rFonts w:hint="default"/>
                      <w:lang w:val="en-US" w:eastAsia="zh-CN"/>
                    </w:rPr>
                  </w:pPr>
                  <w:r>
                    <w:rPr>
                      <w:rFonts w:hint="eastAsia"/>
                      <w:lang w:val="en-US" w:eastAsia="zh-CN"/>
                    </w:rPr>
                    <w:t>/</w:t>
                  </w:r>
                </w:p>
              </w:tc>
              <w:tc>
                <w:tcPr>
                  <w:tcW w:w="687" w:type="pct"/>
                  <w:vAlign w:val="center"/>
                </w:tcPr>
                <w:p w14:paraId="1A261ADA">
                  <w:pPr>
                    <w:pStyle w:val="41"/>
                    <w:bidi w:val="0"/>
                    <w:rPr>
                      <w:rFonts w:hint="eastAsia"/>
                    </w:rPr>
                  </w:pPr>
                  <w:r>
                    <w:rPr>
                      <w:rFonts w:hint="eastAsia"/>
                      <w:lang w:val="en-US" w:eastAsia="zh-CN"/>
                    </w:rPr>
                    <w:t>1g/袋</w:t>
                  </w:r>
                </w:p>
              </w:tc>
              <w:tc>
                <w:tcPr>
                  <w:tcW w:w="771" w:type="pct"/>
                  <w:vAlign w:val="center"/>
                </w:tcPr>
                <w:p w14:paraId="26617605">
                  <w:pPr>
                    <w:pStyle w:val="41"/>
                    <w:bidi w:val="0"/>
                    <w:rPr>
                      <w:rFonts w:hint="eastAsia"/>
                      <w:lang w:val="en-US" w:eastAsia="zh-CN"/>
                    </w:rPr>
                  </w:pPr>
                  <w:r>
                    <w:rPr>
                      <w:rFonts w:hint="default"/>
                      <w:lang w:val="en-US" w:eastAsia="zh-CN"/>
                    </w:rPr>
                    <w:t>0.000325kg</w:t>
                  </w:r>
                </w:p>
              </w:tc>
              <w:tc>
                <w:tcPr>
                  <w:tcW w:w="740" w:type="pct"/>
                  <w:vAlign w:val="center"/>
                </w:tcPr>
                <w:p w14:paraId="6790650F">
                  <w:pPr>
                    <w:pStyle w:val="41"/>
                    <w:bidi w:val="0"/>
                    <w:rPr>
                      <w:rFonts w:hint="eastAsia"/>
                      <w:lang w:val="en-US" w:eastAsia="zh-CN"/>
                    </w:rPr>
                  </w:pPr>
                  <w:r>
                    <w:rPr>
                      <w:rFonts w:hint="eastAsia"/>
                      <w:lang w:val="en-US" w:eastAsia="zh-CN"/>
                    </w:rPr>
                    <w:t>1g</w:t>
                  </w:r>
                </w:p>
              </w:tc>
              <w:tc>
                <w:tcPr>
                  <w:tcW w:w="521" w:type="pct"/>
                  <w:vAlign w:val="center"/>
                </w:tcPr>
                <w:p w14:paraId="7132C0A0">
                  <w:pPr>
                    <w:pStyle w:val="41"/>
                    <w:bidi w:val="0"/>
                    <w:rPr>
                      <w:rFonts w:hint="eastAsia"/>
                      <w:lang w:val="en-US" w:eastAsia="zh-CN"/>
                    </w:rPr>
                  </w:pPr>
                  <w:r>
                    <w:rPr>
                      <w:rFonts w:hint="eastAsia"/>
                      <w:lang w:val="en-US" w:eastAsia="zh-CN"/>
                    </w:rPr>
                    <w:t>固体</w:t>
                  </w:r>
                </w:p>
              </w:tc>
              <w:tc>
                <w:tcPr>
                  <w:tcW w:w="447" w:type="pct"/>
                  <w:vMerge w:val="continue"/>
                  <w:vAlign w:val="center"/>
                </w:tcPr>
                <w:p w14:paraId="4CE8F6D2">
                  <w:pPr>
                    <w:pStyle w:val="41"/>
                    <w:bidi w:val="0"/>
                    <w:rPr>
                      <w:rFonts w:hint="default"/>
                      <w:lang w:val="en-US" w:eastAsia="zh-CN"/>
                    </w:rPr>
                  </w:pPr>
                </w:p>
              </w:tc>
            </w:tr>
            <w:tr w14:paraId="5110FF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32466E13">
                  <w:pPr>
                    <w:pStyle w:val="41"/>
                    <w:numPr>
                      <w:ilvl w:val="0"/>
                      <w:numId w:val="13"/>
                    </w:numPr>
                    <w:bidi w:val="0"/>
                    <w:ind w:left="454" w:leftChars="0" w:hanging="454" w:firstLineChars="0"/>
                    <w:jc w:val="center"/>
                    <w:rPr>
                      <w:rFonts w:hint="eastAsia"/>
                    </w:rPr>
                  </w:pPr>
                </w:p>
              </w:tc>
              <w:tc>
                <w:tcPr>
                  <w:tcW w:w="864" w:type="pct"/>
                  <w:vAlign w:val="center"/>
                </w:tcPr>
                <w:p w14:paraId="1588FB26">
                  <w:pPr>
                    <w:pStyle w:val="41"/>
                    <w:bidi w:val="0"/>
                    <w:rPr>
                      <w:rFonts w:hint="default"/>
                      <w:lang w:val="en-US" w:eastAsia="zh-CN"/>
                    </w:rPr>
                  </w:pPr>
                  <w:r>
                    <w:rPr>
                      <w:rFonts w:hint="default"/>
                    </w:rPr>
                    <w:t>二氧化碳</w:t>
                  </w:r>
                </w:p>
              </w:tc>
              <w:tc>
                <w:tcPr>
                  <w:tcW w:w="669" w:type="pct"/>
                  <w:vAlign w:val="center"/>
                </w:tcPr>
                <w:p w14:paraId="0AE24D16">
                  <w:pPr>
                    <w:pStyle w:val="41"/>
                    <w:bidi w:val="0"/>
                    <w:rPr>
                      <w:rFonts w:hint="default"/>
                    </w:rPr>
                  </w:pPr>
                  <w:r>
                    <w:rPr>
                      <w:rFonts w:hint="eastAsia"/>
                      <w:lang w:val="en-US" w:eastAsia="zh-CN"/>
                    </w:rPr>
                    <w:t>99.99%</w:t>
                  </w:r>
                </w:p>
              </w:tc>
              <w:tc>
                <w:tcPr>
                  <w:tcW w:w="687" w:type="pct"/>
                  <w:vAlign w:val="center"/>
                </w:tcPr>
                <w:p w14:paraId="6F983ABE">
                  <w:pPr>
                    <w:pStyle w:val="41"/>
                    <w:bidi w:val="0"/>
                    <w:rPr>
                      <w:rFonts w:hint="default"/>
                      <w:lang w:val="en-US" w:eastAsia="zh-CN"/>
                    </w:rPr>
                  </w:pPr>
                  <w:r>
                    <w:rPr>
                      <w:rFonts w:hint="default"/>
                    </w:rPr>
                    <w:t>40L/瓶</w:t>
                  </w:r>
                </w:p>
              </w:tc>
              <w:tc>
                <w:tcPr>
                  <w:tcW w:w="771" w:type="pct"/>
                  <w:vAlign w:val="center"/>
                </w:tcPr>
                <w:p w14:paraId="76415515">
                  <w:pPr>
                    <w:pStyle w:val="41"/>
                    <w:bidi w:val="0"/>
                    <w:rPr>
                      <w:rFonts w:hint="default"/>
                      <w:lang w:val="en-US" w:eastAsia="zh-CN"/>
                    </w:rPr>
                  </w:pPr>
                  <w:r>
                    <w:rPr>
                      <w:rFonts w:hint="default"/>
                    </w:rPr>
                    <w:t>300瓶</w:t>
                  </w:r>
                </w:p>
              </w:tc>
              <w:tc>
                <w:tcPr>
                  <w:tcW w:w="740" w:type="pct"/>
                  <w:vAlign w:val="center"/>
                </w:tcPr>
                <w:p w14:paraId="56B51EF1">
                  <w:pPr>
                    <w:pStyle w:val="41"/>
                    <w:bidi w:val="0"/>
                    <w:rPr>
                      <w:rFonts w:hint="eastAsia"/>
                      <w:lang w:val="en-US" w:eastAsia="zh-CN"/>
                    </w:rPr>
                  </w:pPr>
                  <w:r>
                    <w:rPr>
                      <w:rFonts w:hint="default"/>
                    </w:rPr>
                    <w:t>20</w:t>
                  </w:r>
                  <w:r>
                    <w:rPr>
                      <w:rFonts w:hint="eastAsia"/>
                      <w:lang w:val="en-US" w:eastAsia="zh-CN"/>
                    </w:rPr>
                    <w:t>瓶</w:t>
                  </w:r>
                </w:p>
              </w:tc>
              <w:tc>
                <w:tcPr>
                  <w:tcW w:w="521" w:type="pct"/>
                  <w:vAlign w:val="center"/>
                </w:tcPr>
                <w:p w14:paraId="75304544">
                  <w:pPr>
                    <w:pStyle w:val="41"/>
                    <w:bidi w:val="0"/>
                    <w:rPr>
                      <w:rFonts w:hint="default"/>
                      <w:lang w:val="en-US" w:eastAsia="zh-CN"/>
                    </w:rPr>
                  </w:pPr>
                  <w:r>
                    <w:rPr>
                      <w:rFonts w:hint="default"/>
                    </w:rPr>
                    <w:t>气体</w:t>
                  </w:r>
                </w:p>
              </w:tc>
              <w:tc>
                <w:tcPr>
                  <w:tcW w:w="447" w:type="pct"/>
                  <w:vMerge w:val="continue"/>
                  <w:vAlign w:val="center"/>
                </w:tcPr>
                <w:p w14:paraId="317CD92E">
                  <w:pPr>
                    <w:pStyle w:val="41"/>
                    <w:bidi w:val="0"/>
                    <w:rPr>
                      <w:rFonts w:hint="default"/>
                      <w:lang w:val="en-US" w:eastAsia="zh-CN"/>
                    </w:rPr>
                  </w:pPr>
                </w:p>
              </w:tc>
            </w:tr>
            <w:tr w14:paraId="5288B9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1835CF8">
                  <w:pPr>
                    <w:pStyle w:val="41"/>
                    <w:numPr>
                      <w:ilvl w:val="0"/>
                      <w:numId w:val="13"/>
                    </w:numPr>
                    <w:bidi w:val="0"/>
                    <w:ind w:left="454" w:leftChars="0" w:hanging="454" w:firstLineChars="0"/>
                    <w:jc w:val="center"/>
                    <w:rPr>
                      <w:rFonts w:hint="eastAsia"/>
                    </w:rPr>
                  </w:pPr>
                </w:p>
              </w:tc>
              <w:tc>
                <w:tcPr>
                  <w:tcW w:w="864" w:type="pct"/>
                  <w:vAlign w:val="center"/>
                </w:tcPr>
                <w:p w14:paraId="135545A7">
                  <w:pPr>
                    <w:pStyle w:val="41"/>
                    <w:bidi w:val="0"/>
                    <w:rPr>
                      <w:rFonts w:hint="default"/>
                      <w:lang w:val="en-US" w:eastAsia="zh-CN"/>
                    </w:rPr>
                  </w:pPr>
                  <w:r>
                    <w:rPr>
                      <w:rFonts w:hint="default"/>
                    </w:rPr>
                    <w:t>氧气</w:t>
                  </w:r>
                </w:p>
              </w:tc>
              <w:tc>
                <w:tcPr>
                  <w:tcW w:w="669" w:type="pct"/>
                  <w:vAlign w:val="center"/>
                </w:tcPr>
                <w:p w14:paraId="0F08ECE0">
                  <w:pPr>
                    <w:pStyle w:val="41"/>
                    <w:bidi w:val="0"/>
                    <w:rPr>
                      <w:rFonts w:hint="default" w:eastAsia="宋体"/>
                      <w:lang w:val="en-US" w:eastAsia="zh-CN"/>
                    </w:rPr>
                  </w:pPr>
                  <w:r>
                    <w:rPr>
                      <w:rFonts w:hint="eastAsia"/>
                      <w:lang w:val="en-US" w:eastAsia="zh-CN"/>
                    </w:rPr>
                    <w:t>99.99%</w:t>
                  </w:r>
                </w:p>
              </w:tc>
              <w:tc>
                <w:tcPr>
                  <w:tcW w:w="687" w:type="pct"/>
                  <w:vAlign w:val="center"/>
                </w:tcPr>
                <w:p w14:paraId="6ED66759">
                  <w:pPr>
                    <w:pStyle w:val="41"/>
                    <w:bidi w:val="0"/>
                    <w:rPr>
                      <w:rFonts w:hint="default"/>
                      <w:lang w:val="en-US" w:eastAsia="zh-CN"/>
                    </w:rPr>
                  </w:pPr>
                  <w:r>
                    <w:rPr>
                      <w:rFonts w:hint="default"/>
                    </w:rPr>
                    <w:t>40L/瓶</w:t>
                  </w:r>
                </w:p>
              </w:tc>
              <w:tc>
                <w:tcPr>
                  <w:tcW w:w="771" w:type="pct"/>
                  <w:vAlign w:val="center"/>
                </w:tcPr>
                <w:p w14:paraId="6EE8B0C5">
                  <w:pPr>
                    <w:pStyle w:val="41"/>
                    <w:bidi w:val="0"/>
                    <w:rPr>
                      <w:rFonts w:hint="default"/>
                      <w:lang w:val="en-US" w:eastAsia="zh-CN"/>
                    </w:rPr>
                  </w:pPr>
                  <w:r>
                    <w:rPr>
                      <w:rFonts w:hint="default"/>
                    </w:rPr>
                    <w:t>50瓶</w:t>
                  </w:r>
                </w:p>
              </w:tc>
              <w:tc>
                <w:tcPr>
                  <w:tcW w:w="740" w:type="pct"/>
                  <w:vAlign w:val="center"/>
                </w:tcPr>
                <w:p w14:paraId="08DAA5F1">
                  <w:pPr>
                    <w:pStyle w:val="41"/>
                    <w:bidi w:val="0"/>
                    <w:rPr>
                      <w:rFonts w:hint="default"/>
                      <w:lang w:val="en-US" w:eastAsia="zh-CN"/>
                    </w:rPr>
                  </w:pPr>
                  <w:r>
                    <w:rPr>
                      <w:rFonts w:hint="default"/>
                    </w:rPr>
                    <w:t>4</w:t>
                  </w:r>
                  <w:r>
                    <w:rPr>
                      <w:rFonts w:hint="eastAsia"/>
                      <w:lang w:val="en-US" w:eastAsia="zh-CN"/>
                    </w:rPr>
                    <w:t>瓶</w:t>
                  </w:r>
                </w:p>
              </w:tc>
              <w:tc>
                <w:tcPr>
                  <w:tcW w:w="521" w:type="pct"/>
                  <w:vAlign w:val="center"/>
                </w:tcPr>
                <w:p w14:paraId="48EE22DA">
                  <w:pPr>
                    <w:pStyle w:val="41"/>
                    <w:bidi w:val="0"/>
                    <w:rPr>
                      <w:rFonts w:hint="default"/>
                      <w:lang w:val="en-US" w:eastAsia="zh-CN"/>
                    </w:rPr>
                  </w:pPr>
                  <w:r>
                    <w:rPr>
                      <w:rFonts w:hint="default"/>
                    </w:rPr>
                    <w:t>气体</w:t>
                  </w:r>
                </w:p>
              </w:tc>
              <w:tc>
                <w:tcPr>
                  <w:tcW w:w="447" w:type="pct"/>
                  <w:vMerge w:val="continue"/>
                  <w:vAlign w:val="center"/>
                </w:tcPr>
                <w:p w14:paraId="6C8456B5">
                  <w:pPr>
                    <w:pStyle w:val="41"/>
                    <w:bidi w:val="0"/>
                    <w:rPr>
                      <w:rFonts w:hint="default"/>
                      <w:lang w:val="en-US" w:eastAsia="zh-CN"/>
                    </w:rPr>
                  </w:pPr>
                </w:p>
              </w:tc>
            </w:tr>
            <w:tr w14:paraId="0C3D51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747F8C4">
                  <w:pPr>
                    <w:pStyle w:val="41"/>
                    <w:numPr>
                      <w:ilvl w:val="0"/>
                      <w:numId w:val="13"/>
                    </w:numPr>
                    <w:bidi w:val="0"/>
                    <w:ind w:left="454" w:leftChars="0" w:hanging="454" w:firstLineChars="0"/>
                    <w:jc w:val="center"/>
                    <w:rPr>
                      <w:rFonts w:hint="eastAsia"/>
                    </w:rPr>
                  </w:pPr>
                </w:p>
              </w:tc>
              <w:tc>
                <w:tcPr>
                  <w:tcW w:w="864" w:type="pct"/>
                  <w:vAlign w:val="center"/>
                </w:tcPr>
                <w:p w14:paraId="52D989D0">
                  <w:pPr>
                    <w:pStyle w:val="41"/>
                    <w:bidi w:val="0"/>
                    <w:rPr>
                      <w:rFonts w:hint="default"/>
                      <w:lang w:val="en-US" w:eastAsia="zh-CN"/>
                    </w:rPr>
                  </w:pPr>
                  <w:r>
                    <w:rPr>
                      <w:rFonts w:hint="default"/>
                    </w:rPr>
                    <w:t>氮气</w:t>
                  </w:r>
                </w:p>
              </w:tc>
              <w:tc>
                <w:tcPr>
                  <w:tcW w:w="669" w:type="pct"/>
                  <w:vAlign w:val="center"/>
                </w:tcPr>
                <w:p w14:paraId="600A74EE">
                  <w:pPr>
                    <w:pStyle w:val="41"/>
                    <w:bidi w:val="0"/>
                    <w:rPr>
                      <w:rFonts w:hint="default" w:eastAsia="宋体"/>
                      <w:lang w:val="en-US" w:eastAsia="zh-CN"/>
                    </w:rPr>
                  </w:pPr>
                  <w:r>
                    <w:rPr>
                      <w:rFonts w:hint="eastAsia"/>
                      <w:lang w:val="en-US" w:eastAsia="zh-CN"/>
                    </w:rPr>
                    <w:t>99.5%</w:t>
                  </w:r>
                </w:p>
              </w:tc>
              <w:tc>
                <w:tcPr>
                  <w:tcW w:w="687" w:type="pct"/>
                  <w:vAlign w:val="center"/>
                </w:tcPr>
                <w:p w14:paraId="41814A32">
                  <w:pPr>
                    <w:pStyle w:val="41"/>
                    <w:bidi w:val="0"/>
                    <w:rPr>
                      <w:rFonts w:hint="default"/>
                      <w:lang w:val="en-US" w:eastAsia="zh-CN"/>
                    </w:rPr>
                  </w:pPr>
                  <w:r>
                    <w:rPr>
                      <w:rFonts w:hint="default"/>
                    </w:rPr>
                    <w:t>40L/瓶</w:t>
                  </w:r>
                </w:p>
              </w:tc>
              <w:tc>
                <w:tcPr>
                  <w:tcW w:w="771" w:type="pct"/>
                  <w:vAlign w:val="center"/>
                </w:tcPr>
                <w:p w14:paraId="14E0099B">
                  <w:pPr>
                    <w:pStyle w:val="41"/>
                    <w:bidi w:val="0"/>
                    <w:rPr>
                      <w:rFonts w:hint="default"/>
                      <w:lang w:val="en-US" w:eastAsia="zh-CN"/>
                    </w:rPr>
                  </w:pPr>
                  <w:r>
                    <w:rPr>
                      <w:rFonts w:hint="default"/>
                    </w:rPr>
                    <w:t>20瓶</w:t>
                  </w:r>
                </w:p>
              </w:tc>
              <w:tc>
                <w:tcPr>
                  <w:tcW w:w="740" w:type="pct"/>
                  <w:vAlign w:val="center"/>
                </w:tcPr>
                <w:p w14:paraId="50C63A9A">
                  <w:pPr>
                    <w:pStyle w:val="41"/>
                    <w:bidi w:val="0"/>
                    <w:rPr>
                      <w:rFonts w:hint="default"/>
                      <w:lang w:val="en-US" w:eastAsia="zh-CN"/>
                    </w:rPr>
                  </w:pPr>
                  <w:r>
                    <w:rPr>
                      <w:rFonts w:hint="default"/>
                    </w:rPr>
                    <w:t>4</w:t>
                  </w:r>
                  <w:r>
                    <w:rPr>
                      <w:rFonts w:hint="eastAsia"/>
                      <w:lang w:val="en-US" w:eastAsia="zh-CN"/>
                    </w:rPr>
                    <w:t>瓶</w:t>
                  </w:r>
                </w:p>
              </w:tc>
              <w:tc>
                <w:tcPr>
                  <w:tcW w:w="521" w:type="pct"/>
                  <w:vAlign w:val="center"/>
                </w:tcPr>
                <w:p w14:paraId="4D36DEF1">
                  <w:pPr>
                    <w:pStyle w:val="41"/>
                    <w:bidi w:val="0"/>
                    <w:rPr>
                      <w:rFonts w:hint="default"/>
                      <w:lang w:val="en-US" w:eastAsia="zh-CN"/>
                    </w:rPr>
                  </w:pPr>
                  <w:r>
                    <w:rPr>
                      <w:rFonts w:hint="default"/>
                    </w:rPr>
                    <w:t>气体</w:t>
                  </w:r>
                </w:p>
              </w:tc>
              <w:tc>
                <w:tcPr>
                  <w:tcW w:w="447" w:type="pct"/>
                  <w:vMerge w:val="continue"/>
                  <w:vAlign w:val="center"/>
                </w:tcPr>
                <w:p w14:paraId="4C165F21">
                  <w:pPr>
                    <w:pStyle w:val="41"/>
                    <w:bidi w:val="0"/>
                    <w:rPr>
                      <w:rFonts w:hint="default"/>
                      <w:lang w:val="en-US" w:eastAsia="zh-CN"/>
                    </w:rPr>
                  </w:pPr>
                </w:p>
              </w:tc>
            </w:tr>
            <w:tr w14:paraId="5BF457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1351A8A">
                  <w:pPr>
                    <w:pStyle w:val="41"/>
                    <w:numPr>
                      <w:ilvl w:val="0"/>
                      <w:numId w:val="13"/>
                    </w:numPr>
                    <w:bidi w:val="0"/>
                    <w:ind w:left="454" w:leftChars="0" w:hanging="454" w:firstLineChars="0"/>
                    <w:jc w:val="center"/>
                    <w:rPr>
                      <w:rFonts w:hint="eastAsia"/>
                    </w:rPr>
                  </w:pPr>
                </w:p>
              </w:tc>
              <w:tc>
                <w:tcPr>
                  <w:tcW w:w="864" w:type="pct"/>
                  <w:vAlign w:val="center"/>
                </w:tcPr>
                <w:p w14:paraId="7268CC3D">
                  <w:pPr>
                    <w:pStyle w:val="41"/>
                    <w:bidi w:val="0"/>
                    <w:rPr>
                      <w:rFonts w:hint="eastAsia"/>
                      <w:lang w:val="en-US" w:eastAsia="zh-CN"/>
                    </w:rPr>
                  </w:pPr>
                  <w:r>
                    <w:rPr>
                      <w:rFonts w:hint="eastAsia"/>
                      <w:highlight w:val="yellow"/>
                      <w:lang w:val="en-US" w:eastAsia="zh-CN"/>
                    </w:rPr>
                    <w:t>天然气</w:t>
                  </w:r>
                </w:p>
              </w:tc>
              <w:tc>
                <w:tcPr>
                  <w:tcW w:w="669" w:type="pct"/>
                  <w:vAlign w:val="center"/>
                </w:tcPr>
                <w:p w14:paraId="2A6BCD5D">
                  <w:pPr>
                    <w:pStyle w:val="41"/>
                    <w:bidi w:val="0"/>
                    <w:rPr>
                      <w:rFonts w:hint="default"/>
                      <w:lang w:val="en-US" w:eastAsia="zh-CN"/>
                    </w:rPr>
                  </w:pPr>
                  <w:r>
                    <w:rPr>
                      <w:rFonts w:hint="eastAsia"/>
                      <w:lang w:val="en-US" w:eastAsia="zh-CN"/>
                    </w:rPr>
                    <w:t>/</w:t>
                  </w:r>
                </w:p>
              </w:tc>
              <w:tc>
                <w:tcPr>
                  <w:tcW w:w="687" w:type="pct"/>
                  <w:vAlign w:val="center"/>
                </w:tcPr>
                <w:p w14:paraId="096568F6">
                  <w:pPr>
                    <w:pStyle w:val="41"/>
                    <w:bidi w:val="0"/>
                    <w:rPr>
                      <w:rFonts w:hint="default"/>
                      <w:lang w:val="en-US" w:eastAsia="zh-CN"/>
                    </w:rPr>
                  </w:pPr>
                  <w:r>
                    <w:rPr>
                      <w:rFonts w:hint="eastAsia"/>
                      <w:lang w:val="en-US" w:eastAsia="zh-CN"/>
                    </w:rPr>
                    <w:t>管道输送</w:t>
                  </w:r>
                </w:p>
              </w:tc>
              <w:tc>
                <w:tcPr>
                  <w:tcW w:w="771" w:type="pct"/>
                  <w:vAlign w:val="center"/>
                </w:tcPr>
                <w:p w14:paraId="43098CC2">
                  <w:pPr>
                    <w:pStyle w:val="41"/>
                    <w:bidi w:val="0"/>
                    <w:rPr>
                      <w:rFonts w:hint="default"/>
                      <w:lang w:val="en-US" w:eastAsia="zh-CN"/>
                    </w:rPr>
                  </w:pPr>
                  <w:r>
                    <w:rPr>
                      <w:rFonts w:hint="eastAsia"/>
                      <w:lang w:val="en-US" w:eastAsia="zh-CN"/>
                    </w:rPr>
                    <w:t>41万m</w:t>
                  </w:r>
                  <w:r>
                    <w:rPr>
                      <w:rFonts w:hint="eastAsia"/>
                      <w:vertAlign w:val="superscript"/>
                      <w:lang w:val="en-US" w:eastAsia="zh-CN"/>
                    </w:rPr>
                    <w:t>3</w:t>
                  </w:r>
                </w:p>
              </w:tc>
              <w:tc>
                <w:tcPr>
                  <w:tcW w:w="740" w:type="pct"/>
                  <w:vAlign w:val="center"/>
                </w:tcPr>
                <w:p w14:paraId="4E0810EB">
                  <w:pPr>
                    <w:pStyle w:val="41"/>
                    <w:bidi w:val="0"/>
                    <w:rPr>
                      <w:rFonts w:hint="default"/>
                      <w:lang w:val="en-US" w:eastAsia="zh-CN"/>
                    </w:rPr>
                  </w:pPr>
                  <w:r>
                    <w:rPr>
                      <w:rFonts w:hint="eastAsia"/>
                      <w:lang w:val="en-US" w:eastAsia="zh-CN"/>
                    </w:rPr>
                    <w:t>50m</w:t>
                  </w:r>
                  <w:r>
                    <w:rPr>
                      <w:rFonts w:hint="eastAsia"/>
                      <w:vertAlign w:val="superscript"/>
                      <w:lang w:val="en-US" w:eastAsia="zh-CN"/>
                    </w:rPr>
                    <w:t>3</w:t>
                  </w:r>
                  <w:r>
                    <w:rPr>
                      <w:rFonts w:hint="eastAsia"/>
                      <w:lang w:val="en-US" w:eastAsia="zh-CN"/>
                    </w:rPr>
                    <w:t>（0.035t）</w:t>
                  </w:r>
                </w:p>
              </w:tc>
              <w:tc>
                <w:tcPr>
                  <w:tcW w:w="521" w:type="pct"/>
                  <w:vAlign w:val="center"/>
                </w:tcPr>
                <w:p w14:paraId="1EC78B36">
                  <w:pPr>
                    <w:pStyle w:val="41"/>
                    <w:bidi w:val="0"/>
                    <w:rPr>
                      <w:rFonts w:hint="eastAsia"/>
                      <w:lang w:val="en-US" w:eastAsia="zh-CN"/>
                    </w:rPr>
                  </w:pPr>
                  <w:r>
                    <w:rPr>
                      <w:rFonts w:hint="eastAsia"/>
                      <w:lang w:val="en-US" w:eastAsia="zh-CN"/>
                    </w:rPr>
                    <w:t>气体</w:t>
                  </w:r>
                </w:p>
              </w:tc>
              <w:tc>
                <w:tcPr>
                  <w:tcW w:w="447" w:type="pct"/>
                  <w:vMerge w:val="continue"/>
                  <w:vAlign w:val="center"/>
                </w:tcPr>
                <w:p w14:paraId="086B8B41">
                  <w:pPr>
                    <w:pStyle w:val="41"/>
                    <w:bidi w:val="0"/>
                    <w:rPr>
                      <w:rFonts w:hint="default"/>
                      <w:lang w:val="en-US" w:eastAsia="zh-CN"/>
                    </w:rPr>
                  </w:pPr>
                </w:p>
              </w:tc>
            </w:tr>
            <w:tr w14:paraId="00C3E6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96" w:type="pct"/>
                  <w:vAlign w:val="center"/>
                </w:tcPr>
                <w:p w14:paraId="00529710">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379C39FE">
                  <w:pPr>
                    <w:pStyle w:val="41"/>
                    <w:bidi w:val="0"/>
                    <w:rPr>
                      <w:rFonts w:hint="default"/>
                      <w:lang w:val="en-US" w:eastAsia="zh-CN"/>
                    </w:rPr>
                  </w:pPr>
                  <w:r>
                    <w:rPr>
                      <w:rFonts w:hint="eastAsia"/>
                      <w:lang w:val="en-US" w:eastAsia="zh-CN"/>
                    </w:rPr>
                    <w:t>血浆</w:t>
                  </w:r>
                </w:p>
              </w:tc>
              <w:tc>
                <w:tcPr>
                  <w:tcW w:w="669" w:type="pct"/>
                  <w:shd w:val="clear" w:color="auto" w:fill="auto"/>
                  <w:vAlign w:val="center"/>
                </w:tcPr>
                <w:p w14:paraId="15EE6C86">
                  <w:pPr>
                    <w:pStyle w:val="41"/>
                    <w:bidi w:val="0"/>
                    <w:rPr>
                      <w:rFonts w:hint="default"/>
                      <w:lang w:val="en-US" w:eastAsia="zh-CN"/>
                    </w:rPr>
                  </w:pPr>
                  <w:r>
                    <w:rPr>
                      <w:rFonts w:hint="eastAsia"/>
                      <w:lang w:val="en-US" w:eastAsia="zh-CN"/>
                    </w:rPr>
                    <w:t>/</w:t>
                  </w:r>
                </w:p>
              </w:tc>
              <w:tc>
                <w:tcPr>
                  <w:tcW w:w="687" w:type="pct"/>
                  <w:shd w:val="clear" w:color="auto" w:fill="auto"/>
                  <w:vAlign w:val="center"/>
                </w:tcPr>
                <w:p w14:paraId="08DDF45B">
                  <w:pPr>
                    <w:pStyle w:val="41"/>
                    <w:bidi w:val="0"/>
                    <w:rPr>
                      <w:rFonts w:hint="default"/>
                      <w:lang w:val="en-US" w:eastAsia="zh-CN"/>
                    </w:rPr>
                  </w:pPr>
                  <w:r>
                    <w:rPr>
                      <w:rFonts w:hint="eastAsia"/>
                      <w:lang w:val="en-US" w:eastAsia="zh-CN"/>
                    </w:rPr>
                    <w:t>/</w:t>
                  </w:r>
                </w:p>
              </w:tc>
              <w:tc>
                <w:tcPr>
                  <w:tcW w:w="771" w:type="pct"/>
                  <w:shd w:val="clear" w:color="auto" w:fill="auto"/>
                  <w:vAlign w:val="center"/>
                </w:tcPr>
                <w:p w14:paraId="74A768D0">
                  <w:pPr>
                    <w:pStyle w:val="41"/>
                    <w:bidi w:val="0"/>
                    <w:rPr>
                      <w:rFonts w:hint="default"/>
                      <w:lang w:val="en-US" w:eastAsia="zh-CN"/>
                    </w:rPr>
                  </w:pPr>
                  <w:r>
                    <w:rPr>
                      <w:rFonts w:hint="eastAsia"/>
                      <w:lang w:val="en-US" w:eastAsia="zh-CN"/>
                    </w:rPr>
                    <w:t>10kg</w:t>
                  </w:r>
                </w:p>
              </w:tc>
              <w:tc>
                <w:tcPr>
                  <w:tcW w:w="740" w:type="pct"/>
                  <w:shd w:val="clear" w:color="auto" w:fill="auto"/>
                  <w:vAlign w:val="center"/>
                </w:tcPr>
                <w:p w14:paraId="04950C66">
                  <w:pPr>
                    <w:pStyle w:val="41"/>
                    <w:bidi w:val="0"/>
                    <w:rPr>
                      <w:rFonts w:hint="default"/>
                      <w:lang w:val="en-US" w:eastAsia="zh-CN"/>
                    </w:rPr>
                  </w:pPr>
                  <w:r>
                    <w:rPr>
                      <w:rFonts w:hint="eastAsia"/>
                      <w:lang w:val="en-US" w:eastAsia="zh-CN"/>
                    </w:rPr>
                    <w:t>1kg</w:t>
                  </w:r>
                </w:p>
              </w:tc>
              <w:tc>
                <w:tcPr>
                  <w:tcW w:w="521" w:type="pct"/>
                  <w:shd w:val="clear" w:color="auto" w:fill="auto"/>
                  <w:vAlign w:val="center"/>
                </w:tcPr>
                <w:p w14:paraId="0E886B2D">
                  <w:pPr>
                    <w:pStyle w:val="41"/>
                    <w:bidi w:val="0"/>
                    <w:rPr>
                      <w:rFonts w:hint="default"/>
                      <w:lang w:val="en-US" w:eastAsia="zh-CN"/>
                    </w:rPr>
                  </w:pPr>
                  <w:r>
                    <w:rPr>
                      <w:rFonts w:hint="eastAsia"/>
                      <w:lang w:val="en-US" w:eastAsia="zh-CN"/>
                    </w:rPr>
                    <w:t>液体</w:t>
                  </w:r>
                </w:p>
              </w:tc>
              <w:tc>
                <w:tcPr>
                  <w:tcW w:w="447" w:type="pct"/>
                  <w:vMerge w:val="restart"/>
                  <w:vAlign w:val="center"/>
                </w:tcPr>
                <w:p w14:paraId="0F7E8601">
                  <w:pPr>
                    <w:pStyle w:val="41"/>
                    <w:bidi w:val="0"/>
                    <w:rPr>
                      <w:rFonts w:hint="default"/>
                      <w:lang w:val="en-US" w:eastAsia="zh-CN"/>
                    </w:rPr>
                  </w:pPr>
                  <w:r>
                    <w:rPr>
                      <w:rFonts w:hint="eastAsia"/>
                      <w:lang w:val="en-US" w:eastAsia="zh-CN"/>
                    </w:rPr>
                    <w:t>1号楼新增</w:t>
                  </w:r>
                </w:p>
              </w:tc>
            </w:tr>
            <w:tr w14:paraId="3C34A9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818CE47">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286CDF0B">
                  <w:pPr>
                    <w:pStyle w:val="41"/>
                    <w:bidi w:val="0"/>
                    <w:rPr>
                      <w:rFonts w:hint="default"/>
                      <w:lang w:val="en-US" w:eastAsia="zh-CN"/>
                    </w:rPr>
                  </w:pPr>
                  <w:r>
                    <w:rPr>
                      <w:rFonts w:hint="eastAsia"/>
                      <w:lang w:val="en-US" w:eastAsia="zh-CN"/>
                    </w:rPr>
                    <w:t>七味通痹口服液</w:t>
                  </w:r>
                </w:p>
              </w:tc>
              <w:tc>
                <w:tcPr>
                  <w:tcW w:w="669" w:type="pct"/>
                  <w:shd w:val="clear" w:color="auto" w:fill="auto"/>
                  <w:vAlign w:val="center"/>
                </w:tcPr>
                <w:p w14:paraId="1B268EFA">
                  <w:pPr>
                    <w:pStyle w:val="41"/>
                    <w:bidi w:val="0"/>
                    <w:rPr>
                      <w:rFonts w:hint="default"/>
                      <w:lang w:val="en-US" w:eastAsia="zh-CN"/>
                    </w:rPr>
                  </w:pPr>
                  <w:r>
                    <w:rPr>
                      <w:rFonts w:hint="eastAsia"/>
                      <w:lang w:val="en-US" w:eastAsia="zh-CN"/>
                    </w:rPr>
                    <w:t>/</w:t>
                  </w:r>
                </w:p>
              </w:tc>
              <w:tc>
                <w:tcPr>
                  <w:tcW w:w="687" w:type="pct"/>
                  <w:shd w:val="clear" w:color="auto" w:fill="auto"/>
                  <w:vAlign w:val="center"/>
                </w:tcPr>
                <w:p w14:paraId="51A98566">
                  <w:pPr>
                    <w:pStyle w:val="41"/>
                    <w:bidi w:val="0"/>
                    <w:rPr>
                      <w:rFonts w:hint="default"/>
                      <w:lang w:val="en-US" w:eastAsia="zh-CN"/>
                    </w:rPr>
                  </w:pPr>
                  <w:r>
                    <w:rPr>
                      <w:rFonts w:hint="eastAsia"/>
                      <w:lang w:val="en-US" w:eastAsia="zh-CN"/>
                    </w:rPr>
                    <w:t>/</w:t>
                  </w:r>
                </w:p>
              </w:tc>
              <w:tc>
                <w:tcPr>
                  <w:tcW w:w="771" w:type="pct"/>
                  <w:shd w:val="clear" w:color="auto" w:fill="auto"/>
                  <w:vAlign w:val="center"/>
                </w:tcPr>
                <w:p w14:paraId="03A91151">
                  <w:pPr>
                    <w:pStyle w:val="41"/>
                    <w:bidi w:val="0"/>
                    <w:rPr>
                      <w:rFonts w:hint="default"/>
                      <w:lang w:val="en-US" w:eastAsia="zh-CN"/>
                    </w:rPr>
                  </w:pPr>
                  <w:r>
                    <w:rPr>
                      <w:rFonts w:hint="eastAsia"/>
                      <w:lang w:val="en-US" w:eastAsia="zh-CN"/>
                    </w:rPr>
                    <w:t>10kg</w:t>
                  </w:r>
                </w:p>
              </w:tc>
              <w:tc>
                <w:tcPr>
                  <w:tcW w:w="740" w:type="pct"/>
                  <w:shd w:val="clear" w:color="auto" w:fill="auto"/>
                  <w:vAlign w:val="center"/>
                </w:tcPr>
                <w:p w14:paraId="66EFCF7C">
                  <w:pPr>
                    <w:pStyle w:val="41"/>
                    <w:bidi w:val="0"/>
                    <w:rPr>
                      <w:rFonts w:hint="eastAsia"/>
                      <w:lang w:val="en-US" w:eastAsia="zh-CN"/>
                    </w:rPr>
                  </w:pPr>
                  <w:r>
                    <w:rPr>
                      <w:rFonts w:hint="eastAsia"/>
                      <w:lang w:val="en-US" w:eastAsia="zh-CN"/>
                    </w:rPr>
                    <w:t>1kg</w:t>
                  </w:r>
                </w:p>
              </w:tc>
              <w:tc>
                <w:tcPr>
                  <w:tcW w:w="521" w:type="pct"/>
                  <w:shd w:val="clear" w:color="auto" w:fill="auto"/>
                  <w:vAlign w:val="center"/>
                </w:tcPr>
                <w:p w14:paraId="1AAD233D">
                  <w:pPr>
                    <w:pStyle w:val="41"/>
                    <w:bidi w:val="0"/>
                    <w:rPr>
                      <w:rFonts w:hint="default"/>
                      <w:lang w:val="en-US" w:eastAsia="zh-CN"/>
                    </w:rPr>
                  </w:pPr>
                  <w:r>
                    <w:rPr>
                      <w:rFonts w:hint="eastAsia"/>
                      <w:lang w:val="en-US" w:eastAsia="zh-CN"/>
                    </w:rPr>
                    <w:t>液体</w:t>
                  </w:r>
                </w:p>
              </w:tc>
              <w:tc>
                <w:tcPr>
                  <w:tcW w:w="447" w:type="pct"/>
                  <w:vMerge w:val="continue"/>
                  <w:vAlign w:val="center"/>
                </w:tcPr>
                <w:p w14:paraId="3AF69539">
                  <w:pPr>
                    <w:pStyle w:val="41"/>
                    <w:bidi w:val="0"/>
                    <w:rPr>
                      <w:rFonts w:hint="eastAsia"/>
                      <w:lang w:val="en-US" w:eastAsia="zh-CN"/>
                    </w:rPr>
                  </w:pPr>
                </w:p>
              </w:tc>
            </w:tr>
            <w:tr w14:paraId="7FFCF9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2F64DF47">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7D64FEC4">
                  <w:pPr>
                    <w:pStyle w:val="41"/>
                    <w:bidi w:val="0"/>
                    <w:rPr>
                      <w:rFonts w:hint="eastAsia"/>
                      <w:lang w:val="en-US" w:eastAsia="zh-CN"/>
                    </w:rPr>
                  </w:pPr>
                  <w:r>
                    <w:rPr>
                      <w:rFonts w:hint="eastAsia"/>
                      <w:lang w:val="en-US" w:eastAsia="zh-CN"/>
                    </w:rPr>
                    <w:t>天然产物（黄酮、生物碱等）</w:t>
                  </w:r>
                </w:p>
              </w:tc>
              <w:tc>
                <w:tcPr>
                  <w:tcW w:w="669" w:type="pct"/>
                  <w:shd w:val="clear" w:color="auto" w:fill="auto"/>
                  <w:vAlign w:val="center"/>
                </w:tcPr>
                <w:p w14:paraId="10D4E363">
                  <w:pPr>
                    <w:pStyle w:val="41"/>
                    <w:bidi w:val="0"/>
                    <w:rPr>
                      <w:rFonts w:hint="default"/>
                      <w:lang w:val="en-US" w:eastAsia="zh-CN"/>
                    </w:rPr>
                  </w:pPr>
                  <w:r>
                    <w:rPr>
                      <w:rFonts w:hint="eastAsia"/>
                      <w:lang w:val="en-US" w:eastAsia="zh-CN"/>
                    </w:rPr>
                    <w:t>/</w:t>
                  </w:r>
                </w:p>
              </w:tc>
              <w:tc>
                <w:tcPr>
                  <w:tcW w:w="687" w:type="pct"/>
                  <w:shd w:val="clear" w:color="auto" w:fill="auto"/>
                  <w:vAlign w:val="center"/>
                </w:tcPr>
                <w:p w14:paraId="282F13A8">
                  <w:pPr>
                    <w:pStyle w:val="41"/>
                    <w:bidi w:val="0"/>
                    <w:rPr>
                      <w:rFonts w:hint="default"/>
                      <w:lang w:val="en-US" w:eastAsia="zh-CN"/>
                    </w:rPr>
                  </w:pPr>
                  <w:r>
                    <w:rPr>
                      <w:rFonts w:hint="eastAsia"/>
                      <w:lang w:val="en-US" w:eastAsia="zh-CN"/>
                    </w:rPr>
                    <w:t>/</w:t>
                  </w:r>
                </w:p>
              </w:tc>
              <w:tc>
                <w:tcPr>
                  <w:tcW w:w="771" w:type="pct"/>
                  <w:shd w:val="clear" w:color="auto" w:fill="auto"/>
                  <w:vAlign w:val="center"/>
                </w:tcPr>
                <w:p w14:paraId="48151197">
                  <w:pPr>
                    <w:pStyle w:val="41"/>
                    <w:bidi w:val="0"/>
                    <w:rPr>
                      <w:rFonts w:hint="default"/>
                      <w:lang w:val="en-US" w:eastAsia="zh-CN"/>
                    </w:rPr>
                  </w:pPr>
                  <w:r>
                    <w:rPr>
                      <w:rFonts w:hint="eastAsia"/>
                      <w:lang w:val="en-US" w:eastAsia="zh-CN"/>
                    </w:rPr>
                    <w:t>100kg</w:t>
                  </w:r>
                </w:p>
              </w:tc>
              <w:tc>
                <w:tcPr>
                  <w:tcW w:w="740" w:type="pct"/>
                  <w:shd w:val="clear" w:color="auto" w:fill="auto"/>
                  <w:vAlign w:val="center"/>
                </w:tcPr>
                <w:p w14:paraId="078DB9D4">
                  <w:pPr>
                    <w:pStyle w:val="41"/>
                    <w:bidi w:val="0"/>
                    <w:rPr>
                      <w:rFonts w:hint="default"/>
                      <w:lang w:val="en-US" w:eastAsia="zh-CN"/>
                    </w:rPr>
                  </w:pPr>
                  <w:r>
                    <w:rPr>
                      <w:rFonts w:hint="eastAsia"/>
                      <w:lang w:val="en-US" w:eastAsia="zh-CN"/>
                    </w:rPr>
                    <w:t>10kg</w:t>
                  </w:r>
                </w:p>
              </w:tc>
              <w:tc>
                <w:tcPr>
                  <w:tcW w:w="521" w:type="pct"/>
                  <w:shd w:val="clear" w:color="auto" w:fill="auto"/>
                  <w:vAlign w:val="center"/>
                </w:tcPr>
                <w:p w14:paraId="4A7F1A74">
                  <w:pPr>
                    <w:pStyle w:val="41"/>
                    <w:bidi w:val="0"/>
                    <w:rPr>
                      <w:rFonts w:hint="default"/>
                      <w:lang w:val="en-US" w:eastAsia="zh-CN"/>
                    </w:rPr>
                  </w:pPr>
                  <w:r>
                    <w:rPr>
                      <w:rFonts w:hint="eastAsia"/>
                      <w:lang w:val="en-US" w:eastAsia="zh-CN"/>
                    </w:rPr>
                    <w:t>固体</w:t>
                  </w:r>
                </w:p>
              </w:tc>
              <w:tc>
                <w:tcPr>
                  <w:tcW w:w="447" w:type="pct"/>
                  <w:vMerge w:val="continue"/>
                  <w:vAlign w:val="center"/>
                </w:tcPr>
                <w:p w14:paraId="4EBB8C47">
                  <w:pPr>
                    <w:pStyle w:val="41"/>
                    <w:bidi w:val="0"/>
                    <w:rPr>
                      <w:rFonts w:hint="default"/>
                      <w:lang w:val="en-US" w:eastAsia="zh-CN"/>
                    </w:rPr>
                  </w:pPr>
                </w:p>
              </w:tc>
            </w:tr>
            <w:tr w14:paraId="1E07EE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886B7E0">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4F252495">
                  <w:pPr>
                    <w:pStyle w:val="41"/>
                    <w:bidi w:val="0"/>
                    <w:rPr>
                      <w:rFonts w:hint="eastAsia"/>
                      <w:lang w:val="en-US" w:eastAsia="zh-CN"/>
                    </w:rPr>
                  </w:pPr>
                  <w:r>
                    <w:rPr>
                      <w:rFonts w:hint="eastAsia"/>
                      <w:lang w:val="en-US" w:eastAsia="zh-CN"/>
                    </w:rPr>
                    <w:t>牛膝药材</w:t>
                  </w:r>
                </w:p>
              </w:tc>
              <w:tc>
                <w:tcPr>
                  <w:tcW w:w="669" w:type="pct"/>
                  <w:shd w:val="clear" w:color="auto" w:fill="auto"/>
                  <w:vAlign w:val="center"/>
                </w:tcPr>
                <w:p w14:paraId="6DB697C6">
                  <w:pPr>
                    <w:pStyle w:val="41"/>
                    <w:bidi w:val="0"/>
                    <w:rPr>
                      <w:rFonts w:hint="default"/>
                      <w:lang w:val="en-US" w:eastAsia="zh-CN"/>
                    </w:rPr>
                  </w:pPr>
                  <w:r>
                    <w:rPr>
                      <w:rFonts w:hint="eastAsia"/>
                      <w:lang w:val="en-US" w:eastAsia="zh-CN"/>
                    </w:rPr>
                    <w:t>/</w:t>
                  </w:r>
                </w:p>
              </w:tc>
              <w:tc>
                <w:tcPr>
                  <w:tcW w:w="687" w:type="pct"/>
                  <w:shd w:val="clear" w:color="auto" w:fill="auto"/>
                  <w:vAlign w:val="center"/>
                </w:tcPr>
                <w:p w14:paraId="40B121A7">
                  <w:pPr>
                    <w:pStyle w:val="41"/>
                    <w:bidi w:val="0"/>
                    <w:rPr>
                      <w:rFonts w:hint="default"/>
                      <w:lang w:val="en-US" w:eastAsia="zh-CN"/>
                    </w:rPr>
                  </w:pPr>
                  <w:r>
                    <w:rPr>
                      <w:rFonts w:hint="eastAsia"/>
                      <w:lang w:val="en-US" w:eastAsia="zh-CN"/>
                    </w:rPr>
                    <w:t>/</w:t>
                  </w:r>
                </w:p>
              </w:tc>
              <w:tc>
                <w:tcPr>
                  <w:tcW w:w="771" w:type="pct"/>
                  <w:shd w:val="clear" w:color="auto" w:fill="auto"/>
                  <w:vAlign w:val="center"/>
                </w:tcPr>
                <w:p w14:paraId="47C1594D">
                  <w:pPr>
                    <w:pStyle w:val="41"/>
                    <w:bidi w:val="0"/>
                    <w:rPr>
                      <w:rFonts w:hint="default"/>
                      <w:lang w:val="en-US" w:eastAsia="zh-CN"/>
                    </w:rPr>
                  </w:pPr>
                  <w:r>
                    <w:rPr>
                      <w:rFonts w:hint="eastAsia"/>
                      <w:lang w:val="en-US" w:eastAsia="zh-CN"/>
                    </w:rPr>
                    <w:t>300g</w:t>
                  </w:r>
                </w:p>
              </w:tc>
              <w:tc>
                <w:tcPr>
                  <w:tcW w:w="740" w:type="pct"/>
                  <w:shd w:val="clear" w:color="auto" w:fill="auto"/>
                  <w:vAlign w:val="center"/>
                </w:tcPr>
                <w:p w14:paraId="009850E2">
                  <w:pPr>
                    <w:pStyle w:val="41"/>
                    <w:bidi w:val="0"/>
                    <w:rPr>
                      <w:rFonts w:hint="default"/>
                      <w:lang w:val="en-US" w:eastAsia="zh-CN"/>
                    </w:rPr>
                  </w:pPr>
                  <w:r>
                    <w:rPr>
                      <w:rFonts w:hint="eastAsia"/>
                      <w:lang w:val="en-US" w:eastAsia="zh-CN"/>
                    </w:rPr>
                    <w:t>20g</w:t>
                  </w:r>
                </w:p>
              </w:tc>
              <w:tc>
                <w:tcPr>
                  <w:tcW w:w="521" w:type="pct"/>
                  <w:shd w:val="clear" w:color="auto" w:fill="auto"/>
                  <w:vAlign w:val="center"/>
                </w:tcPr>
                <w:p w14:paraId="4E7C8425">
                  <w:pPr>
                    <w:pStyle w:val="41"/>
                    <w:bidi w:val="0"/>
                    <w:rPr>
                      <w:rFonts w:hint="default"/>
                      <w:lang w:val="en-US" w:eastAsia="zh-CN"/>
                    </w:rPr>
                  </w:pPr>
                  <w:r>
                    <w:rPr>
                      <w:rFonts w:hint="eastAsia"/>
                      <w:lang w:val="en-US" w:eastAsia="zh-CN"/>
                    </w:rPr>
                    <w:t>固体</w:t>
                  </w:r>
                </w:p>
              </w:tc>
              <w:tc>
                <w:tcPr>
                  <w:tcW w:w="447" w:type="pct"/>
                  <w:vMerge w:val="continue"/>
                  <w:vAlign w:val="center"/>
                </w:tcPr>
                <w:p w14:paraId="41C5C336">
                  <w:pPr>
                    <w:pStyle w:val="41"/>
                    <w:bidi w:val="0"/>
                    <w:rPr>
                      <w:rFonts w:hint="eastAsia"/>
                      <w:lang w:val="en-US" w:eastAsia="zh-CN"/>
                    </w:rPr>
                  </w:pPr>
                </w:p>
              </w:tc>
            </w:tr>
            <w:tr w14:paraId="739BEF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8F8DC39">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35B17EA5">
                  <w:pPr>
                    <w:pStyle w:val="41"/>
                    <w:bidi w:val="0"/>
                    <w:rPr>
                      <w:rFonts w:hint="default"/>
                      <w:lang w:val="en-US" w:eastAsia="zh-CN"/>
                    </w:rPr>
                  </w:pPr>
                  <w:r>
                    <w:rPr>
                      <w:rFonts w:hint="eastAsia"/>
                      <w:lang w:val="en-US" w:eastAsia="zh-CN"/>
                    </w:rPr>
                    <w:t>大黄饮片</w:t>
                  </w:r>
                </w:p>
              </w:tc>
              <w:tc>
                <w:tcPr>
                  <w:tcW w:w="669" w:type="pct"/>
                  <w:shd w:val="clear" w:color="auto" w:fill="auto"/>
                  <w:vAlign w:val="center"/>
                </w:tcPr>
                <w:p w14:paraId="6AC2854A">
                  <w:pPr>
                    <w:pStyle w:val="41"/>
                    <w:bidi w:val="0"/>
                    <w:rPr>
                      <w:rFonts w:hint="default"/>
                      <w:lang w:val="en-US" w:eastAsia="zh-CN"/>
                    </w:rPr>
                  </w:pPr>
                  <w:r>
                    <w:rPr>
                      <w:rFonts w:hint="eastAsia"/>
                      <w:lang w:val="en-US" w:eastAsia="zh-CN"/>
                    </w:rPr>
                    <w:t>/</w:t>
                  </w:r>
                </w:p>
              </w:tc>
              <w:tc>
                <w:tcPr>
                  <w:tcW w:w="687" w:type="pct"/>
                  <w:shd w:val="clear" w:color="auto" w:fill="auto"/>
                  <w:vAlign w:val="center"/>
                </w:tcPr>
                <w:p w14:paraId="120D21F4">
                  <w:pPr>
                    <w:pStyle w:val="41"/>
                    <w:bidi w:val="0"/>
                    <w:rPr>
                      <w:rFonts w:hint="default"/>
                      <w:lang w:val="en-US" w:eastAsia="zh-CN"/>
                    </w:rPr>
                  </w:pPr>
                  <w:r>
                    <w:rPr>
                      <w:rFonts w:hint="eastAsia"/>
                      <w:lang w:val="en-US" w:eastAsia="zh-CN"/>
                    </w:rPr>
                    <w:t>/</w:t>
                  </w:r>
                </w:p>
              </w:tc>
              <w:tc>
                <w:tcPr>
                  <w:tcW w:w="771" w:type="pct"/>
                  <w:shd w:val="clear" w:color="auto" w:fill="auto"/>
                  <w:vAlign w:val="center"/>
                </w:tcPr>
                <w:p w14:paraId="453C116A">
                  <w:pPr>
                    <w:pStyle w:val="41"/>
                    <w:bidi w:val="0"/>
                    <w:rPr>
                      <w:rFonts w:hint="default"/>
                      <w:lang w:val="en-US" w:eastAsia="zh-CN"/>
                    </w:rPr>
                  </w:pPr>
                  <w:r>
                    <w:rPr>
                      <w:rFonts w:hint="eastAsia"/>
                      <w:lang w:val="en-US" w:eastAsia="zh-CN"/>
                    </w:rPr>
                    <w:t>30kg</w:t>
                  </w:r>
                </w:p>
              </w:tc>
              <w:tc>
                <w:tcPr>
                  <w:tcW w:w="740" w:type="pct"/>
                  <w:shd w:val="clear" w:color="auto" w:fill="auto"/>
                  <w:vAlign w:val="center"/>
                </w:tcPr>
                <w:p w14:paraId="69683C3A">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3kg</w:t>
                  </w:r>
                </w:p>
              </w:tc>
              <w:tc>
                <w:tcPr>
                  <w:tcW w:w="521" w:type="pct"/>
                  <w:shd w:val="clear" w:color="auto" w:fill="auto"/>
                  <w:vAlign w:val="center"/>
                </w:tcPr>
                <w:p w14:paraId="1701E271">
                  <w:pPr>
                    <w:pStyle w:val="41"/>
                    <w:bidi w:val="0"/>
                    <w:rPr>
                      <w:rFonts w:hint="default"/>
                      <w:lang w:val="en-US" w:eastAsia="zh-CN"/>
                    </w:rPr>
                  </w:pPr>
                  <w:r>
                    <w:rPr>
                      <w:rFonts w:hint="eastAsia"/>
                      <w:lang w:val="en-US" w:eastAsia="zh-CN"/>
                    </w:rPr>
                    <w:t>固体</w:t>
                  </w:r>
                </w:p>
              </w:tc>
              <w:tc>
                <w:tcPr>
                  <w:tcW w:w="447" w:type="pct"/>
                  <w:vMerge w:val="continue"/>
                  <w:vAlign w:val="center"/>
                </w:tcPr>
                <w:p w14:paraId="27F860BC">
                  <w:pPr>
                    <w:pStyle w:val="41"/>
                    <w:bidi w:val="0"/>
                    <w:rPr>
                      <w:rFonts w:hint="eastAsia"/>
                      <w:lang w:val="en-US" w:eastAsia="zh-CN"/>
                    </w:rPr>
                  </w:pPr>
                </w:p>
              </w:tc>
            </w:tr>
            <w:tr w14:paraId="6F3341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0867BC8">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2C73632F">
                  <w:pPr>
                    <w:pStyle w:val="41"/>
                    <w:bidi w:val="0"/>
                    <w:rPr>
                      <w:rFonts w:hint="default"/>
                      <w:lang w:val="en-US" w:eastAsia="zh-CN"/>
                    </w:rPr>
                  </w:pPr>
                  <w:r>
                    <w:rPr>
                      <w:rFonts w:hint="eastAsia"/>
                      <w:lang w:val="en-US" w:eastAsia="zh-CN"/>
                    </w:rPr>
                    <w:t>黄柏饮片</w:t>
                  </w:r>
                </w:p>
              </w:tc>
              <w:tc>
                <w:tcPr>
                  <w:tcW w:w="669" w:type="pct"/>
                  <w:shd w:val="clear" w:color="auto" w:fill="auto"/>
                  <w:vAlign w:val="center"/>
                </w:tcPr>
                <w:p w14:paraId="7749F216">
                  <w:pPr>
                    <w:pStyle w:val="41"/>
                    <w:bidi w:val="0"/>
                    <w:rPr>
                      <w:rFonts w:hint="default"/>
                      <w:lang w:val="en-US" w:eastAsia="zh-CN"/>
                    </w:rPr>
                  </w:pPr>
                  <w:r>
                    <w:rPr>
                      <w:rFonts w:hint="eastAsia"/>
                      <w:lang w:val="en-US" w:eastAsia="zh-CN"/>
                    </w:rPr>
                    <w:t>/</w:t>
                  </w:r>
                </w:p>
              </w:tc>
              <w:tc>
                <w:tcPr>
                  <w:tcW w:w="687" w:type="pct"/>
                  <w:shd w:val="clear" w:color="auto" w:fill="auto"/>
                  <w:vAlign w:val="center"/>
                </w:tcPr>
                <w:p w14:paraId="616F3CE9">
                  <w:pPr>
                    <w:pStyle w:val="41"/>
                    <w:bidi w:val="0"/>
                    <w:rPr>
                      <w:rFonts w:hint="default"/>
                      <w:lang w:val="en-US" w:eastAsia="zh-CN"/>
                    </w:rPr>
                  </w:pPr>
                  <w:r>
                    <w:rPr>
                      <w:rFonts w:hint="eastAsia"/>
                      <w:lang w:val="en-US" w:eastAsia="zh-CN"/>
                    </w:rPr>
                    <w:t>/</w:t>
                  </w:r>
                </w:p>
              </w:tc>
              <w:tc>
                <w:tcPr>
                  <w:tcW w:w="771" w:type="pct"/>
                  <w:shd w:val="clear" w:color="auto" w:fill="auto"/>
                  <w:vAlign w:val="center"/>
                </w:tcPr>
                <w:p w14:paraId="4BBAA25C">
                  <w:pPr>
                    <w:pStyle w:val="41"/>
                    <w:bidi w:val="0"/>
                    <w:rPr>
                      <w:rFonts w:hint="default"/>
                      <w:lang w:val="en-US" w:eastAsia="zh-CN"/>
                    </w:rPr>
                  </w:pPr>
                  <w:r>
                    <w:rPr>
                      <w:rFonts w:hint="eastAsia"/>
                      <w:lang w:val="en-US" w:eastAsia="zh-CN"/>
                    </w:rPr>
                    <w:t>20kg</w:t>
                  </w:r>
                </w:p>
              </w:tc>
              <w:tc>
                <w:tcPr>
                  <w:tcW w:w="740" w:type="pct"/>
                  <w:shd w:val="clear" w:color="auto" w:fill="auto"/>
                  <w:vAlign w:val="center"/>
                </w:tcPr>
                <w:p w14:paraId="557591A7">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2kg</w:t>
                  </w:r>
                </w:p>
              </w:tc>
              <w:tc>
                <w:tcPr>
                  <w:tcW w:w="521" w:type="pct"/>
                  <w:shd w:val="clear" w:color="auto" w:fill="auto"/>
                  <w:vAlign w:val="center"/>
                </w:tcPr>
                <w:p w14:paraId="08CEBFA7">
                  <w:pPr>
                    <w:pStyle w:val="41"/>
                    <w:bidi w:val="0"/>
                    <w:rPr>
                      <w:rFonts w:hint="default"/>
                      <w:lang w:val="en-US" w:eastAsia="zh-CN"/>
                    </w:rPr>
                  </w:pPr>
                  <w:r>
                    <w:rPr>
                      <w:rFonts w:hint="eastAsia"/>
                      <w:lang w:val="en-US" w:eastAsia="zh-CN"/>
                    </w:rPr>
                    <w:t>固体</w:t>
                  </w:r>
                </w:p>
              </w:tc>
              <w:tc>
                <w:tcPr>
                  <w:tcW w:w="447" w:type="pct"/>
                  <w:vMerge w:val="continue"/>
                  <w:vAlign w:val="center"/>
                </w:tcPr>
                <w:p w14:paraId="1D7BCAC7">
                  <w:pPr>
                    <w:pStyle w:val="41"/>
                    <w:bidi w:val="0"/>
                    <w:rPr>
                      <w:rFonts w:hint="eastAsia"/>
                      <w:lang w:val="en-US" w:eastAsia="zh-CN"/>
                    </w:rPr>
                  </w:pPr>
                </w:p>
              </w:tc>
            </w:tr>
            <w:tr w14:paraId="5B8FF0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FA45AFE">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6B72F912">
                  <w:pPr>
                    <w:pStyle w:val="41"/>
                    <w:bidi w:val="0"/>
                    <w:rPr>
                      <w:rFonts w:hint="eastAsia"/>
                      <w:highlight w:val="yellow"/>
                      <w:lang w:val="en-US" w:eastAsia="zh-CN"/>
                    </w:rPr>
                  </w:pPr>
                  <w:r>
                    <w:rPr>
                      <w:rFonts w:hint="eastAsia"/>
                      <w:color w:val="FF0000"/>
                      <w:highlight w:val="yellow"/>
                      <w:lang w:val="en-US" w:eastAsia="zh-CN"/>
                    </w:rPr>
                    <w:t>乙酸乙酯</w:t>
                  </w:r>
                </w:p>
              </w:tc>
              <w:tc>
                <w:tcPr>
                  <w:tcW w:w="669" w:type="pct"/>
                  <w:shd w:val="clear" w:color="auto" w:fill="auto"/>
                  <w:vAlign w:val="center"/>
                </w:tcPr>
                <w:p w14:paraId="5C4FFC71">
                  <w:pPr>
                    <w:pStyle w:val="41"/>
                    <w:bidi w:val="0"/>
                    <w:rPr>
                      <w:rFonts w:hint="default"/>
                      <w:lang w:val="en-US" w:eastAsia="zh-CN"/>
                    </w:rPr>
                  </w:pPr>
                  <w:r>
                    <w:rPr>
                      <w:rFonts w:hint="eastAsia"/>
                      <w:lang w:val="en-US" w:eastAsia="zh-CN"/>
                    </w:rPr>
                    <w:t>99.5%</w:t>
                  </w:r>
                </w:p>
              </w:tc>
              <w:tc>
                <w:tcPr>
                  <w:tcW w:w="687" w:type="pct"/>
                  <w:shd w:val="clear" w:color="auto" w:fill="auto"/>
                  <w:vAlign w:val="center"/>
                </w:tcPr>
                <w:p w14:paraId="125C33E8">
                  <w:pPr>
                    <w:pStyle w:val="41"/>
                    <w:bidi w:val="0"/>
                    <w:rPr>
                      <w:rFonts w:hint="eastAsia"/>
                      <w:lang w:val="en-US" w:eastAsia="zh-CN"/>
                    </w:rPr>
                  </w:pPr>
                  <w:r>
                    <w:rPr>
                      <w:rFonts w:hint="eastAsia"/>
                      <w:lang w:val="en-US" w:eastAsia="zh-CN"/>
                    </w:rPr>
                    <w:t>5L/桶</w:t>
                  </w:r>
                </w:p>
              </w:tc>
              <w:tc>
                <w:tcPr>
                  <w:tcW w:w="771" w:type="pct"/>
                  <w:shd w:val="clear" w:color="auto" w:fill="auto"/>
                  <w:vAlign w:val="center"/>
                </w:tcPr>
                <w:p w14:paraId="1956781B">
                  <w:pPr>
                    <w:pStyle w:val="41"/>
                    <w:bidi w:val="0"/>
                    <w:rPr>
                      <w:rFonts w:hint="default"/>
                      <w:lang w:val="en-US" w:eastAsia="zh-CN"/>
                    </w:rPr>
                  </w:pPr>
                  <w:r>
                    <w:rPr>
                      <w:rFonts w:hint="eastAsia"/>
                      <w:lang w:val="en-US" w:eastAsia="zh-CN"/>
                    </w:rPr>
                    <w:t>300kg</w:t>
                  </w:r>
                </w:p>
              </w:tc>
              <w:tc>
                <w:tcPr>
                  <w:tcW w:w="740" w:type="pct"/>
                  <w:shd w:val="clear" w:color="auto" w:fill="auto"/>
                  <w:vAlign w:val="center"/>
                </w:tcPr>
                <w:p w14:paraId="4859FE7F">
                  <w:pPr>
                    <w:pStyle w:val="41"/>
                    <w:bidi w:val="0"/>
                    <w:rPr>
                      <w:rFonts w:hint="default"/>
                      <w:lang w:val="en-US" w:eastAsia="zh-CN"/>
                    </w:rPr>
                  </w:pPr>
                  <w:r>
                    <w:rPr>
                      <w:rFonts w:hint="eastAsia"/>
                      <w:lang w:val="en-US" w:eastAsia="zh-CN"/>
                    </w:rPr>
                    <w:t>25kg</w:t>
                  </w:r>
                </w:p>
              </w:tc>
              <w:tc>
                <w:tcPr>
                  <w:tcW w:w="521" w:type="pct"/>
                  <w:shd w:val="clear" w:color="auto" w:fill="auto"/>
                  <w:vAlign w:val="center"/>
                </w:tcPr>
                <w:p w14:paraId="28DA15C8">
                  <w:pPr>
                    <w:pStyle w:val="41"/>
                    <w:bidi w:val="0"/>
                    <w:rPr>
                      <w:rFonts w:hint="eastAsia"/>
                      <w:lang w:val="en-US" w:eastAsia="zh-CN"/>
                    </w:rPr>
                  </w:pPr>
                  <w:r>
                    <w:rPr>
                      <w:rFonts w:hint="eastAsia"/>
                      <w:lang w:val="en-US" w:eastAsia="zh-CN"/>
                    </w:rPr>
                    <w:t>液体</w:t>
                  </w:r>
                </w:p>
              </w:tc>
              <w:tc>
                <w:tcPr>
                  <w:tcW w:w="447" w:type="pct"/>
                  <w:vMerge w:val="continue"/>
                  <w:vAlign w:val="center"/>
                </w:tcPr>
                <w:p w14:paraId="12A26D51">
                  <w:pPr>
                    <w:pStyle w:val="41"/>
                    <w:bidi w:val="0"/>
                    <w:rPr>
                      <w:rFonts w:hint="default"/>
                      <w:lang w:val="en-US" w:eastAsia="zh-CN"/>
                    </w:rPr>
                  </w:pPr>
                </w:p>
              </w:tc>
            </w:tr>
            <w:tr w14:paraId="26C04B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0A31314">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31A2749E">
                  <w:pPr>
                    <w:pStyle w:val="41"/>
                    <w:bidi w:val="0"/>
                    <w:rPr>
                      <w:rFonts w:hint="eastAsia"/>
                      <w:color w:val="FF0000"/>
                      <w:highlight w:val="yellow"/>
                      <w:lang w:val="en-US" w:eastAsia="zh-CN"/>
                    </w:rPr>
                  </w:pPr>
                  <w:r>
                    <w:rPr>
                      <w:rFonts w:hint="eastAsia"/>
                      <w:color w:val="FF0000"/>
                      <w:highlight w:val="yellow"/>
                      <w:lang w:val="en-US" w:eastAsia="zh-CN"/>
                    </w:rPr>
                    <w:t>石油醚</w:t>
                  </w:r>
                </w:p>
              </w:tc>
              <w:tc>
                <w:tcPr>
                  <w:tcW w:w="669" w:type="pct"/>
                  <w:shd w:val="clear" w:color="auto" w:fill="auto"/>
                  <w:vAlign w:val="center"/>
                </w:tcPr>
                <w:p w14:paraId="292C1589">
                  <w:pPr>
                    <w:pStyle w:val="41"/>
                    <w:bidi w:val="0"/>
                    <w:rPr>
                      <w:rFonts w:hint="default"/>
                      <w:lang w:val="en-US" w:eastAsia="zh-CN"/>
                    </w:rPr>
                  </w:pPr>
                  <w:r>
                    <w:rPr>
                      <w:rFonts w:hint="eastAsia"/>
                      <w:lang w:val="en-US" w:eastAsia="zh-CN"/>
                    </w:rPr>
                    <w:t>99.5%</w:t>
                  </w:r>
                </w:p>
              </w:tc>
              <w:tc>
                <w:tcPr>
                  <w:tcW w:w="687" w:type="pct"/>
                  <w:shd w:val="clear" w:color="auto" w:fill="auto"/>
                  <w:vAlign w:val="center"/>
                </w:tcPr>
                <w:p w14:paraId="1FDEC3A0">
                  <w:pPr>
                    <w:pStyle w:val="41"/>
                    <w:bidi w:val="0"/>
                    <w:rPr>
                      <w:rFonts w:hint="eastAsia"/>
                      <w:lang w:val="en-US" w:eastAsia="zh-CN"/>
                    </w:rPr>
                  </w:pPr>
                  <w:r>
                    <w:rPr>
                      <w:rFonts w:hint="eastAsia"/>
                      <w:lang w:val="en-US" w:eastAsia="zh-CN"/>
                    </w:rPr>
                    <w:t>5L/桶</w:t>
                  </w:r>
                </w:p>
              </w:tc>
              <w:tc>
                <w:tcPr>
                  <w:tcW w:w="771" w:type="pct"/>
                  <w:shd w:val="clear" w:color="auto" w:fill="auto"/>
                  <w:vAlign w:val="center"/>
                </w:tcPr>
                <w:p w14:paraId="145C0135">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300kg</w:t>
                  </w:r>
                </w:p>
              </w:tc>
              <w:tc>
                <w:tcPr>
                  <w:tcW w:w="740" w:type="pct"/>
                  <w:shd w:val="clear" w:color="auto" w:fill="auto"/>
                  <w:vAlign w:val="center"/>
                </w:tcPr>
                <w:p w14:paraId="05E53806">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25kg</w:t>
                  </w:r>
                </w:p>
              </w:tc>
              <w:tc>
                <w:tcPr>
                  <w:tcW w:w="521" w:type="pct"/>
                  <w:shd w:val="clear" w:color="auto" w:fill="auto"/>
                  <w:vAlign w:val="center"/>
                </w:tcPr>
                <w:p w14:paraId="27D79E3F">
                  <w:pPr>
                    <w:pStyle w:val="41"/>
                    <w:bidi w:val="0"/>
                    <w:rPr>
                      <w:rFonts w:hint="eastAsia"/>
                      <w:lang w:val="en-US" w:eastAsia="zh-CN"/>
                    </w:rPr>
                  </w:pPr>
                  <w:r>
                    <w:rPr>
                      <w:rFonts w:hint="eastAsia"/>
                      <w:lang w:val="en-US" w:eastAsia="zh-CN"/>
                    </w:rPr>
                    <w:t>液体</w:t>
                  </w:r>
                </w:p>
              </w:tc>
              <w:tc>
                <w:tcPr>
                  <w:tcW w:w="447" w:type="pct"/>
                  <w:vMerge w:val="continue"/>
                </w:tcPr>
                <w:p w14:paraId="60226909">
                  <w:pPr>
                    <w:pStyle w:val="41"/>
                    <w:bidi w:val="0"/>
                    <w:rPr>
                      <w:rFonts w:hint="default"/>
                      <w:lang w:val="en-US" w:eastAsia="zh-CN"/>
                    </w:rPr>
                  </w:pPr>
                </w:p>
              </w:tc>
            </w:tr>
            <w:tr w14:paraId="2BB364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EB22249">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52CEA2D8">
                  <w:pPr>
                    <w:pStyle w:val="41"/>
                    <w:bidi w:val="0"/>
                    <w:rPr>
                      <w:rFonts w:hint="eastAsia"/>
                      <w:color w:val="FF0000"/>
                      <w:highlight w:val="yellow"/>
                      <w:lang w:val="en-US" w:eastAsia="zh-CN"/>
                    </w:rPr>
                  </w:pPr>
                  <w:r>
                    <w:rPr>
                      <w:rFonts w:hint="eastAsia"/>
                      <w:color w:val="FF0000"/>
                      <w:highlight w:val="yellow"/>
                      <w:lang w:val="en-US" w:eastAsia="zh-CN"/>
                    </w:rPr>
                    <w:t>甲醇</w:t>
                  </w:r>
                </w:p>
              </w:tc>
              <w:tc>
                <w:tcPr>
                  <w:tcW w:w="669" w:type="pct"/>
                  <w:shd w:val="clear" w:color="auto" w:fill="auto"/>
                  <w:vAlign w:val="center"/>
                </w:tcPr>
                <w:p w14:paraId="35C4539D">
                  <w:pPr>
                    <w:pStyle w:val="41"/>
                    <w:bidi w:val="0"/>
                    <w:rPr>
                      <w:rFonts w:hint="default"/>
                      <w:lang w:val="en-US" w:eastAsia="zh-CN"/>
                    </w:rPr>
                  </w:pPr>
                  <w:r>
                    <w:rPr>
                      <w:rFonts w:hint="eastAsia"/>
                      <w:lang w:val="en-US" w:eastAsia="zh-CN"/>
                    </w:rPr>
                    <w:t>99.5%</w:t>
                  </w:r>
                </w:p>
              </w:tc>
              <w:tc>
                <w:tcPr>
                  <w:tcW w:w="687" w:type="pct"/>
                  <w:shd w:val="clear" w:color="auto" w:fill="auto"/>
                  <w:vAlign w:val="center"/>
                </w:tcPr>
                <w:p w14:paraId="7036A3ED">
                  <w:pPr>
                    <w:pStyle w:val="41"/>
                    <w:bidi w:val="0"/>
                    <w:rPr>
                      <w:rFonts w:hint="eastAsia"/>
                      <w:lang w:val="en-US" w:eastAsia="zh-CN"/>
                    </w:rPr>
                  </w:pPr>
                  <w:r>
                    <w:rPr>
                      <w:rFonts w:hint="eastAsia"/>
                      <w:lang w:val="en-US" w:eastAsia="zh-CN"/>
                    </w:rPr>
                    <w:t>5L/桶</w:t>
                  </w:r>
                </w:p>
              </w:tc>
              <w:tc>
                <w:tcPr>
                  <w:tcW w:w="771" w:type="pct"/>
                  <w:shd w:val="clear" w:color="auto" w:fill="auto"/>
                  <w:vAlign w:val="center"/>
                </w:tcPr>
                <w:p w14:paraId="546370BA">
                  <w:pPr>
                    <w:pStyle w:val="41"/>
                    <w:bidi w:val="0"/>
                    <w:rPr>
                      <w:rFonts w:hint="default"/>
                      <w:lang w:val="en-US" w:eastAsia="zh-CN"/>
                    </w:rPr>
                  </w:pPr>
                  <w:r>
                    <w:rPr>
                      <w:rFonts w:hint="eastAsia"/>
                      <w:lang w:val="en-US" w:eastAsia="zh-CN"/>
                    </w:rPr>
                    <w:t>100kg</w:t>
                  </w:r>
                </w:p>
              </w:tc>
              <w:tc>
                <w:tcPr>
                  <w:tcW w:w="740" w:type="pct"/>
                  <w:shd w:val="clear" w:color="auto" w:fill="auto"/>
                  <w:vAlign w:val="center"/>
                </w:tcPr>
                <w:p w14:paraId="07041237">
                  <w:pPr>
                    <w:pStyle w:val="41"/>
                    <w:bidi w:val="0"/>
                    <w:rPr>
                      <w:rFonts w:hint="default"/>
                      <w:lang w:val="en-US" w:eastAsia="zh-CN"/>
                    </w:rPr>
                  </w:pPr>
                  <w:r>
                    <w:rPr>
                      <w:rFonts w:hint="eastAsia"/>
                      <w:lang w:val="en-US" w:eastAsia="zh-CN"/>
                    </w:rPr>
                    <w:t>10kg</w:t>
                  </w:r>
                </w:p>
              </w:tc>
              <w:tc>
                <w:tcPr>
                  <w:tcW w:w="521" w:type="pct"/>
                  <w:shd w:val="clear" w:color="auto" w:fill="auto"/>
                  <w:vAlign w:val="center"/>
                </w:tcPr>
                <w:p w14:paraId="7DDFA6C8">
                  <w:pPr>
                    <w:pStyle w:val="41"/>
                    <w:bidi w:val="0"/>
                    <w:rPr>
                      <w:rFonts w:hint="eastAsia"/>
                      <w:lang w:val="en-US" w:eastAsia="zh-CN"/>
                    </w:rPr>
                  </w:pPr>
                  <w:r>
                    <w:rPr>
                      <w:rFonts w:hint="eastAsia"/>
                      <w:lang w:val="en-US" w:eastAsia="zh-CN"/>
                    </w:rPr>
                    <w:t>液体</w:t>
                  </w:r>
                </w:p>
              </w:tc>
              <w:tc>
                <w:tcPr>
                  <w:tcW w:w="447" w:type="pct"/>
                  <w:vMerge w:val="continue"/>
                </w:tcPr>
                <w:p w14:paraId="28043603">
                  <w:pPr>
                    <w:pStyle w:val="41"/>
                    <w:bidi w:val="0"/>
                    <w:rPr>
                      <w:rFonts w:hint="default"/>
                      <w:lang w:val="en-US" w:eastAsia="zh-CN"/>
                    </w:rPr>
                  </w:pPr>
                </w:p>
              </w:tc>
            </w:tr>
            <w:tr w14:paraId="2B479C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2CCEB925">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27E7EEDC">
                  <w:pPr>
                    <w:pStyle w:val="41"/>
                    <w:bidi w:val="0"/>
                    <w:rPr>
                      <w:rFonts w:hint="eastAsia"/>
                      <w:color w:val="FF0000"/>
                      <w:lang w:val="en-US" w:eastAsia="zh-CN"/>
                    </w:rPr>
                  </w:pPr>
                  <w:r>
                    <w:rPr>
                      <w:rFonts w:hint="eastAsia"/>
                      <w:color w:val="FF0000"/>
                      <w:lang w:val="en-US" w:eastAsia="zh-CN"/>
                    </w:rPr>
                    <w:t>无水乙醇</w:t>
                  </w:r>
                </w:p>
              </w:tc>
              <w:tc>
                <w:tcPr>
                  <w:tcW w:w="669" w:type="pct"/>
                  <w:shd w:val="clear" w:color="auto" w:fill="auto"/>
                  <w:vAlign w:val="center"/>
                </w:tcPr>
                <w:p w14:paraId="5C063DCF">
                  <w:pPr>
                    <w:pStyle w:val="41"/>
                    <w:bidi w:val="0"/>
                    <w:rPr>
                      <w:rFonts w:hint="default"/>
                      <w:lang w:val="en-US" w:eastAsia="zh-CN"/>
                    </w:rPr>
                  </w:pPr>
                  <w:r>
                    <w:rPr>
                      <w:rFonts w:hint="eastAsia"/>
                      <w:lang w:val="en-US" w:eastAsia="zh-CN"/>
                    </w:rPr>
                    <w:t>99.5%</w:t>
                  </w:r>
                </w:p>
              </w:tc>
              <w:tc>
                <w:tcPr>
                  <w:tcW w:w="687" w:type="pct"/>
                  <w:shd w:val="clear" w:color="auto" w:fill="auto"/>
                  <w:vAlign w:val="center"/>
                </w:tcPr>
                <w:p w14:paraId="068A51C9">
                  <w:pPr>
                    <w:pStyle w:val="41"/>
                    <w:bidi w:val="0"/>
                    <w:rPr>
                      <w:rFonts w:hint="eastAsia"/>
                      <w:lang w:val="en-US" w:eastAsia="zh-CN"/>
                    </w:rPr>
                  </w:pPr>
                  <w:r>
                    <w:rPr>
                      <w:rFonts w:hint="eastAsia"/>
                      <w:lang w:val="en-US" w:eastAsia="zh-CN"/>
                    </w:rPr>
                    <w:t>5L/桶</w:t>
                  </w:r>
                </w:p>
              </w:tc>
              <w:tc>
                <w:tcPr>
                  <w:tcW w:w="771" w:type="pct"/>
                  <w:shd w:val="clear" w:color="auto" w:fill="auto"/>
                  <w:vAlign w:val="center"/>
                </w:tcPr>
                <w:p w14:paraId="365F5FBA">
                  <w:pPr>
                    <w:pStyle w:val="41"/>
                    <w:bidi w:val="0"/>
                    <w:rPr>
                      <w:rFonts w:hint="default"/>
                      <w:lang w:val="en-US" w:eastAsia="zh-CN"/>
                    </w:rPr>
                  </w:pPr>
                  <w:r>
                    <w:rPr>
                      <w:rFonts w:hint="eastAsia"/>
                      <w:lang w:val="en-US" w:eastAsia="zh-CN"/>
                    </w:rPr>
                    <w:t>150kg</w:t>
                  </w:r>
                </w:p>
              </w:tc>
              <w:tc>
                <w:tcPr>
                  <w:tcW w:w="740" w:type="pct"/>
                  <w:shd w:val="clear" w:color="auto" w:fill="auto"/>
                  <w:vAlign w:val="center"/>
                </w:tcPr>
                <w:p w14:paraId="7596438A">
                  <w:pPr>
                    <w:pStyle w:val="41"/>
                    <w:bidi w:val="0"/>
                    <w:rPr>
                      <w:rFonts w:hint="default"/>
                      <w:lang w:val="en-US" w:eastAsia="zh-CN"/>
                    </w:rPr>
                  </w:pPr>
                  <w:r>
                    <w:rPr>
                      <w:rFonts w:hint="eastAsia"/>
                      <w:lang w:val="en-US" w:eastAsia="zh-CN"/>
                    </w:rPr>
                    <w:t>15kg</w:t>
                  </w:r>
                </w:p>
              </w:tc>
              <w:tc>
                <w:tcPr>
                  <w:tcW w:w="521" w:type="pct"/>
                  <w:shd w:val="clear" w:color="auto" w:fill="auto"/>
                  <w:vAlign w:val="center"/>
                </w:tcPr>
                <w:p w14:paraId="00963716">
                  <w:pPr>
                    <w:pStyle w:val="41"/>
                    <w:bidi w:val="0"/>
                    <w:rPr>
                      <w:rFonts w:hint="eastAsia"/>
                      <w:lang w:val="en-US" w:eastAsia="zh-CN"/>
                    </w:rPr>
                  </w:pPr>
                  <w:r>
                    <w:rPr>
                      <w:rFonts w:hint="eastAsia"/>
                      <w:lang w:val="en-US" w:eastAsia="zh-CN"/>
                    </w:rPr>
                    <w:t>液体</w:t>
                  </w:r>
                </w:p>
              </w:tc>
              <w:tc>
                <w:tcPr>
                  <w:tcW w:w="447" w:type="pct"/>
                  <w:vMerge w:val="continue"/>
                </w:tcPr>
                <w:p w14:paraId="0ECDE15B">
                  <w:pPr>
                    <w:pStyle w:val="41"/>
                    <w:bidi w:val="0"/>
                    <w:rPr>
                      <w:rFonts w:hint="default"/>
                      <w:lang w:val="en-US" w:eastAsia="zh-CN"/>
                    </w:rPr>
                  </w:pPr>
                </w:p>
              </w:tc>
            </w:tr>
            <w:tr w14:paraId="1E2866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2C363D7">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31BD4164">
                  <w:pPr>
                    <w:pStyle w:val="41"/>
                    <w:bidi w:val="0"/>
                    <w:rPr>
                      <w:rFonts w:hint="eastAsia"/>
                      <w:lang w:val="en-US" w:eastAsia="zh-CN"/>
                    </w:rPr>
                  </w:pPr>
                  <w:r>
                    <w:rPr>
                      <w:rFonts w:hint="eastAsia"/>
                      <w:color w:val="FF0000"/>
                      <w:highlight w:val="yellow"/>
                      <w:lang w:val="en-US" w:eastAsia="zh-CN"/>
                    </w:rPr>
                    <w:t>二氯甲烷</w:t>
                  </w:r>
                </w:p>
              </w:tc>
              <w:tc>
                <w:tcPr>
                  <w:tcW w:w="669" w:type="pct"/>
                  <w:shd w:val="clear" w:color="auto" w:fill="auto"/>
                  <w:vAlign w:val="center"/>
                </w:tcPr>
                <w:p w14:paraId="7756FE08">
                  <w:pPr>
                    <w:pStyle w:val="41"/>
                    <w:bidi w:val="0"/>
                    <w:rPr>
                      <w:rFonts w:hint="eastAsia"/>
                      <w:lang w:val="en-US" w:eastAsia="zh-CN"/>
                    </w:rPr>
                  </w:pPr>
                  <w:r>
                    <w:rPr>
                      <w:rFonts w:hint="eastAsia"/>
                      <w:lang w:val="en-US" w:eastAsia="zh-CN"/>
                    </w:rPr>
                    <w:t>99.5%</w:t>
                  </w:r>
                </w:p>
              </w:tc>
              <w:tc>
                <w:tcPr>
                  <w:tcW w:w="687" w:type="pct"/>
                  <w:shd w:val="clear" w:color="auto" w:fill="auto"/>
                  <w:vAlign w:val="center"/>
                </w:tcPr>
                <w:p w14:paraId="19D25D8E">
                  <w:pPr>
                    <w:pStyle w:val="41"/>
                    <w:bidi w:val="0"/>
                    <w:rPr>
                      <w:rFonts w:hint="eastAsia"/>
                      <w:lang w:val="en-US" w:eastAsia="zh-CN"/>
                    </w:rPr>
                  </w:pPr>
                  <w:r>
                    <w:rPr>
                      <w:rFonts w:hint="eastAsia"/>
                      <w:lang w:val="en-US" w:eastAsia="zh-CN"/>
                    </w:rPr>
                    <w:t>5L/桶</w:t>
                  </w:r>
                </w:p>
              </w:tc>
              <w:tc>
                <w:tcPr>
                  <w:tcW w:w="771" w:type="pct"/>
                  <w:shd w:val="clear" w:color="auto" w:fill="auto"/>
                  <w:vAlign w:val="center"/>
                </w:tcPr>
                <w:p w14:paraId="30177CB0">
                  <w:pPr>
                    <w:pStyle w:val="41"/>
                    <w:bidi w:val="0"/>
                    <w:rPr>
                      <w:rFonts w:hint="default"/>
                      <w:lang w:val="en-US" w:eastAsia="zh-CN"/>
                    </w:rPr>
                  </w:pPr>
                  <w:r>
                    <w:rPr>
                      <w:rFonts w:hint="eastAsia"/>
                      <w:lang w:val="en-US" w:eastAsia="zh-CN"/>
                    </w:rPr>
                    <w:t>300kg</w:t>
                  </w:r>
                </w:p>
              </w:tc>
              <w:tc>
                <w:tcPr>
                  <w:tcW w:w="740" w:type="pct"/>
                  <w:shd w:val="clear" w:color="auto" w:fill="auto"/>
                  <w:vAlign w:val="center"/>
                </w:tcPr>
                <w:p w14:paraId="62A0F39A">
                  <w:pPr>
                    <w:pStyle w:val="41"/>
                    <w:bidi w:val="0"/>
                    <w:rPr>
                      <w:rFonts w:hint="default"/>
                      <w:lang w:val="en-US" w:eastAsia="zh-CN"/>
                    </w:rPr>
                  </w:pPr>
                  <w:r>
                    <w:rPr>
                      <w:rFonts w:hint="eastAsia"/>
                      <w:lang w:val="en-US" w:eastAsia="zh-CN"/>
                    </w:rPr>
                    <w:t>25kg</w:t>
                  </w:r>
                </w:p>
              </w:tc>
              <w:tc>
                <w:tcPr>
                  <w:tcW w:w="521" w:type="pct"/>
                  <w:shd w:val="clear" w:color="auto" w:fill="auto"/>
                  <w:vAlign w:val="center"/>
                </w:tcPr>
                <w:p w14:paraId="49AA71F2">
                  <w:pPr>
                    <w:pStyle w:val="41"/>
                    <w:bidi w:val="0"/>
                    <w:rPr>
                      <w:rFonts w:hint="eastAsia"/>
                      <w:lang w:val="en-US" w:eastAsia="zh-CN"/>
                    </w:rPr>
                  </w:pPr>
                  <w:r>
                    <w:rPr>
                      <w:rFonts w:hint="eastAsia"/>
                      <w:lang w:val="en-US" w:eastAsia="zh-CN"/>
                    </w:rPr>
                    <w:t>液体</w:t>
                  </w:r>
                </w:p>
              </w:tc>
              <w:tc>
                <w:tcPr>
                  <w:tcW w:w="447" w:type="pct"/>
                  <w:vMerge w:val="continue"/>
                </w:tcPr>
                <w:p w14:paraId="01A83E20">
                  <w:pPr>
                    <w:pStyle w:val="41"/>
                    <w:bidi w:val="0"/>
                    <w:rPr>
                      <w:rFonts w:hint="default"/>
                      <w:lang w:val="en-US" w:eastAsia="zh-CN"/>
                    </w:rPr>
                  </w:pPr>
                </w:p>
              </w:tc>
            </w:tr>
            <w:tr w14:paraId="42D137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33BF56B5">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35A2006A">
                  <w:pPr>
                    <w:pStyle w:val="41"/>
                    <w:bidi w:val="0"/>
                    <w:rPr>
                      <w:rFonts w:hint="eastAsia"/>
                      <w:lang w:val="en-US" w:eastAsia="zh-CN"/>
                    </w:rPr>
                  </w:pPr>
                  <w:r>
                    <w:rPr>
                      <w:rFonts w:hint="eastAsia"/>
                      <w:color w:val="FF0000"/>
                      <w:lang w:val="en-US" w:eastAsia="zh-CN"/>
                    </w:rPr>
                    <w:t>四氢呋喃</w:t>
                  </w:r>
                </w:p>
              </w:tc>
              <w:tc>
                <w:tcPr>
                  <w:tcW w:w="669" w:type="pct"/>
                  <w:shd w:val="clear" w:color="auto" w:fill="auto"/>
                  <w:vAlign w:val="center"/>
                </w:tcPr>
                <w:p w14:paraId="4E320523">
                  <w:pPr>
                    <w:pStyle w:val="41"/>
                    <w:bidi w:val="0"/>
                    <w:rPr>
                      <w:rFonts w:hint="eastAsia"/>
                      <w:lang w:val="en-US" w:eastAsia="zh-CN"/>
                    </w:rPr>
                  </w:pPr>
                  <w:r>
                    <w:rPr>
                      <w:rFonts w:hint="eastAsia"/>
                      <w:lang w:val="en-US" w:eastAsia="zh-CN"/>
                    </w:rPr>
                    <w:t>99.5%</w:t>
                  </w:r>
                </w:p>
              </w:tc>
              <w:tc>
                <w:tcPr>
                  <w:tcW w:w="687" w:type="pct"/>
                  <w:shd w:val="clear" w:color="auto" w:fill="auto"/>
                  <w:vAlign w:val="center"/>
                </w:tcPr>
                <w:p w14:paraId="1311C3FB">
                  <w:pPr>
                    <w:pStyle w:val="41"/>
                    <w:bidi w:val="0"/>
                    <w:rPr>
                      <w:rFonts w:hint="eastAsia"/>
                      <w:lang w:val="en-US" w:eastAsia="zh-CN"/>
                    </w:rPr>
                  </w:pPr>
                  <w:r>
                    <w:rPr>
                      <w:rFonts w:hint="eastAsia"/>
                      <w:lang w:val="en-US" w:eastAsia="zh-CN"/>
                    </w:rPr>
                    <w:t>500mL/瓶</w:t>
                  </w:r>
                </w:p>
              </w:tc>
              <w:tc>
                <w:tcPr>
                  <w:tcW w:w="771" w:type="pct"/>
                  <w:shd w:val="clear" w:color="auto" w:fill="auto"/>
                  <w:vAlign w:val="center"/>
                </w:tcPr>
                <w:p w14:paraId="279C1479">
                  <w:pPr>
                    <w:pStyle w:val="41"/>
                    <w:bidi w:val="0"/>
                    <w:rPr>
                      <w:rFonts w:hint="default"/>
                      <w:lang w:val="en-US" w:eastAsia="zh-CN"/>
                    </w:rPr>
                  </w:pPr>
                  <w:r>
                    <w:rPr>
                      <w:rFonts w:hint="eastAsia"/>
                      <w:lang w:val="en-US" w:eastAsia="zh-CN"/>
                    </w:rPr>
                    <w:t>25kg</w:t>
                  </w:r>
                </w:p>
              </w:tc>
              <w:tc>
                <w:tcPr>
                  <w:tcW w:w="740" w:type="pct"/>
                  <w:shd w:val="clear" w:color="auto" w:fill="auto"/>
                  <w:vAlign w:val="center"/>
                </w:tcPr>
                <w:p w14:paraId="68AB038C">
                  <w:pPr>
                    <w:pStyle w:val="41"/>
                    <w:bidi w:val="0"/>
                    <w:rPr>
                      <w:rFonts w:hint="default"/>
                      <w:lang w:val="en-US" w:eastAsia="zh-CN"/>
                    </w:rPr>
                  </w:pPr>
                  <w:r>
                    <w:rPr>
                      <w:rFonts w:hint="eastAsia"/>
                      <w:lang w:val="en-US" w:eastAsia="zh-CN"/>
                    </w:rPr>
                    <w:t>5kg</w:t>
                  </w:r>
                </w:p>
              </w:tc>
              <w:tc>
                <w:tcPr>
                  <w:tcW w:w="521" w:type="pct"/>
                  <w:shd w:val="clear" w:color="auto" w:fill="auto"/>
                  <w:vAlign w:val="center"/>
                </w:tcPr>
                <w:p w14:paraId="22D87DBA">
                  <w:pPr>
                    <w:pStyle w:val="41"/>
                    <w:bidi w:val="0"/>
                    <w:rPr>
                      <w:rFonts w:hint="eastAsia"/>
                      <w:lang w:val="en-US" w:eastAsia="zh-CN"/>
                    </w:rPr>
                  </w:pPr>
                  <w:r>
                    <w:rPr>
                      <w:rFonts w:hint="eastAsia"/>
                      <w:lang w:val="en-US" w:eastAsia="zh-CN"/>
                    </w:rPr>
                    <w:t>液体</w:t>
                  </w:r>
                </w:p>
              </w:tc>
              <w:tc>
                <w:tcPr>
                  <w:tcW w:w="447" w:type="pct"/>
                  <w:vMerge w:val="continue"/>
                </w:tcPr>
                <w:p w14:paraId="085123E5">
                  <w:pPr>
                    <w:pStyle w:val="41"/>
                    <w:bidi w:val="0"/>
                    <w:rPr>
                      <w:rFonts w:hint="default"/>
                      <w:lang w:val="en-US" w:eastAsia="zh-CN"/>
                    </w:rPr>
                  </w:pPr>
                </w:p>
              </w:tc>
            </w:tr>
            <w:tr w14:paraId="0969B0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E289379">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0A5CBA47">
                  <w:pPr>
                    <w:pStyle w:val="41"/>
                    <w:bidi w:val="0"/>
                    <w:rPr>
                      <w:rFonts w:hint="eastAsia"/>
                      <w:lang w:val="en-US" w:eastAsia="zh-CN"/>
                    </w:rPr>
                  </w:pPr>
                  <w:r>
                    <w:rPr>
                      <w:rFonts w:hint="eastAsia"/>
                      <w:color w:val="FF0000"/>
                      <w:lang w:val="en-US" w:eastAsia="zh-CN"/>
                    </w:rPr>
                    <w:t>1,4-二氧六环</w:t>
                  </w:r>
                </w:p>
              </w:tc>
              <w:tc>
                <w:tcPr>
                  <w:tcW w:w="669" w:type="pct"/>
                  <w:shd w:val="clear" w:color="auto" w:fill="auto"/>
                  <w:vAlign w:val="center"/>
                </w:tcPr>
                <w:p w14:paraId="0EE7D91F">
                  <w:pPr>
                    <w:pStyle w:val="41"/>
                    <w:bidi w:val="0"/>
                    <w:rPr>
                      <w:rFonts w:hint="eastAsia"/>
                      <w:lang w:val="en-US" w:eastAsia="zh-CN"/>
                    </w:rPr>
                  </w:pPr>
                  <w:r>
                    <w:rPr>
                      <w:rFonts w:hint="eastAsia"/>
                      <w:lang w:val="en-US" w:eastAsia="zh-CN"/>
                    </w:rPr>
                    <w:t>99.5%</w:t>
                  </w:r>
                </w:p>
              </w:tc>
              <w:tc>
                <w:tcPr>
                  <w:tcW w:w="687" w:type="pct"/>
                  <w:shd w:val="clear" w:color="auto" w:fill="auto"/>
                  <w:vAlign w:val="center"/>
                </w:tcPr>
                <w:p w14:paraId="73C32540">
                  <w:pPr>
                    <w:pStyle w:val="41"/>
                    <w:bidi w:val="0"/>
                    <w:rPr>
                      <w:rFonts w:hint="eastAsia"/>
                      <w:lang w:val="en-US" w:eastAsia="zh-CN"/>
                    </w:rPr>
                  </w:pPr>
                  <w:r>
                    <w:rPr>
                      <w:rFonts w:hint="eastAsia"/>
                      <w:lang w:val="en-US" w:eastAsia="zh-CN"/>
                    </w:rPr>
                    <w:t>500mL/瓶</w:t>
                  </w:r>
                </w:p>
              </w:tc>
              <w:tc>
                <w:tcPr>
                  <w:tcW w:w="771" w:type="pct"/>
                  <w:shd w:val="clear" w:color="auto" w:fill="auto"/>
                  <w:vAlign w:val="center"/>
                </w:tcPr>
                <w:p w14:paraId="0F409DE6">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25kg</w:t>
                  </w:r>
                </w:p>
              </w:tc>
              <w:tc>
                <w:tcPr>
                  <w:tcW w:w="740" w:type="pct"/>
                  <w:shd w:val="clear" w:color="auto" w:fill="auto"/>
                  <w:vAlign w:val="center"/>
                </w:tcPr>
                <w:p w14:paraId="6A8EA6E9">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5kg</w:t>
                  </w:r>
                </w:p>
              </w:tc>
              <w:tc>
                <w:tcPr>
                  <w:tcW w:w="521" w:type="pct"/>
                  <w:shd w:val="clear" w:color="auto" w:fill="auto"/>
                  <w:vAlign w:val="center"/>
                </w:tcPr>
                <w:p w14:paraId="3A774270">
                  <w:pPr>
                    <w:pStyle w:val="41"/>
                    <w:bidi w:val="0"/>
                    <w:rPr>
                      <w:rFonts w:hint="eastAsia"/>
                      <w:lang w:val="en-US" w:eastAsia="zh-CN"/>
                    </w:rPr>
                  </w:pPr>
                  <w:r>
                    <w:rPr>
                      <w:rFonts w:hint="eastAsia"/>
                      <w:lang w:val="en-US" w:eastAsia="zh-CN"/>
                    </w:rPr>
                    <w:t>液体</w:t>
                  </w:r>
                </w:p>
              </w:tc>
              <w:tc>
                <w:tcPr>
                  <w:tcW w:w="447" w:type="pct"/>
                  <w:vMerge w:val="continue"/>
                </w:tcPr>
                <w:p w14:paraId="70B56AC7">
                  <w:pPr>
                    <w:pStyle w:val="41"/>
                    <w:bidi w:val="0"/>
                    <w:rPr>
                      <w:rFonts w:hint="default"/>
                      <w:lang w:val="en-US" w:eastAsia="zh-CN"/>
                    </w:rPr>
                  </w:pPr>
                </w:p>
              </w:tc>
            </w:tr>
            <w:tr w14:paraId="1A3C09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310C176D">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5B5AD290">
                  <w:pPr>
                    <w:pStyle w:val="41"/>
                    <w:bidi w:val="0"/>
                    <w:rPr>
                      <w:rFonts w:hint="eastAsia"/>
                      <w:lang w:val="en-US" w:eastAsia="zh-CN"/>
                    </w:rPr>
                  </w:pPr>
                  <w:r>
                    <w:rPr>
                      <w:rFonts w:hint="eastAsia"/>
                      <w:color w:val="FF0000"/>
                      <w:highlight w:val="yellow"/>
                      <w:lang w:val="en-US" w:eastAsia="zh-CN"/>
                    </w:rPr>
                    <w:t>N,N-二甲基甲酰胺</w:t>
                  </w:r>
                </w:p>
              </w:tc>
              <w:tc>
                <w:tcPr>
                  <w:tcW w:w="669" w:type="pct"/>
                  <w:shd w:val="clear" w:color="auto" w:fill="auto"/>
                  <w:vAlign w:val="center"/>
                </w:tcPr>
                <w:p w14:paraId="2FF1C279">
                  <w:pPr>
                    <w:pStyle w:val="41"/>
                    <w:bidi w:val="0"/>
                    <w:rPr>
                      <w:rFonts w:hint="eastAsia"/>
                      <w:lang w:val="en-US" w:eastAsia="zh-CN"/>
                    </w:rPr>
                  </w:pPr>
                  <w:r>
                    <w:rPr>
                      <w:rFonts w:hint="eastAsia"/>
                      <w:lang w:val="en-US" w:eastAsia="zh-CN"/>
                    </w:rPr>
                    <w:t>99.5%</w:t>
                  </w:r>
                </w:p>
              </w:tc>
              <w:tc>
                <w:tcPr>
                  <w:tcW w:w="687" w:type="pct"/>
                  <w:shd w:val="clear" w:color="auto" w:fill="auto"/>
                  <w:vAlign w:val="center"/>
                </w:tcPr>
                <w:p w14:paraId="0901F5AF">
                  <w:pPr>
                    <w:pStyle w:val="41"/>
                    <w:bidi w:val="0"/>
                    <w:rPr>
                      <w:rFonts w:hint="eastAsia"/>
                      <w:lang w:val="en-US" w:eastAsia="zh-CN"/>
                    </w:rPr>
                  </w:pPr>
                  <w:r>
                    <w:rPr>
                      <w:rFonts w:hint="eastAsia"/>
                      <w:lang w:val="en-US" w:eastAsia="zh-CN"/>
                    </w:rPr>
                    <w:t>500mL/瓶</w:t>
                  </w:r>
                </w:p>
              </w:tc>
              <w:tc>
                <w:tcPr>
                  <w:tcW w:w="771" w:type="pct"/>
                  <w:shd w:val="clear" w:color="auto" w:fill="auto"/>
                  <w:vAlign w:val="center"/>
                </w:tcPr>
                <w:p w14:paraId="30995A7C">
                  <w:pPr>
                    <w:pStyle w:val="41"/>
                    <w:bidi w:val="0"/>
                    <w:rPr>
                      <w:rFonts w:hint="default"/>
                      <w:lang w:val="en-US" w:eastAsia="zh-CN"/>
                    </w:rPr>
                  </w:pPr>
                  <w:r>
                    <w:rPr>
                      <w:rFonts w:hint="eastAsia"/>
                      <w:lang w:val="en-US" w:eastAsia="zh-CN"/>
                    </w:rPr>
                    <w:t>15kg</w:t>
                  </w:r>
                </w:p>
              </w:tc>
              <w:tc>
                <w:tcPr>
                  <w:tcW w:w="740" w:type="pct"/>
                  <w:shd w:val="clear" w:color="auto" w:fill="auto"/>
                  <w:vAlign w:val="center"/>
                </w:tcPr>
                <w:p w14:paraId="43CADA51">
                  <w:pPr>
                    <w:pStyle w:val="41"/>
                    <w:bidi w:val="0"/>
                    <w:rPr>
                      <w:rFonts w:hint="default"/>
                      <w:lang w:val="en-US" w:eastAsia="zh-CN"/>
                    </w:rPr>
                  </w:pPr>
                  <w:r>
                    <w:rPr>
                      <w:rFonts w:hint="eastAsia"/>
                      <w:lang w:val="en-US" w:eastAsia="zh-CN"/>
                    </w:rPr>
                    <w:t>5kg</w:t>
                  </w:r>
                </w:p>
              </w:tc>
              <w:tc>
                <w:tcPr>
                  <w:tcW w:w="521" w:type="pct"/>
                  <w:shd w:val="clear" w:color="auto" w:fill="auto"/>
                  <w:vAlign w:val="center"/>
                </w:tcPr>
                <w:p w14:paraId="64387872">
                  <w:pPr>
                    <w:pStyle w:val="41"/>
                    <w:bidi w:val="0"/>
                    <w:rPr>
                      <w:rFonts w:hint="eastAsia"/>
                      <w:lang w:val="en-US" w:eastAsia="zh-CN"/>
                    </w:rPr>
                  </w:pPr>
                  <w:r>
                    <w:rPr>
                      <w:rFonts w:hint="eastAsia"/>
                      <w:lang w:val="en-US" w:eastAsia="zh-CN"/>
                    </w:rPr>
                    <w:t>液体</w:t>
                  </w:r>
                </w:p>
              </w:tc>
              <w:tc>
                <w:tcPr>
                  <w:tcW w:w="447" w:type="pct"/>
                  <w:vMerge w:val="continue"/>
                </w:tcPr>
                <w:p w14:paraId="003A521D">
                  <w:pPr>
                    <w:pStyle w:val="41"/>
                    <w:bidi w:val="0"/>
                    <w:rPr>
                      <w:rFonts w:hint="default"/>
                      <w:lang w:val="en-US" w:eastAsia="zh-CN"/>
                    </w:rPr>
                  </w:pPr>
                </w:p>
              </w:tc>
            </w:tr>
            <w:tr w14:paraId="2CD8F9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99CD8FE">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42B42950">
                  <w:pPr>
                    <w:pStyle w:val="41"/>
                    <w:bidi w:val="0"/>
                    <w:rPr>
                      <w:rFonts w:hint="eastAsia"/>
                      <w:lang w:val="en-US" w:eastAsia="zh-CN"/>
                    </w:rPr>
                  </w:pPr>
                  <w:r>
                    <w:rPr>
                      <w:rFonts w:hint="eastAsia"/>
                      <w:color w:val="FF0000"/>
                      <w:lang w:val="en-US" w:eastAsia="zh-CN"/>
                    </w:rPr>
                    <w:t>二甲基亚砜</w:t>
                  </w:r>
                </w:p>
              </w:tc>
              <w:tc>
                <w:tcPr>
                  <w:tcW w:w="669" w:type="pct"/>
                  <w:shd w:val="clear" w:color="auto" w:fill="auto"/>
                  <w:vAlign w:val="center"/>
                </w:tcPr>
                <w:p w14:paraId="4A0A4351">
                  <w:pPr>
                    <w:pStyle w:val="41"/>
                    <w:bidi w:val="0"/>
                    <w:rPr>
                      <w:rFonts w:hint="eastAsia"/>
                      <w:lang w:val="en-US" w:eastAsia="zh-CN"/>
                    </w:rPr>
                  </w:pPr>
                  <w:r>
                    <w:rPr>
                      <w:rFonts w:hint="eastAsia"/>
                      <w:lang w:val="en-US" w:eastAsia="zh-CN"/>
                    </w:rPr>
                    <w:t>99.5%</w:t>
                  </w:r>
                </w:p>
              </w:tc>
              <w:tc>
                <w:tcPr>
                  <w:tcW w:w="687" w:type="pct"/>
                  <w:shd w:val="clear" w:color="auto" w:fill="auto"/>
                  <w:vAlign w:val="center"/>
                </w:tcPr>
                <w:p w14:paraId="71BB1843">
                  <w:pPr>
                    <w:pStyle w:val="41"/>
                    <w:bidi w:val="0"/>
                    <w:rPr>
                      <w:rFonts w:hint="eastAsia"/>
                      <w:lang w:val="en-US" w:eastAsia="zh-CN"/>
                    </w:rPr>
                  </w:pPr>
                  <w:r>
                    <w:rPr>
                      <w:rFonts w:hint="eastAsia"/>
                      <w:lang w:val="en-US" w:eastAsia="zh-CN"/>
                    </w:rPr>
                    <w:t>500mL/瓶</w:t>
                  </w:r>
                </w:p>
              </w:tc>
              <w:tc>
                <w:tcPr>
                  <w:tcW w:w="771" w:type="pct"/>
                  <w:shd w:val="clear" w:color="auto" w:fill="auto"/>
                  <w:vAlign w:val="center"/>
                </w:tcPr>
                <w:p w14:paraId="4F328090">
                  <w:pPr>
                    <w:pStyle w:val="41"/>
                    <w:bidi w:val="0"/>
                    <w:rPr>
                      <w:rFonts w:hint="default"/>
                      <w:lang w:val="en-US" w:eastAsia="zh-CN"/>
                    </w:rPr>
                  </w:pPr>
                  <w:r>
                    <w:rPr>
                      <w:rFonts w:hint="eastAsia"/>
                      <w:lang w:val="en-US" w:eastAsia="zh-CN"/>
                    </w:rPr>
                    <w:t>5kg</w:t>
                  </w:r>
                </w:p>
              </w:tc>
              <w:tc>
                <w:tcPr>
                  <w:tcW w:w="740" w:type="pct"/>
                  <w:shd w:val="clear" w:color="auto" w:fill="auto"/>
                  <w:vAlign w:val="center"/>
                </w:tcPr>
                <w:p w14:paraId="69CEE8E4">
                  <w:pPr>
                    <w:pStyle w:val="41"/>
                    <w:bidi w:val="0"/>
                    <w:rPr>
                      <w:rFonts w:hint="default"/>
                      <w:lang w:val="en-US" w:eastAsia="zh-CN"/>
                    </w:rPr>
                  </w:pPr>
                  <w:r>
                    <w:rPr>
                      <w:rFonts w:hint="eastAsia"/>
                      <w:lang w:val="en-US" w:eastAsia="zh-CN"/>
                    </w:rPr>
                    <w:t>5kg</w:t>
                  </w:r>
                </w:p>
              </w:tc>
              <w:tc>
                <w:tcPr>
                  <w:tcW w:w="521" w:type="pct"/>
                  <w:shd w:val="clear" w:color="auto" w:fill="auto"/>
                  <w:vAlign w:val="center"/>
                </w:tcPr>
                <w:p w14:paraId="395E5F9A">
                  <w:pPr>
                    <w:pStyle w:val="41"/>
                    <w:bidi w:val="0"/>
                    <w:rPr>
                      <w:rFonts w:hint="eastAsia"/>
                      <w:lang w:val="en-US" w:eastAsia="zh-CN"/>
                    </w:rPr>
                  </w:pPr>
                  <w:r>
                    <w:rPr>
                      <w:rFonts w:hint="eastAsia"/>
                      <w:lang w:val="en-US" w:eastAsia="zh-CN"/>
                    </w:rPr>
                    <w:t>液体</w:t>
                  </w:r>
                </w:p>
              </w:tc>
              <w:tc>
                <w:tcPr>
                  <w:tcW w:w="447" w:type="pct"/>
                  <w:vMerge w:val="continue"/>
                </w:tcPr>
                <w:p w14:paraId="67B25B33">
                  <w:pPr>
                    <w:pStyle w:val="41"/>
                    <w:bidi w:val="0"/>
                    <w:rPr>
                      <w:rFonts w:hint="default"/>
                      <w:lang w:val="en-US" w:eastAsia="zh-CN"/>
                    </w:rPr>
                  </w:pPr>
                </w:p>
              </w:tc>
            </w:tr>
            <w:tr w14:paraId="62FCC1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9C1474A">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6B9318CC">
                  <w:pPr>
                    <w:pStyle w:val="41"/>
                    <w:bidi w:val="0"/>
                    <w:rPr>
                      <w:rFonts w:hint="eastAsia"/>
                      <w:lang w:val="en-US" w:eastAsia="zh-CN"/>
                    </w:rPr>
                  </w:pPr>
                  <w:r>
                    <w:rPr>
                      <w:rFonts w:hint="eastAsia"/>
                      <w:lang w:val="en-US" w:eastAsia="zh-CN"/>
                    </w:rPr>
                    <w:t>碳酸钠</w:t>
                  </w:r>
                </w:p>
              </w:tc>
              <w:tc>
                <w:tcPr>
                  <w:tcW w:w="669" w:type="pct"/>
                  <w:shd w:val="clear" w:color="auto" w:fill="auto"/>
                  <w:vAlign w:val="center"/>
                </w:tcPr>
                <w:p w14:paraId="7BCEBA42">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99.99%</w:t>
                  </w:r>
                </w:p>
              </w:tc>
              <w:tc>
                <w:tcPr>
                  <w:tcW w:w="687" w:type="pct"/>
                  <w:shd w:val="clear" w:color="auto" w:fill="auto"/>
                  <w:vAlign w:val="center"/>
                </w:tcPr>
                <w:p w14:paraId="3677AB7A">
                  <w:pPr>
                    <w:pStyle w:val="41"/>
                    <w:bidi w:val="0"/>
                    <w:rPr>
                      <w:rFonts w:hint="eastAsia"/>
                      <w:lang w:val="en-US" w:eastAsia="zh-CN"/>
                    </w:rPr>
                  </w:pPr>
                  <w:r>
                    <w:rPr>
                      <w:rFonts w:hint="eastAsia"/>
                      <w:lang w:val="en-US" w:eastAsia="zh-CN"/>
                    </w:rPr>
                    <w:t>500g/瓶</w:t>
                  </w:r>
                </w:p>
              </w:tc>
              <w:tc>
                <w:tcPr>
                  <w:tcW w:w="771" w:type="pct"/>
                  <w:shd w:val="clear" w:color="auto" w:fill="auto"/>
                  <w:vAlign w:val="center"/>
                </w:tcPr>
                <w:p w14:paraId="33CE6466">
                  <w:pPr>
                    <w:pStyle w:val="41"/>
                    <w:bidi w:val="0"/>
                    <w:rPr>
                      <w:rFonts w:hint="default"/>
                      <w:lang w:val="en-US" w:eastAsia="zh-CN"/>
                    </w:rPr>
                  </w:pPr>
                  <w:r>
                    <w:rPr>
                      <w:rFonts w:hint="eastAsia"/>
                      <w:lang w:val="en-US" w:eastAsia="zh-CN"/>
                    </w:rPr>
                    <w:t>1.5kg</w:t>
                  </w:r>
                </w:p>
              </w:tc>
              <w:tc>
                <w:tcPr>
                  <w:tcW w:w="740" w:type="pct"/>
                  <w:shd w:val="clear" w:color="auto" w:fill="auto"/>
                  <w:vAlign w:val="center"/>
                </w:tcPr>
                <w:p w14:paraId="7E0CC390">
                  <w:pPr>
                    <w:pStyle w:val="41"/>
                    <w:bidi w:val="0"/>
                    <w:rPr>
                      <w:rFonts w:hint="eastAsia"/>
                      <w:lang w:val="en-US" w:eastAsia="zh-CN"/>
                    </w:rPr>
                  </w:pPr>
                  <w:r>
                    <w:rPr>
                      <w:rFonts w:hint="eastAsia"/>
                      <w:lang w:val="en-US" w:eastAsia="zh-CN"/>
                    </w:rPr>
                    <w:t>1.5kg</w:t>
                  </w:r>
                </w:p>
              </w:tc>
              <w:tc>
                <w:tcPr>
                  <w:tcW w:w="521" w:type="pct"/>
                  <w:shd w:val="clear" w:color="auto" w:fill="auto"/>
                  <w:vAlign w:val="center"/>
                </w:tcPr>
                <w:p w14:paraId="2D4EC4B0">
                  <w:pPr>
                    <w:pStyle w:val="41"/>
                    <w:bidi w:val="0"/>
                    <w:rPr>
                      <w:rFonts w:hint="eastAsia"/>
                      <w:lang w:val="en-US" w:eastAsia="zh-CN"/>
                    </w:rPr>
                  </w:pPr>
                  <w:r>
                    <w:rPr>
                      <w:rFonts w:hint="eastAsia"/>
                      <w:lang w:val="en-US" w:eastAsia="zh-CN"/>
                    </w:rPr>
                    <w:t>固体</w:t>
                  </w:r>
                </w:p>
              </w:tc>
              <w:tc>
                <w:tcPr>
                  <w:tcW w:w="447" w:type="pct"/>
                  <w:vMerge w:val="continue"/>
                </w:tcPr>
                <w:p w14:paraId="57CA0B35">
                  <w:pPr>
                    <w:pStyle w:val="41"/>
                    <w:bidi w:val="0"/>
                    <w:rPr>
                      <w:rFonts w:hint="default"/>
                      <w:lang w:val="en-US" w:eastAsia="zh-CN"/>
                    </w:rPr>
                  </w:pPr>
                </w:p>
              </w:tc>
            </w:tr>
            <w:tr w14:paraId="0F9704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21093185">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6B48B550">
                  <w:pPr>
                    <w:pStyle w:val="41"/>
                    <w:bidi w:val="0"/>
                    <w:rPr>
                      <w:rFonts w:hint="eastAsia"/>
                      <w:lang w:val="en-US" w:eastAsia="zh-CN"/>
                    </w:rPr>
                  </w:pPr>
                  <w:r>
                    <w:rPr>
                      <w:rFonts w:hint="eastAsia"/>
                      <w:lang w:val="en-US" w:eastAsia="zh-CN"/>
                    </w:rPr>
                    <w:t>碳酸铯</w:t>
                  </w:r>
                </w:p>
              </w:tc>
              <w:tc>
                <w:tcPr>
                  <w:tcW w:w="669" w:type="pct"/>
                  <w:shd w:val="clear" w:color="auto" w:fill="auto"/>
                  <w:vAlign w:val="center"/>
                </w:tcPr>
                <w:p w14:paraId="5526C4E3">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99.99%</w:t>
                  </w:r>
                </w:p>
              </w:tc>
              <w:tc>
                <w:tcPr>
                  <w:tcW w:w="687" w:type="pct"/>
                  <w:shd w:val="clear" w:color="auto" w:fill="auto"/>
                  <w:vAlign w:val="center"/>
                </w:tcPr>
                <w:p w14:paraId="201C78E3">
                  <w:pPr>
                    <w:pStyle w:val="41"/>
                    <w:bidi w:val="0"/>
                    <w:rPr>
                      <w:rFonts w:hint="eastAsia"/>
                      <w:lang w:val="en-US" w:eastAsia="zh-CN"/>
                    </w:rPr>
                  </w:pPr>
                  <w:r>
                    <w:rPr>
                      <w:rFonts w:hint="eastAsia"/>
                      <w:lang w:val="en-US" w:eastAsia="zh-CN"/>
                    </w:rPr>
                    <w:t>500g/瓶</w:t>
                  </w:r>
                </w:p>
              </w:tc>
              <w:tc>
                <w:tcPr>
                  <w:tcW w:w="771" w:type="pct"/>
                  <w:shd w:val="clear" w:color="auto" w:fill="auto"/>
                  <w:vAlign w:val="center"/>
                </w:tcPr>
                <w:p w14:paraId="0D07FF94">
                  <w:pPr>
                    <w:pStyle w:val="41"/>
                    <w:bidi w:val="0"/>
                    <w:rPr>
                      <w:rFonts w:hint="eastAsia"/>
                      <w:lang w:val="en-US" w:eastAsia="zh-CN"/>
                    </w:rPr>
                  </w:pPr>
                  <w:r>
                    <w:rPr>
                      <w:rFonts w:hint="eastAsia"/>
                      <w:lang w:val="en-US" w:eastAsia="zh-CN"/>
                    </w:rPr>
                    <w:t>1.5kg</w:t>
                  </w:r>
                </w:p>
              </w:tc>
              <w:tc>
                <w:tcPr>
                  <w:tcW w:w="740" w:type="pct"/>
                  <w:shd w:val="clear" w:color="auto" w:fill="auto"/>
                  <w:vAlign w:val="center"/>
                </w:tcPr>
                <w:p w14:paraId="17CC3FD0">
                  <w:pPr>
                    <w:pStyle w:val="41"/>
                    <w:bidi w:val="0"/>
                    <w:rPr>
                      <w:rFonts w:hint="eastAsia"/>
                      <w:lang w:val="en-US" w:eastAsia="zh-CN"/>
                    </w:rPr>
                  </w:pPr>
                  <w:r>
                    <w:rPr>
                      <w:rFonts w:hint="eastAsia"/>
                      <w:lang w:val="en-US" w:eastAsia="zh-CN"/>
                    </w:rPr>
                    <w:t>1.5kg</w:t>
                  </w:r>
                </w:p>
              </w:tc>
              <w:tc>
                <w:tcPr>
                  <w:tcW w:w="521" w:type="pct"/>
                  <w:shd w:val="clear" w:color="auto" w:fill="auto"/>
                  <w:vAlign w:val="center"/>
                </w:tcPr>
                <w:p w14:paraId="2A593537">
                  <w:pPr>
                    <w:pStyle w:val="41"/>
                    <w:bidi w:val="0"/>
                    <w:rPr>
                      <w:rFonts w:hint="eastAsia"/>
                      <w:lang w:val="en-US" w:eastAsia="zh-CN"/>
                    </w:rPr>
                  </w:pPr>
                  <w:r>
                    <w:rPr>
                      <w:rFonts w:hint="eastAsia"/>
                      <w:lang w:val="en-US" w:eastAsia="zh-CN"/>
                    </w:rPr>
                    <w:t>固体</w:t>
                  </w:r>
                </w:p>
              </w:tc>
              <w:tc>
                <w:tcPr>
                  <w:tcW w:w="447" w:type="pct"/>
                  <w:vMerge w:val="continue"/>
                </w:tcPr>
                <w:p w14:paraId="7FE73606">
                  <w:pPr>
                    <w:pStyle w:val="41"/>
                    <w:bidi w:val="0"/>
                    <w:rPr>
                      <w:rFonts w:hint="default"/>
                      <w:lang w:val="en-US" w:eastAsia="zh-CN"/>
                    </w:rPr>
                  </w:pPr>
                </w:p>
              </w:tc>
            </w:tr>
            <w:tr w14:paraId="3DC1F1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BD8547C">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684666DB">
                  <w:pPr>
                    <w:pStyle w:val="41"/>
                    <w:bidi w:val="0"/>
                    <w:rPr>
                      <w:rFonts w:hint="eastAsia"/>
                      <w:lang w:val="en-US" w:eastAsia="zh-CN"/>
                    </w:rPr>
                  </w:pPr>
                  <w:r>
                    <w:rPr>
                      <w:rFonts w:hint="eastAsia"/>
                      <w:lang w:val="en-US" w:eastAsia="zh-CN"/>
                    </w:rPr>
                    <w:t>氢氧化钠</w:t>
                  </w:r>
                </w:p>
              </w:tc>
              <w:tc>
                <w:tcPr>
                  <w:tcW w:w="669" w:type="pct"/>
                  <w:shd w:val="clear" w:color="auto" w:fill="auto"/>
                  <w:vAlign w:val="center"/>
                </w:tcPr>
                <w:p w14:paraId="7FC8F927">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99.99%</w:t>
                  </w:r>
                </w:p>
              </w:tc>
              <w:tc>
                <w:tcPr>
                  <w:tcW w:w="687" w:type="pct"/>
                  <w:shd w:val="clear" w:color="auto" w:fill="auto"/>
                  <w:vAlign w:val="center"/>
                </w:tcPr>
                <w:p w14:paraId="30EFD4BF">
                  <w:pPr>
                    <w:pStyle w:val="41"/>
                    <w:bidi w:val="0"/>
                    <w:rPr>
                      <w:rFonts w:hint="eastAsia"/>
                      <w:lang w:val="en-US" w:eastAsia="zh-CN"/>
                    </w:rPr>
                  </w:pPr>
                  <w:r>
                    <w:rPr>
                      <w:rFonts w:hint="eastAsia"/>
                      <w:lang w:val="en-US" w:eastAsia="zh-CN"/>
                    </w:rPr>
                    <w:t>500g/瓶</w:t>
                  </w:r>
                </w:p>
              </w:tc>
              <w:tc>
                <w:tcPr>
                  <w:tcW w:w="771" w:type="pct"/>
                  <w:shd w:val="clear" w:color="auto" w:fill="auto"/>
                  <w:vAlign w:val="center"/>
                </w:tcPr>
                <w:p w14:paraId="58ED44DB">
                  <w:pPr>
                    <w:pStyle w:val="41"/>
                    <w:bidi w:val="0"/>
                    <w:rPr>
                      <w:rFonts w:hint="eastAsia"/>
                      <w:lang w:val="en-US" w:eastAsia="zh-CN"/>
                    </w:rPr>
                  </w:pPr>
                  <w:r>
                    <w:rPr>
                      <w:rFonts w:hint="eastAsia"/>
                      <w:lang w:val="en-US" w:eastAsia="zh-CN"/>
                    </w:rPr>
                    <w:t>1.5kg</w:t>
                  </w:r>
                </w:p>
              </w:tc>
              <w:tc>
                <w:tcPr>
                  <w:tcW w:w="740" w:type="pct"/>
                  <w:shd w:val="clear" w:color="auto" w:fill="auto"/>
                  <w:vAlign w:val="center"/>
                </w:tcPr>
                <w:p w14:paraId="441D34F4">
                  <w:pPr>
                    <w:pStyle w:val="41"/>
                    <w:bidi w:val="0"/>
                    <w:rPr>
                      <w:rFonts w:hint="eastAsia"/>
                      <w:lang w:val="en-US" w:eastAsia="zh-CN"/>
                    </w:rPr>
                  </w:pPr>
                  <w:r>
                    <w:rPr>
                      <w:rFonts w:hint="eastAsia"/>
                      <w:lang w:val="en-US" w:eastAsia="zh-CN"/>
                    </w:rPr>
                    <w:t>1.5kg</w:t>
                  </w:r>
                </w:p>
              </w:tc>
              <w:tc>
                <w:tcPr>
                  <w:tcW w:w="521" w:type="pct"/>
                  <w:shd w:val="clear" w:color="auto" w:fill="auto"/>
                  <w:vAlign w:val="center"/>
                </w:tcPr>
                <w:p w14:paraId="1D335FFC">
                  <w:pPr>
                    <w:pStyle w:val="41"/>
                    <w:bidi w:val="0"/>
                    <w:rPr>
                      <w:rFonts w:hint="eastAsia"/>
                      <w:lang w:val="en-US" w:eastAsia="zh-CN"/>
                    </w:rPr>
                  </w:pPr>
                  <w:r>
                    <w:rPr>
                      <w:rFonts w:hint="eastAsia"/>
                      <w:lang w:val="en-US" w:eastAsia="zh-CN"/>
                    </w:rPr>
                    <w:t>固体</w:t>
                  </w:r>
                </w:p>
              </w:tc>
              <w:tc>
                <w:tcPr>
                  <w:tcW w:w="447" w:type="pct"/>
                  <w:vMerge w:val="continue"/>
                </w:tcPr>
                <w:p w14:paraId="255DF9B2">
                  <w:pPr>
                    <w:pStyle w:val="41"/>
                    <w:bidi w:val="0"/>
                    <w:rPr>
                      <w:rFonts w:hint="default"/>
                      <w:lang w:val="en-US" w:eastAsia="zh-CN"/>
                    </w:rPr>
                  </w:pPr>
                </w:p>
              </w:tc>
            </w:tr>
            <w:tr w14:paraId="53349C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61D76CA">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215849F2">
                  <w:pPr>
                    <w:pStyle w:val="41"/>
                    <w:bidi w:val="0"/>
                    <w:rPr>
                      <w:rFonts w:hint="eastAsia"/>
                      <w:lang w:val="en-US" w:eastAsia="zh-CN"/>
                    </w:rPr>
                  </w:pPr>
                  <w:r>
                    <w:rPr>
                      <w:rFonts w:hint="eastAsia"/>
                      <w:lang w:val="en-US" w:eastAsia="zh-CN"/>
                    </w:rPr>
                    <w:t>氢氧化锂</w:t>
                  </w:r>
                </w:p>
              </w:tc>
              <w:tc>
                <w:tcPr>
                  <w:tcW w:w="669" w:type="pct"/>
                  <w:shd w:val="clear" w:color="auto" w:fill="auto"/>
                  <w:vAlign w:val="center"/>
                </w:tcPr>
                <w:p w14:paraId="51105BA7">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99.99%</w:t>
                  </w:r>
                </w:p>
              </w:tc>
              <w:tc>
                <w:tcPr>
                  <w:tcW w:w="687" w:type="pct"/>
                  <w:shd w:val="clear" w:color="auto" w:fill="auto"/>
                  <w:vAlign w:val="center"/>
                </w:tcPr>
                <w:p w14:paraId="6787D7F9">
                  <w:pPr>
                    <w:pStyle w:val="41"/>
                    <w:bidi w:val="0"/>
                    <w:rPr>
                      <w:rFonts w:hint="eastAsia"/>
                      <w:lang w:val="en-US" w:eastAsia="zh-CN"/>
                    </w:rPr>
                  </w:pPr>
                  <w:r>
                    <w:rPr>
                      <w:rFonts w:hint="eastAsia"/>
                      <w:lang w:val="en-US" w:eastAsia="zh-CN"/>
                    </w:rPr>
                    <w:t>500g/瓶</w:t>
                  </w:r>
                </w:p>
              </w:tc>
              <w:tc>
                <w:tcPr>
                  <w:tcW w:w="771" w:type="pct"/>
                  <w:shd w:val="clear" w:color="auto" w:fill="auto"/>
                  <w:vAlign w:val="center"/>
                </w:tcPr>
                <w:p w14:paraId="1BD84DED">
                  <w:pPr>
                    <w:pStyle w:val="41"/>
                    <w:bidi w:val="0"/>
                    <w:rPr>
                      <w:rFonts w:hint="eastAsia"/>
                      <w:lang w:val="en-US" w:eastAsia="zh-CN"/>
                    </w:rPr>
                  </w:pPr>
                  <w:r>
                    <w:rPr>
                      <w:rFonts w:hint="eastAsia"/>
                      <w:lang w:val="en-US" w:eastAsia="zh-CN"/>
                    </w:rPr>
                    <w:t>1.5kg</w:t>
                  </w:r>
                </w:p>
              </w:tc>
              <w:tc>
                <w:tcPr>
                  <w:tcW w:w="740" w:type="pct"/>
                  <w:shd w:val="clear" w:color="auto" w:fill="auto"/>
                  <w:vAlign w:val="center"/>
                </w:tcPr>
                <w:p w14:paraId="46D8A1A9">
                  <w:pPr>
                    <w:pStyle w:val="41"/>
                    <w:bidi w:val="0"/>
                    <w:rPr>
                      <w:rFonts w:hint="eastAsia"/>
                      <w:lang w:val="en-US" w:eastAsia="zh-CN"/>
                    </w:rPr>
                  </w:pPr>
                  <w:r>
                    <w:rPr>
                      <w:rFonts w:hint="eastAsia"/>
                      <w:lang w:val="en-US" w:eastAsia="zh-CN"/>
                    </w:rPr>
                    <w:t>1.5kg</w:t>
                  </w:r>
                </w:p>
              </w:tc>
              <w:tc>
                <w:tcPr>
                  <w:tcW w:w="521" w:type="pct"/>
                  <w:shd w:val="clear" w:color="auto" w:fill="auto"/>
                  <w:vAlign w:val="center"/>
                </w:tcPr>
                <w:p w14:paraId="68736761">
                  <w:pPr>
                    <w:pStyle w:val="41"/>
                    <w:bidi w:val="0"/>
                    <w:rPr>
                      <w:rFonts w:hint="eastAsia"/>
                      <w:lang w:val="en-US" w:eastAsia="zh-CN"/>
                    </w:rPr>
                  </w:pPr>
                  <w:r>
                    <w:rPr>
                      <w:rFonts w:hint="eastAsia"/>
                      <w:lang w:val="en-US" w:eastAsia="zh-CN"/>
                    </w:rPr>
                    <w:t>固体</w:t>
                  </w:r>
                </w:p>
              </w:tc>
              <w:tc>
                <w:tcPr>
                  <w:tcW w:w="447" w:type="pct"/>
                  <w:vMerge w:val="continue"/>
                </w:tcPr>
                <w:p w14:paraId="5CB6DCCB">
                  <w:pPr>
                    <w:pStyle w:val="41"/>
                    <w:bidi w:val="0"/>
                    <w:rPr>
                      <w:rFonts w:hint="default"/>
                      <w:lang w:val="en-US" w:eastAsia="zh-CN"/>
                    </w:rPr>
                  </w:pPr>
                </w:p>
              </w:tc>
            </w:tr>
            <w:tr w14:paraId="04DBF8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C694918">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01189472">
                  <w:pPr>
                    <w:pStyle w:val="41"/>
                    <w:bidi w:val="0"/>
                    <w:rPr>
                      <w:rFonts w:hint="eastAsia"/>
                      <w:lang w:val="en-US" w:eastAsia="zh-CN"/>
                    </w:rPr>
                  </w:pPr>
                  <w:r>
                    <w:rPr>
                      <w:rFonts w:hint="eastAsia"/>
                      <w:lang w:val="en-US" w:eastAsia="zh-CN"/>
                    </w:rPr>
                    <w:t>氯化铵</w:t>
                  </w:r>
                </w:p>
              </w:tc>
              <w:tc>
                <w:tcPr>
                  <w:tcW w:w="669" w:type="pct"/>
                  <w:shd w:val="clear" w:color="auto" w:fill="auto"/>
                  <w:vAlign w:val="center"/>
                </w:tcPr>
                <w:p w14:paraId="0595C64E">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99.99%</w:t>
                  </w:r>
                </w:p>
              </w:tc>
              <w:tc>
                <w:tcPr>
                  <w:tcW w:w="687" w:type="pct"/>
                  <w:shd w:val="clear" w:color="auto" w:fill="auto"/>
                  <w:vAlign w:val="center"/>
                </w:tcPr>
                <w:p w14:paraId="7544001F">
                  <w:pPr>
                    <w:pStyle w:val="41"/>
                    <w:bidi w:val="0"/>
                    <w:rPr>
                      <w:rFonts w:hint="eastAsia"/>
                      <w:lang w:val="en-US" w:eastAsia="zh-CN"/>
                    </w:rPr>
                  </w:pPr>
                  <w:r>
                    <w:rPr>
                      <w:rFonts w:hint="eastAsia"/>
                      <w:lang w:val="en-US" w:eastAsia="zh-CN"/>
                    </w:rPr>
                    <w:t>500g/瓶</w:t>
                  </w:r>
                </w:p>
              </w:tc>
              <w:tc>
                <w:tcPr>
                  <w:tcW w:w="771" w:type="pct"/>
                  <w:shd w:val="clear" w:color="auto" w:fill="auto"/>
                  <w:vAlign w:val="center"/>
                </w:tcPr>
                <w:p w14:paraId="157B8FAA">
                  <w:pPr>
                    <w:pStyle w:val="41"/>
                    <w:bidi w:val="0"/>
                    <w:rPr>
                      <w:rFonts w:hint="default"/>
                      <w:lang w:val="en-US" w:eastAsia="zh-CN"/>
                    </w:rPr>
                  </w:pPr>
                  <w:r>
                    <w:rPr>
                      <w:rFonts w:hint="eastAsia"/>
                      <w:lang w:val="en-US" w:eastAsia="zh-CN"/>
                    </w:rPr>
                    <w:t>5kg</w:t>
                  </w:r>
                </w:p>
              </w:tc>
              <w:tc>
                <w:tcPr>
                  <w:tcW w:w="740" w:type="pct"/>
                  <w:shd w:val="clear" w:color="auto" w:fill="auto"/>
                  <w:vAlign w:val="center"/>
                </w:tcPr>
                <w:p w14:paraId="17740B67">
                  <w:pPr>
                    <w:pStyle w:val="41"/>
                    <w:bidi w:val="0"/>
                    <w:rPr>
                      <w:rFonts w:hint="default"/>
                      <w:lang w:val="en-US" w:eastAsia="zh-CN"/>
                    </w:rPr>
                  </w:pPr>
                  <w:r>
                    <w:rPr>
                      <w:rFonts w:hint="eastAsia"/>
                      <w:lang w:val="en-US" w:eastAsia="zh-CN"/>
                    </w:rPr>
                    <w:t>2.5kg</w:t>
                  </w:r>
                </w:p>
              </w:tc>
              <w:tc>
                <w:tcPr>
                  <w:tcW w:w="521" w:type="pct"/>
                  <w:shd w:val="clear" w:color="auto" w:fill="auto"/>
                  <w:vAlign w:val="center"/>
                </w:tcPr>
                <w:p w14:paraId="58EE1CE6">
                  <w:pPr>
                    <w:pStyle w:val="41"/>
                    <w:bidi w:val="0"/>
                    <w:rPr>
                      <w:rFonts w:hint="eastAsia"/>
                      <w:lang w:val="en-US" w:eastAsia="zh-CN"/>
                    </w:rPr>
                  </w:pPr>
                  <w:r>
                    <w:rPr>
                      <w:rFonts w:hint="eastAsia"/>
                      <w:lang w:val="en-US" w:eastAsia="zh-CN"/>
                    </w:rPr>
                    <w:t>固体</w:t>
                  </w:r>
                </w:p>
              </w:tc>
              <w:tc>
                <w:tcPr>
                  <w:tcW w:w="447" w:type="pct"/>
                  <w:vMerge w:val="continue"/>
                </w:tcPr>
                <w:p w14:paraId="62633F72">
                  <w:pPr>
                    <w:pStyle w:val="41"/>
                    <w:bidi w:val="0"/>
                    <w:rPr>
                      <w:rFonts w:hint="default"/>
                      <w:lang w:val="en-US" w:eastAsia="zh-CN"/>
                    </w:rPr>
                  </w:pPr>
                </w:p>
              </w:tc>
            </w:tr>
            <w:tr w14:paraId="30A069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14258C8">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7D7EA277">
                  <w:pPr>
                    <w:pStyle w:val="41"/>
                    <w:bidi w:val="0"/>
                    <w:rPr>
                      <w:rFonts w:hint="eastAsia"/>
                      <w:lang w:val="en-US" w:eastAsia="zh-CN"/>
                    </w:rPr>
                  </w:pPr>
                  <w:r>
                    <w:rPr>
                      <w:rFonts w:hint="eastAsia"/>
                      <w:lang w:val="en-US" w:eastAsia="zh-CN"/>
                    </w:rPr>
                    <w:t>一水合柠檬酸</w:t>
                  </w:r>
                </w:p>
              </w:tc>
              <w:tc>
                <w:tcPr>
                  <w:tcW w:w="669" w:type="pct"/>
                  <w:shd w:val="clear" w:color="auto" w:fill="auto"/>
                  <w:vAlign w:val="center"/>
                </w:tcPr>
                <w:p w14:paraId="773177CC">
                  <w:pPr>
                    <w:pStyle w:val="41"/>
                    <w:bidi w:val="0"/>
                    <w:rPr>
                      <w:rFonts w:hint="eastAsia"/>
                      <w:lang w:val="en-US" w:eastAsia="zh-CN"/>
                    </w:rPr>
                  </w:pPr>
                  <w:r>
                    <w:rPr>
                      <w:rFonts w:hint="eastAsia"/>
                      <w:lang w:val="en-US" w:eastAsia="zh-CN"/>
                    </w:rPr>
                    <w:t>99.99%</w:t>
                  </w:r>
                </w:p>
              </w:tc>
              <w:tc>
                <w:tcPr>
                  <w:tcW w:w="687" w:type="pct"/>
                  <w:shd w:val="clear" w:color="auto" w:fill="auto"/>
                  <w:vAlign w:val="center"/>
                </w:tcPr>
                <w:p w14:paraId="4B2F63A0">
                  <w:pPr>
                    <w:pStyle w:val="41"/>
                    <w:bidi w:val="0"/>
                    <w:rPr>
                      <w:rFonts w:hint="eastAsia"/>
                      <w:lang w:val="en-US" w:eastAsia="zh-CN"/>
                    </w:rPr>
                  </w:pPr>
                  <w:r>
                    <w:rPr>
                      <w:rFonts w:hint="eastAsia"/>
                      <w:lang w:val="en-US" w:eastAsia="zh-CN"/>
                    </w:rPr>
                    <w:t>500g/瓶</w:t>
                  </w:r>
                </w:p>
              </w:tc>
              <w:tc>
                <w:tcPr>
                  <w:tcW w:w="771" w:type="pct"/>
                  <w:shd w:val="clear" w:color="auto" w:fill="auto"/>
                  <w:vAlign w:val="center"/>
                </w:tcPr>
                <w:p w14:paraId="6EE4CE62">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5kg</w:t>
                  </w:r>
                </w:p>
              </w:tc>
              <w:tc>
                <w:tcPr>
                  <w:tcW w:w="740" w:type="pct"/>
                  <w:shd w:val="clear" w:color="auto" w:fill="auto"/>
                  <w:vAlign w:val="center"/>
                </w:tcPr>
                <w:p w14:paraId="72A24CD2">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2.5kg</w:t>
                  </w:r>
                </w:p>
              </w:tc>
              <w:tc>
                <w:tcPr>
                  <w:tcW w:w="521" w:type="pct"/>
                  <w:shd w:val="clear" w:color="auto" w:fill="auto"/>
                  <w:vAlign w:val="center"/>
                </w:tcPr>
                <w:p w14:paraId="3412B05B">
                  <w:pPr>
                    <w:pStyle w:val="41"/>
                    <w:bidi w:val="0"/>
                    <w:rPr>
                      <w:rFonts w:hint="eastAsia"/>
                      <w:lang w:val="en-US" w:eastAsia="zh-CN"/>
                    </w:rPr>
                  </w:pPr>
                  <w:r>
                    <w:rPr>
                      <w:rFonts w:hint="eastAsia"/>
                      <w:lang w:val="en-US" w:eastAsia="zh-CN"/>
                    </w:rPr>
                    <w:t>固体</w:t>
                  </w:r>
                </w:p>
              </w:tc>
              <w:tc>
                <w:tcPr>
                  <w:tcW w:w="447" w:type="pct"/>
                  <w:vMerge w:val="continue"/>
                </w:tcPr>
                <w:p w14:paraId="2C4AAFAC">
                  <w:pPr>
                    <w:pStyle w:val="41"/>
                    <w:bidi w:val="0"/>
                    <w:rPr>
                      <w:rFonts w:hint="default"/>
                      <w:lang w:val="en-US" w:eastAsia="zh-CN"/>
                    </w:rPr>
                  </w:pPr>
                </w:p>
              </w:tc>
            </w:tr>
            <w:tr w14:paraId="6DA7ED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DC185B6">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0D44B2B6">
                  <w:pPr>
                    <w:pStyle w:val="41"/>
                    <w:bidi w:val="0"/>
                    <w:rPr>
                      <w:rFonts w:hint="eastAsia"/>
                      <w:lang w:val="en-US" w:eastAsia="zh-CN"/>
                    </w:rPr>
                  </w:pPr>
                  <w:r>
                    <w:rPr>
                      <w:rFonts w:hint="eastAsia"/>
                      <w:color w:val="FF0000"/>
                      <w:highlight w:val="yellow"/>
                      <w:lang w:val="en-US" w:eastAsia="zh-CN"/>
                    </w:rPr>
                    <w:t>甲酸</w:t>
                  </w:r>
                </w:p>
              </w:tc>
              <w:tc>
                <w:tcPr>
                  <w:tcW w:w="669" w:type="pct"/>
                  <w:shd w:val="clear" w:color="auto" w:fill="auto"/>
                  <w:vAlign w:val="center"/>
                </w:tcPr>
                <w:p w14:paraId="3D4934CF">
                  <w:pPr>
                    <w:pStyle w:val="41"/>
                    <w:bidi w:val="0"/>
                    <w:rPr>
                      <w:rFonts w:hint="default"/>
                      <w:lang w:val="en-US" w:eastAsia="zh-CN"/>
                    </w:rPr>
                  </w:pPr>
                  <w:r>
                    <w:rPr>
                      <w:rFonts w:hint="eastAsia"/>
                      <w:lang w:val="en-US" w:eastAsia="zh-CN"/>
                    </w:rPr>
                    <w:t>99.5%</w:t>
                  </w:r>
                </w:p>
              </w:tc>
              <w:tc>
                <w:tcPr>
                  <w:tcW w:w="687" w:type="pct"/>
                  <w:shd w:val="clear" w:color="auto" w:fill="auto"/>
                  <w:vAlign w:val="center"/>
                </w:tcPr>
                <w:p w14:paraId="338B102A">
                  <w:pPr>
                    <w:pStyle w:val="41"/>
                    <w:bidi w:val="0"/>
                    <w:rPr>
                      <w:rFonts w:hint="eastAsia"/>
                      <w:lang w:val="en-US" w:eastAsia="zh-CN"/>
                    </w:rPr>
                  </w:pPr>
                  <w:r>
                    <w:rPr>
                      <w:rFonts w:hint="eastAsia"/>
                      <w:lang w:val="en-US" w:eastAsia="zh-CN"/>
                    </w:rPr>
                    <w:t>500mL/瓶</w:t>
                  </w:r>
                </w:p>
              </w:tc>
              <w:tc>
                <w:tcPr>
                  <w:tcW w:w="771" w:type="pct"/>
                  <w:shd w:val="clear" w:color="auto" w:fill="auto"/>
                  <w:vAlign w:val="center"/>
                </w:tcPr>
                <w:p w14:paraId="2018BAFE">
                  <w:pPr>
                    <w:pStyle w:val="41"/>
                    <w:bidi w:val="0"/>
                    <w:rPr>
                      <w:rFonts w:hint="default"/>
                      <w:lang w:val="en-US" w:eastAsia="zh-CN"/>
                    </w:rPr>
                  </w:pPr>
                  <w:r>
                    <w:rPr>
                      <w:rFonts w:hint="eastAsia"/>
                      <w:lang w:val="en-US" w:eastAsia="zh-CN"/>
                    </w:rPr>
                    <w:t>1.5kg</w:t>
                  </w:r>
                </w:p>
              </w:tc>
              <w:tc>
                <w:tcPr>
                  <w:tcW w:w="740" w:type="pct"/>
                  <w:shd w:val="clear" w:color="auto" w:fill="auto"/>
                  <w:vAlign w:val="center"/>
                </w:tcPr>
                <w:p w14:paraId="61C30A6E">
                  <w:pPr>
                    <w:pStyle w:val="41"/>
                    <w:bidi w:val="0"/>
                    <w:rPr>
                      <w:rFonts w:hint="default"/>
                      <w:lang w:val="en-US" w:eastAsia="zh-CN"/>
                    </w:rPr>
                  </w:pPr>
                  <w:r>
                    <w:rPr>
                      <w:rFonts w:hint="eastAsia"/>
                      <w:lang w:val="en-US" w:eastAsia="zh-CN"/>
                    </w:rPr>
                    <w:t>1.5kg</w:t>
                  </w:r>
                </w:p>
              </w:tc>
              <w:tc>
                <w:tcPr>
                  <w:tcW w:w="521" w:type="pct"/>
                  <w:shd w:val="clear" w:color="auto" w:fill="auto"/>
                  <w:vAlign w:val="center"/>
                </w:tcPr>
                <w:p w14:paraId="5AB58779">
                  <w:pPr>
                    <w:pStyle w:val="41"/>
                    <w:bidi w:val="0"/>
                    <w:rPr>
                      <w:rFonts w:hint="eastAsia"/>
                      <w:lang w:val="en-US" w:eastAsia="zh-CN"/>
                    </w:rPr>
                  </w:pPr>
                  <w:r>
                    <w:rPr>
                      <w:rFonts w:hint="eastAsia"/>
                      <w:lang w:val="en-US" w:eastAsia="zh-CN"/>
                    </w:rPr>
                    <w:t>液体</w:t>
                  </w:r>
                </w:p>
              </w:tc>
              <w:tc>
                <w:tcPr>
                  <w:tcW w:w="447" w:type="pct"/>
                  <w:vMerge w:val="continue"/>
                </w:tcPr>
                <w:p w14:paraId="1A632142">
                  <w:pPr>
                    <w:pStyle w:val="41"/>
                    <w:bidi w:val="0"/>
                    <w:rPr>
                      <w:rFonts w:hint="default"/>
                      <w:lang w:val="en-US" w:eastAsia="zh-CN"/>
                    </w:rPr>
                  </w:pPr>
                </w:p>
              </w:tc>
            </w:tr>
            <w:tr w14:paraId="353DF5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DE10109">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13642409">
                  <w:pPr>
                    <w:pStyle w:val="41"/>
                    <w:bidi w:val="0"/>
                    <w:rPr>
                      <w:rFonts w:hint="eastAsia"/>
                      <w:lang w:val="en-US" w:eastAsia="zh-CN"/>
                    </w:rPr>
                  </w:pPr>
                  <w:r>
                    <w:rPr>
                      <w:rFonts w:hint="eastAsia"/>
                    </w:rPr>
                    <w:t>高纯</w:t>
                  </w:r>
                  <w:r>
                    <w:rPr>
                      <w:rFonts w:hint="eastAsia"/>
                      <w:lang w:val="en-US" w:eastAsia="zh-CN"/>
                    </w:rPr>
                    <w:t>氩气</w:t>
                  </w:r>
                </w:p>
              </w:tc>
              <w:tc>
                <w:tcPr>
                  <w:tcW w:w="669" w:type="pct"/>
                  <w:shd w:val="clear" w:color="auto" w:fill="auto"/>
                  <w:vAlign w:val="center"/>
                </w:tcPr>
                <w:p w14:paraId="22D8A2EF">
                  <w:pPr>
                    <w:pStyle w:val="41"/>
                    <w:bidi w:val="0"/>
                    <w:rPr>
                      <w:rFonts w:hint="eastAsia"/>
                    </w:rPr>
                  </w:pPr>
                  <w:r>
                    <w:rPr>
                      <w:rFonts w:hint="eastAsia"/>
                      <w:lang w:val="en-US" w:eastAsia="zh-CN"/>
                    </w:rPr>
                    <w:t>99.999%</w:t>
                  </w:r>
                </w:p>
              </w:tc>
              <w:tc>
                <w:tcPr>
                  <w:tcW w:w="687" w:type="pct"/>
                  <w:shd w:val="clear" w:color="auto" w:fill="auto"/>
                  <w:vAlign w:val="center"/>
                </w:tcPr>
                <w:p w14:paraId="7BB686DE">
                  <w:pPr>
                    <w:pStyle w:val="41"/>
                    <w:bidi w:val="0"/>
                    <w:rPr>
                      <w:rFonts w:hint="eastAsia"/>
                      <w:lang w:val="en-US" w:eastAsia="zh-CN"/>
                    </w:rPr>
                  </w:pPr>
                  <w:r>
                    <w:t>40</w:t>
                  </w:r>
                  <w:r>
                    <w:rPr>
                      <w:rFonts w:hint="eastAsia"/>
                    </w:rPr>
                    <w:t>L/瓶</w:t>
                  </w:r>
                </w:p>
              </w:tc>
              <w:tc>
                <w:tcPr>
                  <w:tcW w:w="771" w:type="pct"/>
                  <w:shd w:val="clear" w:color="auto" w:fill="auto"/>
                  <w:vAlign w:val="center"/>
                </w:tcPr>
                <w:p w14:paraId="28145A72">
                  <w:pPr>
                    <w:pStyle w:val="41"/>
                    <w:bidi w:val="0"/>
                    <w:rPr>
                      <w:rFonts w:hint="eastAsia"/>
                      <w:lang w:val="en-US" w:eastAsia="zh-CN"/>
                    </w:rPr>
                  </w:pPr>
                  <w:r>
                    <w:rPr>
                      <w:rFonts w:hint="eastAsia"/>
                      <w:lang w:val="en-US" w:eastAsia="zh-CN"/>
                    </w:rPr>
                    <w:t>4</w:t>
                  </w:r>
                  <w:r>
                    <w:rPr>
                      <w:rFonts w:hint="eastAsia"/>
                    </w:rPr>
                    <w:t>瓶</w:t>
                  </w:r>
                </w:p>
              </w:tc>
              <w:tc>
                <w:tcPr>
                  <w:tcW w:w="740" w:type="pct"/>
                  <w:shd w:val="clear" w:color="auto" w:fill="auto"/>
                  <w:vAlign w:val="center"/>
                </w:tcPr>
                <w:p w14:paraId="088780FD">
                  <w:pPr>
                    <w:pStyle w:val="41"/>
                    <w:bidi w:val="0"/>
                    <w:rPr>
                      <w:rFonts w:hint="eastAsia"/>
                      <w:lang w:val="en-US" w:eastAsia="zh-CN"/>
                    </w:rPr>
                  </w:pPr>
                  <w:r>
                    <w:rPr>
                      <w:rFonts w:hint="eastAsia"/>
                      <w:lang w:val="en-US" w:eastAsia="zh-CN"/>
                    </w:rPr>
                    <w:t>1</w:t>
                  </w:r>
                  <w:r>
                    <w:rPr>
                      <w:rFonts w:hint="eastAsia"/>
                    </w:rPr>
                    <w:t>瓶</w:t>
                  </w:r>
                </w:p>
              </w:tc>
              <w:tc>
                <w:tcPr>
                  <w:tcW w:w="521" w:type="pct"/>
                  <w:shd w:val="clear" w:color="auto" w:fill="auto"/>
                  <w:vAlign w:val="center"/>
                </w:tcPr>
                <w:p w14:paraId="7A46CEAC">
                  <w:pPr>
                    <w:pStyle w:val="41"/>
                    <w:bidi w:val="0"/>
                    <w:rPr>
                      <w:rFonts w:hint="eastAsia"/>
                      <w:lang w:val="en-US" w:eastAsia="zh-CN"/>
                    </w:rPr>
                  </w:pPr>
                  <w:r>
                    <w:rPr>
                      <w:rFonts w:hint="eastAsia"/>
                    </w:rPr>
                    <w:t>气体</w:t>
                  </w:r>
                </w:p>
              </w:tc>
              <w:tc>
                <w:tcPr>
                  <w:tcW w:w="447" w:type="pct"/>
                  <w:vMerge w:val="continue"/>
                </w:tcPr>
                <w:p w14:paraId="68A92523">
                  <w:pPr>
                    <w:pStyle w:val="41"/>
                    <w:bidi w:val="0"/>
                    <w:rPr>
                      <w:rFonts w:hint="default"/>
                      <w:lang w:val="en-US" w:eastAsia="zh-CN"/>
                    </w:rPr>
                  </w:pPr>
                </w:p>
              </w:tc>
            </w:tr>
            <w:tr w14:paraId="62244F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08AF8EC">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51C0A67E">
                  <w:pPr>
                    <w:pStyle w:val="41"/>
                    <w:bidi w:val="0"/>
                    <w:rPr>
                      <w:rFonts w:hint="eastAsia"/>
                      <w:color w:val="FF0000"/>
                      <w:highlight w:val="yellow"/>
                      <w:lang w:val="en-US" w:eastAsia="zh-CN"/>
                    </w:rPr>
                  </w:pPr>
                  <w:r>
                    <w:rPr>
                      <w:rFonts w:hint="eastAsia"/>
                      <w:color w:val="FF0000"/>
                      <w:highlight w:val="yellow"/>
                    </w:rPr>
                    <w:t>甲醇（分析纯）</w:t>
                  </w:r>
                </w:p>
              </w:tc>
              <w:tc>
                <w:tcPr>
                  <w:tcW w:w="669" w:type="pct"/>
                  <w:shd w:val="clear" w:color="auto" w:fill="auto"/>
                  <w:vAlign w:val="center"/>
                </w:tcPr>
                <w:p w14:paraId="52939B25">
                  <w:pPr>
                    <w:pStyle w:val="41"/>
                    <w:bidi w:val="0"/>
                    <w:rPr>
                      <w:rFonts w:hint="default" w:eastAsia="宋体"/>
                      <w:lang w:val="en-US" w:eastAsia="zh-CN"/>
                    </w:rPr>
                  </w:pPr>
                  <w:r>
                    <w:rPr>
                      <w:rFonts w:hint="eastAsia"/>
                      <w:lang w:val="en-US" w:eastAsia="zh-CN"/>
                    </w:rPr>
                    <w:t>99.5%</w:t>
                  </w:r>
                </w:p>
              </w:tc>
              <w:tc>
                <w:tcPr>
                  <w:tcW w:w="687" w:type="pct"/>
                  <w:shd w:val="clear" w:color="auto" w:fill="auto"/>
                  <w:vAlign w:val="center"/>
                </w:tcPr>
                <w:p w14:paraId="5211B86A">
                  <w:pPr>
                    <w:pStyle w:val="41"/>
                    <w:bidi w:val="0"/>
                    <w:rPr>
                      <w:rFonts w:hint="eastAsia"/>
                      <w:lang w:val="en-US" w:eastAsia="zh-CN"/>
                    </w:rPr>
                  </w:pPr>
                  <w:r>
                    <w:rPr>
                      <w:rFonts w:hint="eastAsia"/>
                    </w:rPr>
                    <w:t>500ml/瓶</w:t>
                  </w:r>
                </w:p>
              </w:tc>
              <w:tc>
                <w:tcPr>
                  <w:tcW w:w="771" w:type="pct"/>
                  <w:shd w:val="clear" w:color="auto" w:fill="auto"/>
                  <w:vAlign w:val="center"/>
                </w:tcPr>
                <w:p w14:paraId="2B2BD417">
                  <w:pPr>
                    <w:pStyle w:val="41"/>
                    <w:bidi w:val="0"/>
                    <w:rPr>
                      <w:rFonts w:hint="default" w:eastAsia="宋体"/>
                      <w:lang w:val="en-US" w:eastAsia="zh-CN"/>
                    </w:rPr>
                  </w:pPr>
                  <w:r>
                    <w:rPr>
                      <w:rFonts w:hint="eastAsia"/>
                      <w:lang w:val="en-US" w:eastAsia="zh-CN"/>
                    </w:rPr>
                    <w:t>110kg</w:t>
                  </w:r>
                </w:p>
              </w:tc>
              <w:tc>
                <w:tcPr>
                  <w:tcW w:w="740" w:type="pct"/>
                  <w:shd w:val="clear" w:color="auto" w:fill="auto"/>
                  <w:vAlign w:val="center"/>
                </w:tcPr>
                <w:p w14:paraId="49159FD5">
                  <w:pPr>
                    <w:pStyle w:val="41"/>
                    <w:bidi w:val="0"/>
                    <w:rPr>
                      <w:rFonts w:hint="default" w:eastAsia="宋体"/>
                      <w:lang w:val="en-US" w:eastAsia="zh-CN"/>
                    </w:rPr>
                  </w:pPr>
                  <w:r>
                    <w:rPr>
                      <w:rFonts w:hint="eastAsia"/>
                      <w:lang w:val="en-US" w:eastAsia="zh-CN"/>
                    </w:rPr>
                    <w:t>20kg</w:t>
                  </w:r>
                </w:p>
              </w:tc>
              <w:tc>
                <w:tcPr>
                  <w:tcW w:w="521" w:type="pct"/>
                  <w:shd w:val="clear" w:color="auto" w:fill="auto"/>
                  <w:vAlign w:val="center"/>
                </w:tcPr>
                <w:p w14:paraId="037EDF43">
                  <w:pPr>
                    <w:pStyle w:val="41"/>
                    <w:bidi w:val="0"/>
                    <w:rPr>
                      <w:rFonts w:hint="eastAsia"/>
                      <w:lang w:val="en-US" w:eastAsia="zh-CN"/>
                    </w:rPr>
                  </w:pPr>
                  <w:r>
                    <w:rPr>
                      <w:rFonts w:hint="eastAsia"/>
                      <w:lang w:eastAsia="zh-CN"/>
                    </w:rPr>
                    <w:t>液体</w:t>
                  </w:r>
                </w:p>
              </w:tc>
              <w:tc>
                <w:tcPr>
                  <w:tcW w:w="447" w:type="pct"/>
                  <w:vMerge w:val="continue"/>
                </w:tcPr>
                <w:p w14:paraId="53062C45">
                  <w:pPr>
                    <w:pStyle w:val="41"/>
                    <w:bidi w:val="0"/>
                    <w:rPr>
                      <w:rFonts w:hint="default"/>
                      <w:lang w:val="en-US" w:eastAsia="zh-CN"/>
                    </w:rPr>
                  </w:pPr>
                </w:p>
              </w:tc>
            </w:tr>
            <w:tr w14:paraId="6D84FA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F7B6E49">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52E9BDD0">
                  <w:pPr>
                    <w:pStyle w:val="41"/>
                    <w:bidi w:val="0"/>
                    <w:rPr>
                      <w:rFonts w:hint="eastAsia"/>
                      <w:color w:val="FF0000"/>
                      <w:highlight w:val="yellow"/>
                      <w:lang w:val="en-US" w:eastAsia="zh-CN"/>
                    </w:rPr>
                  </w:pPr>
                  <w:r>
                    <w:rPr>
                      <w:rFonts w:hint="eastAsia"/>
                      <w:color w:val="FF0000"/>
                      <w:highlight w:val="yellow"/>
                    </w:rPr>
                    <w:t>甲醇（质谱纯）</w:t>
                  </w:r>
                </w:p>
              </w:tc>
              <w:tc>
                <w:tcPr>
                  <w:tcW w:w="669" w:type="pct"/>
                  <w:shd w:val="clear" w:color="auto" w:fill="auto"/>
                  <w:vAlign w:val="center"/>
                </w:tcPr>
                <w:p w14:paraId="5C551D20">
                  <w:pPr>
                    <w:pStyle w:val="41"/>
                    <w:bidi w:val="0"/>
                    <w:rPr>
                      <w:rFonts w:hint="default" w:eastAsia="宋体"/>
                      <w:lang w:val="en-US" w:eastAsia="zh-CN"/>
                    </w:rPr>
                  </w:pPr>
                  <w:r>
                    <w:rPr>
                      <w:rFonts w:hint="eastAsia"/>
                      <w:lang w:val="en-US" w:eastAsia="zh-CN"/>
                    </w:rPr>
                    <w:t>99.99%</w:t>
                  </w:r>
                </w:p>
              </w:tc>
              <w:tc>
                <w:tcPr>
                  <w:tcW w:w="687" w:type="pct"/>
                  <w:shd w:val="clear" w:color="auto" w:fill="auto"/>
                  <w:vAlign w:val="center"/>
                </w:tcPr>
                <w:p w14:paraId="179C8F9F">
                  <w:pPr>
                    <w:pStyle w:val="41"/>
                    <w:bidi w:val="0"/>
                    <w:rPr>
                      <w:rFonts w:hint="eastAsia"/>
                      <w:lang w:val="en-US" w:eastAsia="zh-CN"/>
                    </w:rPr>
                  </w:pPr>
                  <w:r>
                    <w:rPr>
                      <w:rFonts w:hint="eastAsia"/>
                    </w:rPr>
                    <w:t>2.5L/瓶</w:t>
                  </w:r>
                </w:p>
              </w:tc>
              <w:tc>
                <w:tcPr>
                  <w:tcW w:w="771" w:type="pct"/>
                  <w:shd w:val="clear" w:color="auto" w:fill="auto"/>
                  <w:vAlign w:val="center"/>
                </w:tcPr>
                <w:p w14:paraId="0F65CF3A">
                  <w:pPr>
                    <w:pStyle w:val="41"/>
                    <w:bidi w:val="0"/>
                    <w:rPr>
                      <w:rFonts w:hint="default" w:eastAsia="宋体"/>
                      <w:lang w:val="en-US" w:eastAsia="zh-CN"/>
                    </w:rPr>
                  </w:pPr>
                  <w:r>
                    <w:rPr>
                      <w:rFonts w:hint="eastAsia"/>
                      <w:lang w:val="en-US" w:eastAsia="zh-CN"/>
                    </w:rPr>
                    <w:t>550kg</w:t>
                  </w:r>
                </w:p>
              </w:tc>
              <w:tc>
                <w:tcPr>
                  <w:tcW w:w="740" w:type="pct"/>
                  <w:shd w:val="clear" w:color="auto" w:fill="auto"/>
                  <w:vAlign w:val="center"/>
                </w:tcPr>
                <w:p w14:paraId="04B8A51F">
                  <w:pPr>
                    <w:pStyle w:val="41"/>
                    <w:bidi w:val="0"/>
                    <w:rPr>
                      <w:rFonts w:hint="default" w:eastAsia="宋体"/>
                      <w:lang w:val="en-US" w:eastAsia="zh-CN"/>
                    </w:rPr>
                  </w:pPr>
                  <w:r>
                    <w:rPr>
                      <w:rFonts w:hint="eastAsia"/>
                      <w:lang w:val="en-US" w:eastAsia="zh-CN"/>
                    </w:rPr>
                    <w:t>20kg</w:t>
                  </w:r>
                </w:p>
              </w:tc>
              <w:tc>
                <w:tcPr>
                  <w:tcW w:w="521" w:type="pct"/>
                  <w:shd w:val="clear" w:color="auto" w:fill="auto"/>
                  <w:vAlign w:val="center"/>
                </w:tcPr>
                <w:p w14:paraId="6B809A96">
                  <w:pPr>
                    <w:pStyle w:val="41"/>
                    <w:bidi w:val="0"/>
                    <w:rPr>
                      <w:rFonts w:hint="eastAsia"/>
                      <w:lang w:val="en-US" w:eastAsia="zh-CN"/>
                    </w:rPr>
                  </w:pPr>
                  <w:r>
                    <w:rPr>
                      <w:rFonts w:hint="eastAsia"/>
                      <w:lang w:eastAsia="zh-CN"/>
                    </w:rPr>
                    <w:t>液体</w:t>
                  </w:r>
                </w:p>
              </w:tc>
              <w:tc>
                <w:tcPr>
                  <w:tcW w:w="447" w:type="pct"/>
                  <w:vMerge w:val="continue"/>
                </w:tcPr>
                <w:p w14:paraId="343E76C5">
                  <w:pPr>
                    <w:pStyle w:val="41"/>
                    <w:bidi w:val="0"/>
                    <w:rPr>
                      <w:rFonts w:hint="default"/>
                      <w:lang w:val="en-US" w:eastAsia="zh-CN"/>
                    </w:rPr>
                  </w:pPr>
                </w:p>
              </w:tc>
            </w:tr>
            <w:tr w14:paraId="72F328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659008C">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1DEE27D5">
                  <w:pPr>
                    <w:pStyle w:val="41"/>
                    <w:bidi w:val="0"/>
                    <w:rPr>
                      <w:rFonts w:hint="eastAsia"/>
                      <w:color w:val="FF0000"/>
                      <w:highlight w:val="yellow"/>
                      <w:lang w:val="en-US" w:eastAsia="zh-CN"/>
                    </w:rPr>
                  </w:pPr>
                  <w:r>
                    <w:rPr>
                      <w:rFonts w:hint="eastAsia"/>
                      <w:color w:val="FF0000"/>
                      <w:highlight w:val="yellow"/>
                    </w:rPr>
                    <w:t>甲醇（色谱纯）</w:t>
                  </w:r>
                </w:p>
              </w:tc>
              <w:tc>
                <w:tcPr>
                  <w:tcW w:w="669" w:type="pct"/>
                  <w:shd w:val="clear" w:color="auto" w:fill="auto"/>
                  <w:vAlign w:val="center"/>
                </w:tcPr>
                <w:p w14:paraId="2D7E238C">
                  <w:pPr>
                    <w:pStyle w:val="41"/>
                    <w:bidi w:val="0"/>
                    <w:rPr>
                      <w:rFonts w:hint="default" w:eastAsia="宋体"/>
                      <w:lang w:val="en-US" w:eastAsia="zh-CN"/>
                    </w:rPr>
                  </w:pPr>
                  <w:r>
                    <w:rPr>
                      <w:rFonts w:hint="eastAsia"/>
                      <w:lang w:val="en-US" w:eastAsia="zh-CN"/>
                    </w:rPr>
                    <w:t>99.99%</w:t>
                  </w:r>
                </w:p>
              </w:tc>
              <w:tc>
                <w:tcPr>
                  <w:tcW w:w="687" w:type="pct"/>
                  <w:shd w:val="clear" w:color="auto" w:fill="auto"/>
                  <w:vAlign w:val="center"/>
                </w:tcPr>
                <w:p w14:paraId="521E577E">
                  <w:pPr>
                    <w:pStyle w:val="41"/>
                    <w:bidi w:val="0"/>
                    <w:rPr>
                      <w:rFonts w:hint="eastAsia"/>
                      <w:lang w:val="en-US" w:eastAsia="zh-CN"/>
                    </w:rPr>
                  </w:pPr>
                  <w:r>
                    <w:rPr>
                      <w:rFonts w:hint="eastAsia"/>
                    </w:rPr>
                    <w:t>4L/瓶</w:t>
                  </w:r>
                </w:p>
              </w:tc>
              <w:tc>
                <w:tcPr>
                  <w:tcW w:w="771" w:type="pct"/>
                  <w:shd w:val="clear" w:color="auto" w:fill="auto"/>
                  <w:vAlign w:val="center"/>
                </w:tcPr>
                <w:p w14:paraId="4E672F91">
                  <w:pPr>
                    <w:pStyle w:val="41"/>
                    <w:bidi w:val="0"/>
                    <w:rPr>
                      <w:rFonts w:hint="default" w:eastAsia="宋体"/>
                      <w:lang w:val="en-US" w:eastAsia="zh-CN"/>
                    </w:rPr>
                  </w:pPr>
                  <w:r>
                    <w:rPr>
                      <w:rFonts w:hint="eastAsia"/>
                      <w:lang w:val="en-US" w:eastAsia="zh-CN"/>
                    </w:rPr>
                    <w:t>730kg</w:t>
                  </w:r>
                </w:p>
              </w:tc>
              <w:tc>
                <w:tcPr>
                  <w:tcW w:w="740" w:type="pct"/>
                  <w:shd w:val="clear" w:color="auto" w:fill="auto"/>
                  <w:vAlign w:val="center"/>
                </w:tcPr>
                <w:p w14:paraId="0EEA3DB6">
                  <w:pPr>
                    <w:pStyle w:val="41"/>
                    <w:bidi w:val="0"/>
                    <w:rPr>
                      <w:rFonts w:hint="default" w:eastAsia="宋体"/>
                      <w:lang w:val="en-US" w:eastAsia="zh-CN"/>
                    </w:rPr>
                  </w:pPr>
                  <w:r>
                    <w:rPr>
                      <w:rFonts w:hint="eastAsia"/>
                      <w:lang w:val="en-US" w:eastAsia="zh-CN"/>
                    </w:rPr>
                    <w:t>50kg</w:t>
                  </w:r>
                </w:p>
              </w:tc>
              <w:tc>
                <w:tcPr>
                  <w:tcW w:w="521" w:type="pct"/>
                  <w:shd w:val="clear" w:color="auto" w:fill="auto"/>
                  <w:vAlign w:val="center"/>
                </w:tcPr>
                <w:p w14:paraId="35F31AE2">
                  <w:pPr>
                    <w:pStyle w:val="41"/>
                    <w:bidi w:val="0"/>
                    <w:rPr>
                      <w:rFonts w:hint="eastAsia"/>
                      <w:lang w:val="en-US" w:eastAsia="zh-CN"/>
                    </w:rPr>
                  </w:pPr>
                  <w:r>
                    <w:rPr>
                      <w:rFonts w:hint="eastAsia"/>
                      <w:lang w:eastAsia="zh-CN"/>
                    </w:rPr>
                    <w:t>液体</w:t>
                  </w:r>
                </w:p>
              </w:tc>
              <w:tc>
                <w:tcPr>
                  <w:tcW w:w="447" w:type="pct"/>
                  <w:vMerge w:val="continue"/>
                </w:tcPr>
                <w:p w14:paraId="0EFE0FDC">
                  <w:pPr>
                    <w:pStyle w:val="41"/>
                    <w:bidi w:val="0"/>
                    <w:rPr>
                      <w:rFonts w:hint="default"/>
                      <w:lang w:val="en-US" w:eastAsia="zh-CN"/>
                    </w:rPr>
                  </w:pPr>
                </w:p>
              </w:tc>
            </w:tr>
            <w:tr w14:paraId="52FEAE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E5367D5">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1C89313D">
                  <w:pPr>
                    <w:pStyle w:val="41"/>
                    <w:bidi w:val="0"/>
                    <w:rPr>
                      <w:rFonts w:hint="eastAsia"/>
                      <w:color w:val="FF0000"/>
                      <w:lang w:val="en-US" w:eastAsia="zh-CN"/>
                    </w:rPr>
                  </w:pPr>
                  <w:r>
                    <w:rPr>
                      <w:rFonts w:hint="eastAsia"/>
                      <w:color w:val="FF0000"/>
                    </w:rPr>
                    <w:t>乙醇</w:t>
                  </w:r>
                </w:p>
              </w:tc>
              <w:tc>
                <w:tcPr>
                  <w:tcW w:w="669" w:type="pct"/>
                  <w:shd w:val="clear" w:color="auto" w:fill="auto"/>
                  <w:vAlign w:val="center"/>
                </w:tcPr>
                <w:p w14:paraId="2859FC9B">
                  <w:pPr>
                    <w:pStyle w:val="41"/>
                    <w:bidi w:val="0"/>
                    <w:rPr>
                      <w:rFonts w:hint="default" w:eastAsia="宋体"/>
                      <w:lang w:val="en-US" w:eastAsia="zh-CN"/>
                    </w:rPr>
                  </w:pPr>
                  <w:r>
                    <w:rPr>
                      <w:rFonts w:hint="eastAsia"/>
                      <w:lang w:val="en-US" w:eastAsia="zh-CN"/>
                    </w:rPr>
                    <w:t>95%</w:t>
                  </w:r>
                </w:p>
              </w:tc>
              <w:tc>
                <w:tcPr>
                  <w:tcW w:w="687" w:type="pct"/>
                  <w:shd w:val="clear" w:color="auto" w:fill="auto"/>
                  <w:vAlign w:val="center"/>
                </w:tcPr>
                <w:p w14:paraId="223E08A3">
                  <w:pPr>
                    <w:pStyle w:val="41"/>
                    <w:bidi w:val="0"/>
                    <w:rPr>
                      <w:rFonts w:hint="eastAsia"/>
                      <w:lang w:val="en-US" w:eastAsia="zh-CN"/>
                    </w:rPr>
                  </w:pPr>
                  <w:r>
                    <w:rPr>
                      <w:rFonts w:hint="eastAsia"/>
                    </w:rPr>
                    <w:t>500ml/瓶</w:t>
                  </w:r>
                </w:p>
              </w:tc>
              <w:tc>
                <w:tcPr>
                  <w:tcW w:w="771" w:type="pct"/>
                  <w:shd w:val="clear" w:color="auto" w:fill="auto"/>
                  <w:vAlign w:val="center"/>
                </w:tcPr>
                <w:p w14:paraId="7F2493BD">
                  <w:pPr>
                    <w:pStyle w:val="41"/>
                    <w:bidi w:val="0"/>
                    <w:rPr>
                      <w:rFonts w:hint="default" w:eastAsia="宋体"/>
                      <w:lang w:val="en-US" w:eastAsia="zh-CN"/>
                    </w:rPr>
                  </w:pPr>
                  <w:r>
                    <w:rPr>
                      <w:rFonts w:hint="eastAsia"/>
                      <w:lang w:val="en-US" w:eastAsia="zh-CN"/>
                    </w:rPr>
                    <w:t>150kg</w:t>
                  </w:r>
                </w:p>
              </w:tc>
              <w:tc>
                <w:tcPr>
                  <w:tcW w:w="740" w:type="pct"/>
                  <w:shd w:val="clear" w:color="auto" w:fill="auto"/>
                  <w:vAlign w:val="center"/>
                </w:tcPr>
                <w:p w14:paraId="00B82B55">
                  <w:pPr>
                    <w:pStyle w:val="41"/>
                    <w:bidi w:val="0"/>
                    <w:rPr>
                      <w:rFonts w:hint="default" w:eastAsia="宋体"/>
                      <w:lang w:val="en-US" w:eastAsia="zh-CN"/>
                    </w:rPr>
                  </w:pPr>
                  <w:r>
                    <w:rPr>
                      <w:rFonts w:hint="eastAsia"/>
                      <w:lang w:val="en-US" w:eastAsia="zh-CN"/>
                    </w:rPr>
                    <w:t>20kg</w:t>
                  </w:r>
                </w:p>
              </w:tc>
              <w:tc>
                <w:tcPr>
                  <w:tcW w:w="521" w:type="pct"/>
                  <w:shd w:val="clear" w:color="auto" w:fill="auto"/>
                  <w:vAlign w:val="center"/>
                </w:tcPr>
                <w:p w14:paraId="14BDC524">
                  <w:pPr>
                    <w:pStyle w:val="41"/>
                    <w:bidi w:val="0"/>
                    <w:rPr>
                      <w:rFonts w:hint="eastAsia"/>
                      <w:lang w:val="en-US" w:eastAsia="zh-CN"/>
                    </w:rPr>
                  </w:pPr>
                  <w:r>
                    <w:rPr>
                      <w:rFonts w:hint="eastAsia"/>
                      <w:lang w:eastAsia="zh-CN"/>
                    </w:rPr>
                    <w:t>液体</w:t>
                  </w:r>
                </w:p>
              </w:tc>
              <w:tc>
                <w:tcPr>
                  <w:tcW w:w="447" w:type="pct"/>
                  <w:vMerge w:val="continue"/>
                </w:tcPr>
                <w:p w14:paraId="5B031D3C">
                  <w:pPr>
                    <w:pStyle w:val="41"/>
                    <w:bidi w:val="0"/>
                    <w:rPr>
                      <w:rFonts w:hint="default"/>
                      <w:lang w:val="en-US" w:eastAsia="zh-CN"/>
                    </w:rPr>
                  </w:pPr>
                </w:p>
              </w:tc>
            </w:tr>
            <w:tr w14:paraId="123236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7122BB0">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1DDFAB66">
                  <w:pPr>
                    <w:pStyle w:val="41"/>
                    <w:bidi w:val="0"/>
                    <w:rPr>
                      <w:rFonts w:hint="eastAsia"/>
                      <w:color w:val="FF0000"/>
                      <w:highlight w:val="yellow"/>
                      <w:lang w:val="en-US" w:eastAsia="zh-CN"/>
                    </w:rPr>
                  </w:pPr>
                  <w:r>
                    <w:rPr>
                      <w:rFonts w:hint="eastAsia"/>
                      <w:color w:val="FF0000"/>
                      <w:highlight w:val="yellow"/>
                    </w:rPr>
                    <w:t>乙腈（色谱纯）</w:t>
                  </w:r>
                </w:p>
              </w:tc>
              <w:tc>
                <w:tcPr>
                  <w:tcW w:w="669" w:type="pct"/>
                  <w:shd w:val="clear" w:color="auto" w:fill="auto"/>
                  <w:vAlign w:val="center"/>
                </w:tcPr>
                <w:p w14:paraId="7D38CE47">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99.99%</w:t>
                  </w:r>
                </w:p>
              </w:tc>
              <w:tc>
                <w:tcPr>
                  <w:tcW w:w="687" w:type="pct"/>
                  <w:shd w:val="clear" w:color="auto" w:fill="auto"/>
                  <w:vAlign w:val="center"/>
                </w:tcPr>
                <w:p w14:paraId="3EC3C5FC">
                  <w:pPr>
                    <w:pStyle w:val="41"/>
                    <w:bidi w:val="0"/>
                    <w:rPr>
                      <w:rFonts w:hint="eastAsia"/>
                      <w:lang w:val="en-US" w:eastAsia="zh-CN"/>
                    </w:rPr>
                  </w:pPr>
                  <w:r>
                    <w:rPr>
                      <w:rFonts w:hint="eastAsia"/>
                    </w:rPr>
                    <w:t>4L/瓶</w:t>
                  </w:r>
                </w:p>
              </w:tc>
              <w:tc>
                <w:tcPr>
                  <w:tcW w:w="771" w:type="pct"/>
                  <w:shd w:val="clear" w:color="auto" w:fill="auto"/>
                  <w:vAlign w:val="center"/>
                </w:tcPr>
                <w:p w14:paraId="294666CE">
                  <w:pPr>
                    <w:pStyle w:val="41"/>
                    <w:bidi w:val="0"/>
                    <w:rPr>
                      <w:rFonts w:hint="default" w:eastAsia="宋体"/>
                      <w:lang w:val="en-US" w:eastAsia="zh-CN"/>
                    </w:rPr>
                  </w:pPr>
                  <w:r>
                    <w:rPr>
                      <w:rFonts w:hint="eastAsia"/>
                      <w:lang w:val="en-US" w:eastAsia="zh-CN"/>
                    </w:rPr>
                    <w:t>900kg</w:t>
                  </w:r>
                </w:p>
              </w:tc>
              <w:tc>
                <w:tcPr>
                  <w:tcW w:w="740" w:type="pct"/>
                  <w:shd w:val="clear" w:color="auto" w:fill="auto"/>
                  <w:vAlign w:val="center"/>
                </w:tcPr>
                <w:p w14:paraId="4EE33069">
                  <w:pPr>
                    <w:pStyle w:val="41"/>
                    <w:bidi w:val="0"/>
                    <w:rPr>
                      <w:rFonts w:hint="default" w:eastAsia="宋体"/>
                      <w:lang w:val="en-US" w:eastAsia="zh-CN"/>
                    </w:rPr>
                  </w:pPr>
                  <w:r>
                    <w:rPr>
                      <w:rFonts w:hint="eastAsia"/>
                      <w:lang w:val="en-US" w:eastAsia="zh-CN"/>
                    </w:rPr>
                    <w:t>50kg</w:t>
                  </w:r>
                </w:p>
              </w:tc>
              <w:tc>
                <w:tcPr>
                  <w:tcW w:w="521" w:type="pct"/>
                  <w:shd w:val="clear" w:color="auto" w:fill="auto"/>
                  <w:vAlign w:val="center"/>
                </w:tcPr>
                <w:p w14:paraId="671826F2">
                  <w:pPr>
                    <w:pStyle w:val="41"/>
                    <w:bidi w:val="0"/>
                    <w:rPr>
                      <w:rFonts w:hint="eastAsia"/>
                      <w:lang w:val="en-US" w:eastAsia="zh-CN"/>
                    </w:rPr>
                  </w:pPr>
                  <w:r>
                    <w:rPr>
                      <w:rFonts w:hint="eastAsia"/>
                      <w:lang w:eastAsia="zh-CN"/>
                    </w:rPr>
                    <w:t>液体</w:t>
                  </w:r>
                </w:p>
              </w:tc>
              <w:tc>
                <w:tcPr>
                  <w:tcW w:w="447" w:type="pct"/>
                  <w:vMerge w:val="continue"/>
                </w:tcPr>
                <w:p w14:paraId="1185A42B">
                  <w:pPr>
                    <w:pStyle w:val="41"/>
                    <w:bidi w:val="0"/>
                    <w:rPr>
                      <w:rFonts w:hint="default"/>
                      <w:lang w:val="en-US" w:eastAsia="zh-CN"/>
                    </w:rPr>
                  </w:pPr>
                </w:p>
              </w:tc>
            </w:tr>
            <w:tr w14:paraId="3CFE79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949BE3B">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5C8660A6">
                  <w:pPr>
                    <w:pStyle w:val="41"/>
                    <w:bidi w:val="0"/>
                    <w:rPr>
                      <w:rFonts w:hint="eastAsia"/>
                      <w:color w:val="FF0000"/>
                      <w:highlight w:val="yellow"/>
                      <w:lang w:val="en-US" w:eastAsia="zh-CN"/>
                    </w:rPr>
                  </w:pPr>
                  <w:r>
                    <w:rPr>
                      <w:rFonts w:hint="eastAsia"/>
                      <w:color w:val="FF0000"/>
                      <w:highlight w:val="yellow"/>
                    </w:rPr>
                    <w:t>乙腈（质谱纯）</w:t>
                  </w:r>
                </w:p>
              </w:tc>
              <w:tc>
                <w:tcPr>
                  <w:tcW w:w="669" w:type="pct"/>
                  <w:shd w:val="clear" w:color="auto" w:fill="auto"/>
                  <w:vAlign w:val="center"/>
                </w:tcPr>
                <w:p w14:paraId="5B95B345">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99.99%</w:t>
                  </w:r>
                </w:p>
              </w:tc>
              <w:tc>
                <w:tcPr>
                  <w:tcW w:w="687" w:type="pct"/>
                  <w:shd w:val="clear" w:color="auto" w:fill="auto"/>
                  <w:vAlign w:val="center"/>
                </w:tcPr>
                <w:p w14:paraId="2A72ACF2">
                  <w:pPr>
                    <w:pStyle w:val="41"/>
                    <w:bidi w:val="0"/>
                    <w:rPr>
                      <w:rFonts w:hint="eastAsia"/>
                      <w:lang w:val="en-US" w:eastAsia="zh-CN"/>
                    </w:rPr>
                  </w:pPr>
                  <w:r>
                    <w:rPr>
                      <w:rFonts w:hint="eastAsia"/>
                    </w:rPr>
                    <w:t>2.5L/瓶</w:t>
                  </w:r>
                </w:p>
              </w:tc>
              <w:tc>
                <w:tcPr>
                  <w:tcW w:w="771" w:type="pct"/>
                  <w:shd w:val="clear" w:color="auto" w:fill="auto"/>
                  <w:vAlign w:val="center"/>
                </w:tcPr>
                <w:p w14:paraId="18AF8C66">
                  <w:pPr>
                    <w:pStyle w:val="41"/>
                    <w:bidi w:val="0"/>
                    <w:rPr>
                      <w:rFonts w:hint="default" w:eastAsia="宋体"/>
                      <w:lang w:val="en-US" w:eastAsia="zh-CN"/>
                    </w:rPr>
                  </w:pPr>
                  <w:r>
                    <w:rPr>
                      <w:rFonts w:hint="eastAsia"/>
                      <w:lang w:val="en-US" w:eastAsia="zh-CN"/>
                    </w:rPr>
                    <w:t>900kg</w:t>
                  </w:r>
                </w:p>
              </w:tc>
              <w:tc>
                <w:tcPr>
                  <w:tcW w:w="740" w:type="pct"/>
                  <w:shd w:val="clear" w:color="auto" w:fill="auto"/>
                  <w:vAlign w:val="center"/>
                </w:tcPr>
                <w:p w14:paraId="5B15E582">
                  <w:pPr>
                    <w:pStyle w:val="41"/>
                    <w:bidi w:val="0"/>
                    <w:rPr>
                      <w:rFonts w:hint="default" w:eastAsia="宋体"/>
                      <w:lang w:val="en-US" w:eastAsia="zh-CN"/>
                    </w:rPr>
                  </w:pPr>
                  <w:r>
                    <w:rPr>
                      <w:rFonts w:hint="eastAsia"/>
                      <w:lang w:val="en-US" w:eastAsia="zh-CN"/>
                    </w:rPr>
                    <w:t>50kg</w:t>
                  </w:r>
                </w:p>
              </w:tc>
              <w:tc>
                <w:tcPr>
                  <w:tcW w:w="521" w:type="pct"/>
                  <w:shd w:val="clear" w:color="auto" w:fill="auto"/>
                  <w:vAlign w:val="center"/>
                </w:tcPr>
                <w:p w14:paraId="02830E12">
                  <w:pPr>
                    <w:pStyle w:val="41"/>
                    <w:bidi w:val="0"/>
                    <w:rPr>
                      <w:rFonts w:hint="eastAsia"/>
                      <w:lang w:val="en-US" w:eastAsia="zh-CN"/>
                    </w:rPr>
                  </w:pPr>
                  <w:r>
                    <w:rPr>
                      <w:rFonts w:hint="eastAsia"/>
                      <w:lang w:eastAsia="zh-CN"/>
                    </w:rPr>
                    <w:t>液体</w:t>
                  </w:r>
                </w:p>
              </w:tc>
              <w:tc>
                <w:tcPr>
                  <w:tcW w:w="447" w:type="pct"/>
                  <w:vMerge w:val="continue"/>
                </w:tcPr>
                <w:p w14:paraId="178EBAD5">
                  <w:pPr>
                    <w:pStyle w:val="41"/>
                    <w:bidi w:val="0"/>
                    <w:rPr>
                      <w:rFonts w:hint="default"/>
                      <w:lang w:val="en-US" w:eastAsia="zh-CN"/>
                    </w:rPr>
                  </w:pPr>
                </w:p>
              </w:tc>
            </w:tr>
            <w:tr w14:paraId="4BE94E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20E917DE">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05ABEC00">
                  <w:pPr>
                    <w:pStyle w:val="41"/>
                    <w:bidi w:val="0"/>
                    <w:rPr>
                      <w:rFonts w:hint="eastAsia"/>
                      <w:lang w:val="en-US" w:eastAsia="zh-CN"/>
                    </w:rPr>
                  </w:pPr>
                  <w:r>
                    <w:rPr>
                      <w:rFonts w:hint="eastAsia"/>
                      <w:color w:val="FF0000"/>
                      <w:highlight w:val="yellow"/>
                    </w:rPr>
                    <w:t>正丁醇</w:t>
                  </w:r>
                </w:p>
              </w:tc>
              <w:tc>
                <w:tcPr>
                  <w:tcW w:w="669" w:type="pct"/>
                  <w:shd w:val="clear" w:color="auto" w:fill="auto"/>
                  <w:vAlign w:val="center"/>
                </w:tcPr>
                <w:p w14:paraId="5657F244">
                  <w:pPr>
                    <w:pStyle w:val="41"/>
                    <w:bidi w:val="0"/>
                    <w:rPr>
                      <w:rFonts w:hint="default" w:eastAsia="宋体"/>
                      <w:lang w:val="en-US" w:eastAsia="zh-CN"/>
                    </w:rPr>
                  </w:pPr>
                  <w:r>
                    <w:rPr>
                      <w:rFonts w:hint="eastAsia"/>
                      <w:lang w:val="en-US" w:eastAsia="zh-CN"/>
                    </w:rPr>
                    <w:t>99.5%</w:t>
                  </w:r>
                </w:p>
              </w:tc>
              <w:tc>
                <w:tcPr>
                  <w:tcW w:w="687" w:type="pct"/>
                  <w:shd w:val="clear" w:color="auto" w:fill="auto"/>
                  <w:vAlign w:val="center"/>
                </w:tcPr>
                <w:p w14:paraId="04F69165">
                  <w:pPr>
                    <w:pStyle w:val="41"/>
                    <w:bidi w:val="0"/>
                    <w:rPr>
                      <w:rFonts w:hint="eastAsia"/>
                      <w:lang w:val="en-US" w:eastAsia="zh-CN"/>
                    </w:rPr>
                  </w:pPr>
                  <w:r>
                    <w:rPr>
                      <w:rFonts w:hint="eastAsia"/>
                    </w:rPr>
                    <w:t>500ml/瓶</w:t>
                  </w:r>
                </w:p>
              </w:tc>
              <w:tc>
                <w:tcPr>
                  <w:tcW w:w="771" w:type="pct"/>
                  <w:shd w:val="clear" w:color="auto" w:fill="auto"/>
                  <w:vAlign w:val="center"/>
                </w:tcPr>
                <w:p w14:paraId="683999A1">
                  <w:pPr>
                    <w:pStyle w:val="41"/>
                    <w:bidi w:val="0"/>
                    <w:rPr>
                      <w:rFonts w:hint="default" w:eastAsia="宋体"/>
                      <w:lang w:val="en-US" w:eastAsia="zh-CN"/>
                    </w:rPr>
                  </w:pPr>
                  <w:r>
                    <w:rPr>
                      <w:rFonts w:hint="eastAsia"/>
                      <w:lang w:val="en-US" w:eastAsia="zh-CN"/>
                    </w:rPr>
                    <w:t>150kg</w:t>
                  </w:r>
                </w:p>
              </w:tc>
              <w:tc>
                <w:tcPr>
                  <w:tcW w:w="740" w:type="pct"/>
                  <w:shd w:val="clear" w:color="auto" w:fill="auto"/>
                  <w:vAlign w:val="center"/>
                </w:tcPr>
                <w:p w14:paraId="5A02377B">
                  <w:pPr>
                    <w:pStyle w:val="41"/>
                    <w:bidi w:val="0"/>
                    <w:rPr>
                      <w:rFonts w:hint="default" w:eastAsia="宋体"/>
                      <w:lang w:val="en-US" w:eastAsia="zh-CN"/>
                    </w:rPr>
                  </w:pPr>
                  <w:r>
                    <w:rPr>
                      <w:rFonts w:hint="eastAsia"/>
                      <w:lang w:val="en-US" w:eastAsia="zh-CN"/>
                    </w:rPr>
                    <w:t>20kg</w:t>
                  </w:r>
                </w:p>
              </w:tc>
              <w:tc>
                <w:tcPr>
                  <w:tcW w:w="521" w:type="pct"/>
                  <w:shd w:val="clear" w:color="auto" w:fill="auto"/>
                  <w:vAlign w:val="center"/>
                </w:tcPr>
                <w:p w14:paraId="5EA0E0F7">
                  <w:pPr>
                    <w:pStyle w:val="41"/>
                    <w:bidi w:val="0"/>
                    <w:rPr>
                      <w:rFonts w:hint="eastAsia"/>
                      <w:lang w:val="en-US" w:eastAsia="zh-CN"/>
                    </w:rPr>
                  </w:pPr>
                  <w:r>
                    <w:rPr>
                      <w:rFonts w:hint="eastAsia"/>
                      <w:lang w:eastAsia="zh-CN"/>
                    </w:rPr>
                    <w:t>液体</w:t>
                  </w:r>
                </w:p>
              </w:tc>
              <w:tc>
                <w:tcPr>
                  <w:tcW w:w="447" w:type="pct"/>
                  <w:vMerge w:val="continue"/>
                </w:tcPr>
                <w:p w14:paraId="53EB03AF">
                  <w:pPr>
                    <w:pStyle w:val="41"/>
                    <w:bidi w:val="0"/>
                    <w:rPr>
                      <w:rFonts w:hint="default"/>
                      <w:lang w:val="en-US" w:eastAsia="zh-CN"/>
                    </w:rPr>
                  </w:pPr>
                </w:p>
              </w:tc>
            </w:tr>
            <w:tr w14:paraId="741126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F10F641">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60675D7D">
                  <w:pPr>
                    <w:pStyle w:val="41"/>
                    <w:bidi w:val="0"/>
                    <w:rPr>
                      <w:rFonts w:hint="eastAsia"/>
                      <w:lang w:val="en-US" w:eastAsia="zh-CN"/>
                    </w:rPr>
                  </w:pPr>
                  <w:r>
                    <w:rPr>
                      <w:rFonts w:hint="eastAsia"/>
                      <w:color w:val="FF0000"/>
                      <w:highlight w:val="yellow"/>
                    </w:rPr>
                    <w:t>异丙醇（色谱纯）</w:t>
                  </w:r>
                </w:p>
              </w:tc>
              <w:tc>
                <w:tcPr>
                  <w:tcW w:w="669" w:type="pct"/>
                  <w:shd w:val="clear" w:color="auto" w:fill="auto"/>
                  <w:vAlign w:val="center"/>
                </w:tcPr>
                <w:p w14:paraId="1C0505B3">
                  <w:pPr>
                    <w:pStyle w:val="41"/>
                    <w:bidi w:val="0"/>
                    <w:rPr>
                      <w:rFonts w:hint="default" w:eastAsia="宋体"/>
                      <w:lang w:val="en-US" w:eastAsia="zh-CN"/>
                    </w:rPr>
                  </w:pPr>
                  <w:r>
                    <w:rPr>
                      <w:rFonts w:hint="eastAsia"/>
                      <w:lang w:val="en-US" w:eastAsia="zh-CN"/>
                    </w:rPr>
                    <w:t>99.99%</w:t>
                  </w:r>
                </w:p>
              </w:tc>
              <w:tc>
                <w:tcPr>
                  <w:tcW w:w="687" w:type="pct"/>
                  <w:shd w:val="clear" w:color="auto" w:fill="auto"/>
                  <w:vAlign w:val="center"/>
                </w:tcPr>
                <w:p w14:paraId="29216369">
                  <w:pPr>
                    <w:pStyle w:val="41"/>
                    <w:bidi w:val="0"/>
                    <w:rPr>
                      <w:rFonts w:hint="eastAsia"/>
                      <w:lang w:val="en-US" w:eastAsia="zh-CN"/>
                    </w:rPr>
                  </w:pPr>
                  <w:r>
                    <w:rPr>
                      <w:rFonts w:hint="eastAsia"/>
                    </w:rPr>
                    <w:t>4L/瓶</w:t>
                  </w:r>
                </w:p>
              </w:tc>
              <w:tc>
                <w:tcPr>
                  <w:tcW w:w="771" w:type="pct"/>
                  <w:shd w:val="clear" w:color="auto" w:fill="auto"/>
                  <w:vAlign w:val="center"/>
                </w:tcPr>
                <w:p w14:paraId="1C935028">
                  <w:pPr>
                    <w:pStyle w:val="41"/>
                    <w:bidi w:val="0"/>
                    <w:rPr>
                      <w:rFonts w:hint="default" w:eastAsia="宋体"/>
                      <w:lang w:val="en-US" w:eastAsia="zh-CN"/>
                    </w:rPr>
                  </w:pPr>
                  <w:r>
                    <w:rPr>
                      <w:rFonts w:hint="eastAsia"/>
                      <w:lang w:val="en-US" w:eastAsia="zh-CN"/>
                    </w:rPr>
                    <w:t>8kg</w:t>
                  </w:r>
                </w:p>
              </w:tc>
              <w:tc>
                <w:tcPr>
                  <w:tcW w:w="740" w:type="pct"/>
                  <w:shd w:val="clear" w:color="auto" w:fill="auto"/>
                  <w:vAlign w:val="center"/>
                </w:tcPr>
                <w:p w14:paraId="6008654C">
                  <w:pPr>
                    <w:pStyle w:val="41"/>
                    <w:bidi w:val="0"/>
                    <w:rPr>
                      <w:rFonts w:hint="default" w:eastAsia="宋体"/>
                      <w:lang w:val="en-US" w:eastAsia="zh-CN"/>
                    </w:rPr>
                  </w:pPr>
                  <w:r>
                    <w:rPr>
                      <w:rFonts w:hint="eastAsia"/>
                      <w:lang w:val="en-US" w:eastAsia="zh-CN"/>
                    </w:rPr>
                    <w:t>4kg</w:t>
                  </w:r>
                </w:p>
              </w:tc>
              <w:tc>
                <w:tcPr>
                  <w:tcW w:w="521" w:type="pct"/>
                  <w:shd w:val="clear" w:color="auto" w:fill="auto"/>
                  <w:vAlign w:val="center"/>
                </w:tcPr>
                <w:p w14:paraId="23C61BCF">
                  <w:pPr>
                    <w:pStyle w:val="41"/>
                    <w:bidi w:val="0"/>
                    <w:rPr>
                      <w:rFonts w:hint="eastAsia"/>
                      <w:lang w:val="en-US" w:eastAsia="zh-CN"/>
                    </w:rPr>
                  </w:pPr>
                  <w:r>
                    <w:rPr>
                      <w:rFonts w:hint="eastAsia"/>
                      <w:lang w:eastAsia="zh-CN"/>
                    </w:rPr>
                    <w:t>液体</w:t>
                  </w:r>
                </w:p>
              </w:tc>
              <w:tc>
                <w:tcPr>
                  <w:tcW w:w="447" w:type="pct"/>
                  <w:vMerge w:val="continue"/>
                </w:tcPr>
                <w:p w14:paraId="103C5A9A">
                  <w:pPr>
                    <w:pStyle w:val="41"/>
                    <w:bidi w:val="0"/>
                    <w:rPr>
                      <w:rFonts w:hint="default"/>
                      <w:lang w:val="en-US" w:eastAsia="zh-CN"/>
                    </w:rPr>
                  </w:pPr>
                </w:p>
              </w:tc>
            </w:tr>
            <w:tr w14:paraId="065523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C8E65B2">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165A3915">
                  <w:pPr>
                    <w:pStyle w:val="41"/>
                    <w:bidi w:val="0"/>
                    <w:rPr>
                      <w:rFonts w:hint="default" w:eastAsia="宋体"/>
                      <w:lang w:val="en-US" w:eastAsia="zh-CN"/>
                    </w:rPr>
                  </w:pPr>
                  <w:r>
                    <w:rPr>
                      <w:rFonts w:hint="eastAsia"/>
                      <w:lang w:val="en-US" w:eastAsia="zh-CN"/>
                    </w:rPr>
                    <w:t>内标溶液</w:t>
                  </w:r>
                </w:p>
              </w:tc>
              <w:tc>
                <w:tcPr>
                  <w:tcW w:w="669" w:type="pct"/>
                  <w:shd w:val="clear" w:color="auto" w:fill="auto"/>
                  <w:vAlign w:val="center"/>
                </w:tcPr>
                <w:p w14:paraId="2EA7F082">
                  <w:pPr>
                    <w:pStyle w:val="41"/>
                    <w:bidi w:val="0"/>
                    <w:rPr>
                      <w:rFonts w:hint="default"/>
                      <w:lang w:val="en-US" w:eastAsia="zh-CN"/>
                    </w:rPr>
                  </w:pPr>
                  <w:r>
                    <w:rPr>
                      <w:rFonts w:hint="eastAsia"/>
                      <w:lang w:val="en-US" w:eastAsia="zh-CN"/>
                    </w:rPr>
                    <w:t>/</w:t>
                  </w:r>
                </w:p>
              </w:tc>
              <w:tc>
                <w:tcPr>
                  <w:tcW w:w="687" w:type="pct"/>
                  <w:shd w:val="clear" w:color="auto" w:fill="auto"/>
                  <w:vAlign w:val="center"/>
                </w:tcPr>
                <w:p w14:paraId="78BC6431">
                  <w:pPr>
                    <w:pStyle w:val="41"/>
                    <w:bidi w:val="0"/>
                    <w:rPr>
                      <w:rFonts w:hint="eastAsia" w:ascii="Times New Roman" w:hAnsi="Times New Roman" w:eastAsia="宋体" w:cs="Times New Roman"/>
                      <w:kern w:val="0"/>
                      <w:sz w:val="21"/>
                      <w:szCs w:val="24"/>
                      <w:lang w:val="en-US" w:eastAsia="zh-CN" w:bidi="ar-SA"/>
                    </w:rPr>
                  </w:pPr>
                  <w:r>
                    <w:rPr>
                      <w:rFonts w:hint="eastAsia"/>
                    </w:rPr>
                    <w:t>500ml/瓶</w:t>
                  </w:r>
                </w:p>
              </w:tc>
              <w:tc>
                <w:tcPr>
                  <w:tcW w:w="771" w:type="pct"/>
                  <w:shd w:val="clear" w:color="auto" w:fill="auto"/>
                  <w:vAlign w:val="center"/>
                </w:tcPr>
                <w:p w14:paraId="6DAF04F0">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500g</w:t>
                  </w:r>
                </w:p>
              </w:tc>
              <w:tc>
                <w:tcPr>
                  <w:tcW w:w="740" w:type="pct"/>
                  <w:shd w:val="clear" w:color="auto" w:fill="auto"/>
                  <w:vAlign w:val="center"/>
                </w:tcPr>
                <w:p w14:paraId="0099489D">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500g</w:t>
                  </w:r>
                </w:p>
              </w:tc>
              <w:tc>
                <w:tcPr>
                  <w:tcW w:w="521" w:type="pct"/>
                  <w:shd w:val="clear" w:color="auto" w:fill="auto"/>
                  <w:vAlign w:val="center"/>
                </w:tcPr>
                <w:p w14:paraId="30FCB11E">
                  <w:pPr>
                    <w:pStyle w:val="41"/>
                    <w:bidi w:val="0"/>
                    <w:rPr>
                      <w:rFonts w:hint="eastAsia" w:ascii="Times New Roman" w:hAnsi="Times New Roman" w:eastAsia="宋体" w:cs="Times New Roman"/>
                      <w:kern w:val="0"/>
                      <w:sz w:val="21"/>
                      <w:szCs w:val="24"/>
                      <w:lang w:val="en-US" w:eastAsia="zh-CN" w:bidi="ar-SA"/>
                    </w:rPr>
                  </w:pPr>
                  <w:r>
                    <w:rPr>
                      <w:rFonts w:hint="eastAsia"/>
                      <w:lang w:eastAsia="zh-CN"/>
                    </w:rPr>
                    <w:t>液体</w:t>
                  </w:r>
                </w:p>
              </w:tc>
              <w:tc>
                <w:tcPr>
                  <w:tcW w:w="447" w:type="pct"/>
                  <w:vMerge w:val="continue"/>
                </w:tcPr>
                <w:p w14:paraId="7549FDB2">
                  <w:pPr>
                    <w:pStyle w:val="41"/>
                    <w:bidi w:val="0"/>
                    <w:rPr>
                      <w:rFonts w:hint="default"/>
                      <w:lang w:val="en-US" w:eastAsia="zh-CN"/>
                    </w:rPr>
                  </w:pPr>
                </w:p>
              </w:tc>
            </w:tr>
            <w:tr w14:paraId="418483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553204F">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367A9920">
                  <w:pPr>
                    <w:pStyle w:val="41"/>
                    <w:bidi w:val="0"/>
                    <w:rPr>
                      <w:rFonts w:hint="eastAsia"/>
                      <w:color w:val="FF0000"/>
                      <w:highlight w:val="yellow"/>
                      <w:lang w:val="en-US" w:eastAsia="zh-CN"/>
                    </w:rPr>
                  </w:pPr>
                  <w:r>
                    <w:rPr>
                      <w:rFonts w:hint="eastAsia"/>
                      <w:color w:val="FF0000"/>
                      <w:highlight w:val="yellow"/>
                    </w:rPr>
                    <w:t>乙酸乙酯</w:t>
                  </w:r>
                </w:p>
              </w:tc>
              <w:tc>
                <w:tcPr>
                  <w:tcW w:w="669" w:type="pct"/>
                  <w:shd w:val="clear" w:color="auto" w:fill="auto"/>
                  <w:vAlign w:val="center"/>
                </w:tcPr>
                <w:p w14:paraId="1ECEC72E">
                  <w:pPr>
                    <w:pStyle w:val="41"/>
                    <w:bidi w:val="0"/>
                    <w:rPr>
                      <w:rFonts w:hint="default" w:eastAsia="宋体"/>
                      <w:lang w:val="en-US" w:eastAsia="zh-CN"/>
                    </w:rPr>
                  </w:pPr>
                  <w:r>
                    <w:rPr>
                      <w:rFonts w:hint="eastAsia"/>
                      <w:lang w:val="en-US" w:eastAsia="zh-CN"/>
                    </w:rPr>
                    <w:t>99.5%</w:t>
                  </w:r>
                </w:p>
              </w:tc>
              <w:tc>
                <w:tcPr>
                  <w:tcW w:w="687" w:type="pct"/>
                  <w:shd w:val="clear" w:color="auto" w:fill="auto"/>
                  <w:vAlign w:val="center"/>
                </w:tcPr>
                <w:p w14:paraId="5C1CD790">
                  <w:pPr>
                    <w:pStyle w:val="41"/>
                    <w:bidi w:val="0"/>
                    <w:rPr>
                      <w:rFonts w:hint="eastAsia"/>
                      <w:lang w:val="en-US" w:eastAsia="zh-CN"/>
                    </w:rPr>
                  </w:pPr>
                  <w:r>
                    <w:rPr>
                      <w:rFonts w:hint="eastAsia"/>
                    </w:rPr>
                    <w:t>500ml/瓶</w:t>
                  </w:r>
                </w:p>
              </w:tc>
              <w:tc>
                <w:tcPr>
                  <w:tcW w:w="771" w:type="pct"/>
                  <w:shd w:val="clear" w:color="auto" w:fill="auto"/>
                  <w:vAlign w:val="center"/>
                </w:tcPr>
                <w:p w14:paraId="133A48EB">
                  <w:pPr>
                    <w:pStyle w:val="41"/>
                    <w:bidi w:val="0"/>
                    <w:rPr>
                      <w:rFonts w:hint="default" w:eastAsia="宋体"/>
                      <w:lang w:val="en-US" w:eastAsia="zh-CN"/>
                    </w:rPr>
                  </w:pPr>
                  <w:r>
                    <w:rPr>
                      <w:rFonts w:hint="eastAsia"/>
                      <w:lang w:val="en-US" w:eastAsia="zh-CN"/>
                    </w:rPr>
                    <w:t>110kg</w:t>
                  </w:r>
                </w:p>
              </w:tc>
              <w:tc>
                <w:tcPr>
                  <w:tcW w:w="740" w:type="pct"/>
                  <w:shd w:val="clear" w:color="auto" w:fill="auto"/>
                  <w:vAlign w:val="center"/>
                </w:tcPr>
                <w:p w14:paraId="3FEE4D5B">
                  <w:pPr>
                    <w:pStyle w:val="41"/>
                    <w:bidi w:val="0"/>
                    <w:rPr>
                      <w:rFonts w:hint="default" w:eastAsia="宋体"/>
                      <w:lang w:val="en-US" w:eastAsia="zh-CN"/>
                    </w:rPr>
                  </w:pPr>
                  <w:r>
                    <w:rPr>
                      <w:rFonts w:hint="eastAsia"/>
                      <w:lang w:val="en-US" w:eastAsia="zh-CN"/>
                    </w:rPr>
                    <w:t>20kg</w:t>
                  </w:r>
                </w:p>
              </w:tc>
              <w:tc>
                <w:tcPr>
                  <w:tcW w:w="521" w:type="pct"/>
                  <w:shd w:val="clear" w:color="auto" w:fill="auto"/>
                  <w:vAlign w:val="center"/>
                </w:tcPr>
                <w:p w14:paraId="7E7C1701">
                  <w:pPr>
                    <w:pStyle w:val="41"/>
                    <w:bidi w:val="0"/>
                    <w:rPr>
                      <w:rFonts w:hint="eastAsia"/>
                      <w:lang w:val="en-US" w:eastAsia="zh-CN"/>
                    </w:rPr>
                  </w:pPr>
                  <w:r>
                    <w:rPr>
                      <w:rFonts w:hint="eastAsia"/>
                      <w:lang w:eastAsia="zh-CN"/>
                    </w:rPr>
                    <w:t>液体</w:t>
                  </w:r>
                </w:p>
              </w:tc>
              <w:tc>
                <w:tcPr>
                  <w:tcW w:w="447" w:type="pct"/>
                  <w:vMerge w:val="continue"/>
                </w:tcPr>
                <w:p w14:paraId="338FD5AE">
                  <w:pPr>
                    <w:pStyle w:val="41"/>
                    <w:bidi w:val="0"/>
                    <w:rPr>
                      <w:rFonts w:hint="default"/>
                      <w:lang w:val="en-US" w:eastAsia="zh-CN"/>
                    </w:rPr>
                  </w:pPr>
                </w:p>
              </w:tc>
            </w:tr>
            <w:tr w14:paraId="0DEB25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8F0DC2B">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4E4E0BAA">
                  <w:pPr>
                    <w:pStyle w:val="41"/>
                    <w:bidi w:val="0"/>
                    <w:rPr>
                      <w:rFonts w:hint="eastAsia"/>
                      <w:color w:val="FF0000"/>
                      <w:highlight w:val="yellow"/>
                      <w:lang w:val="en-US" w:eastAsia="zh-CN"/>
                    </w:rPr>
                  </w:pPr>
                  <w:r>
                    <w:rPr>
                      <w:rFonts w:hint="eastAsia"/>
                      <w:color w:val="FF0000"/>
                      <w:highlight w:val="yellow"/>
                    </w:rPr>
                    <w:t>二氯甲烷</w:t>
                  </w:r>
                </w:p>
              </w:tc>
              <w:tc>
                <w:tcPr>
                  <w:tcW w:w="669" w:type="pct"/>
                  <w:shd w:val="clear" w:color="auto" w:fill="auto"/>
                  <w:vAlign w:val="center"/>
                </w:tcPr>
                <w:p w14:paraId="1294C288">
                  <w:pPr>
                    <w:pStyle w:val="41"/>
                    <w:bidi w:val="0"/>
                    <w:rPr>
                      <w:rFonts w:hint="eastAsia"/>
                    </w:rPr>
                  </w:pPr>
                  <w:r>
                    <w:rPr>
                      <w:rFonts w:hint="eastAsia"/>
                      <w:lang w:val="en-US" w:eastAsia="zh-CN"/>
                    </w:rPr>
                    <w:t>99.5%</w:t>
                  </w:r>
                </w:p>
              </w:tc>
              <w:tc>
                <w:tcPr>
                  <w:tcW w:w="687" w:type="pct"/>
                  <w:shd w:val="clear" w:color="auto" w:fill="auto"/>
                  <w:vAlign w:val="center"/>
                </w:tcPr>
                <w:p w14:paraId="65DB041D">
                  <w:pPr>
                    <w:pStyle w:val="41"/>
                    <w:bidi w:val="0"/>
                    <w:rPr>
                      <w:rFonts w:hint="eastAsia"/>
                      <w:lang w:val="en-US" w:eastAsia="zh-CN"/>
                    </w:rPr>
                  </w:pPr>
                  <w:r>
                    <w:rPr>
                      <w:rFonts w:hint="eastAsia"/>
                    </w:rPr>
                    <w:t>500ml/瓶</w:t>
                  </w:r>
                </w:p>
              </w:tc>
              <w:tc>
                <w:tcPr>
                  <w:tcW w:w="771" w:type="pct"/>
                  <w:shd w:val="clear" w:color="auto" w:fill="auto"/>
                  <w:vAlign w:val="center"/>
                </w:tcPr>
                <w:p w14:paraId="125B5AAD">
                  <w:pPr>
                    <w:pStyle w:val="41"/>
                    <w:bidi w:val="0"/>
                    <w:rPr>
                      <w:rFonts w:hint="default" w:eastAsia="宋体"/>
                      <w:lang w:val="en-US" w:eastAsia="zh-CN"/>
                    </w:rPr>
                  </w:pPr>
                  <w:r>
                    <w:rPr>
                      <w:rFonts w:hint="eastAsia"/>
                      <w:lang w:val="en-US" w:eastAsia="zh-CN"/>
                    </w:rPr>
                    <w:t>40kg</w:t>
                  </w:r>
                </w:p>
              </w:tc>
              <w:tc>
                <w:tcPr>
                  <w:tcW w:w="740" w:type="pct"/>
                  <w:shd w:val="clear" w:color="auto" w:fill="auto"/>
                  <w:vAlign w:val="center"/>
                </w:tcPr>
                <w:p w14:paraId="6E44B657">
                  <w:pPr>
                    <w:pStyle w:val="41"/>
                    <w:bidi w:val="0"/>
                    <w:rPr>
                      <w:rFonts w:hint="default" w:eastAsia="宋体"/>
                      <w:lang w:val="en-US" w:eastAsia="zh-CN"/>
                    </w:rPr>
                  </w:pPr>
                  <w:r>
                    <w:rPr>
                      <w:rFonts w:hint="eastAsia"/>
                      <w:lang w:val="en-US" w:eastAsia="zh-CN"/>
                    </w:rPr>
                    <w:t>10kg</w:t>
                  </w:r>
                </w:p>
              </w:tc>
              <w:tc>
                <w:tcPr>
                  <w:tcW w:w="521" w:type="pct"/>
                  <w:shd w:val="clear" w:color="auto" w:fill="auto"/>
                  <w:vAlign w:val="center"/>
                </w:tcPr>
                <w:p w14:paraId="075F7084">
                  <w:pPr>
                    <w:pStyle w:val="41"/>
                    <w:bidi w:val="0"/>
                    <w:rPr>
                      <w:rFonts w:hint="eastAsia"/>
                      <w:lang w:val="en-US" w:eastAsia="zh-CN"/>
                    </w:rPr>
                  </w:pPr>
                  <w:r>
                    <w:rPr>
                      <w:rFonts w:hint="eastAsia"/>
                      <w:lang w:eastAsia="zh-CN"/>
                    </w:rPr>
                    <w:t>液体</w:t>
                  </w:r>
                </w:p>
              </w:tc>
              <w:tc>
                <w:tcPr>
                  <w:tcW w:w="447" w:type="pct"/>
                  <w:vMerge w:val="continue"/>
                </w:tcPr>
                <w:p w14:paraId="39263FB9">
                  <w:pPr>
                    <w:pStyle w:val="41"/>
                    <w:bidi w:val="0"/>
                    <w:rPr>
                      <w:rFonts w:hint="default"/>
                      <w:lang w:val="en-US" w:eastAsia="zh-CN"/>
                    </w:rPr>
                  </w:pPr>
                </w:p>
              </w:tc>
            </w:tr>
            <w:tr w14:paraId="24FC0A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4EECD02">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68C97679">
                  <w:pPr>
                    <w:pStyle w:val="41"/>
                    <w:bidi w:val="0"/>
                    <w:rPr>
                      <w:rFonts w:hint="eastAsia"/>
                      <w:lang w:val="en-US" w:eastAsia="zh-CN"/>
                    </w:rPr>
                  </w:pPr>
                  <w:r>
                    <w:rPr>
                      <w:rFonts w:hint="eastAsia"/>
                      <w:color w:val="0070C0"/>
                      <w:highlight w:val="yellow"/>
                    </w:rPr>
                    <w:t>氨水</w:t>
                  </w:r>
                </w:p>
              </w:tc>
              <w:tc>
                <w:tcPr>
                  <w:tcW w:w="669" w:type="pct"/>
                  <w:shd w:val="clear" w:color="auto" w:fill="auto"/>
                  <w:vAlign w:val="center"/>
                </w:tcPr>
                <w:p w14:paraId="03146EAD">
                  <w:pPr>
                    <w:pStyle w:val="41"/>
                    <w:bidi w:val="0"/>
                    <w:rPr>
                      <w:rFonts w:hint="default" w:eastAsia="宋体"/>
                      <w:lang w:val="en-US" w:eastAsia="zh-CN"/>
                    </w:rPr>
                  </w:pPr>
                  <w:r>
                    <w:rPr>
                      <w:rFonts w:hint="eastAsia"/>
                      <w:lang w:val="en-US" w:eastAsia="zh-CN"/>
                    </w:rPr>
                    <w:t>25%</w:t>
                  </w:r>
                </w:p>
              </w:tc>
              <w:tc>
                <w:tcPr>
                  <w:tcW w:w="687" w:type="pct"/>
                  <w:shd w:val="clear" w:color="auto" w:fill="auto"/>
                  <w:vAlign w:val="center"/>
                </w:tcPr>
                <w:p w14:paraId="0C388A70">
                  <w:pPr>
                    <w:pStyle w:val="41"/>
                    <w:bidi w:val="0"/>
                    <w:rPr>
                      <w:rFonts w:hint="eastAsia"/>
                      <w:lang w:val="en-US" w:eastAsia="zh-CN"/>
                    </w:rPr>
                  </w:pPr>
                  <w:r>
                    <w:rPr>
                      <w:rFonts w:hint="eastAsia"/>
                    </w:rPr>
                    <w:t>500ml/瓶</w:t>
                  </w:r>
                </w:p>
              </w:tc>
              <w:tc>
                <w:tcPr>
                  <w:tcW w:w="771" w:type="pct"/>
                  <w:shd w:val="clear" w:color="auto" w:fill="auto"/>
                  <w:vAlign w:val="center"/>
                </w:tcPr>
                <w:p w14:paraId="1E82C5CC">
                  <w:pPr>
                    <w:pStyle w:val="41"/>
                    <w:bidi w:val="0"/>
                    <w:rPr>
                      <w:rFonts w:hint="default" w:eastAsia="宋体"/>
                      <w:lang w:val="en-US" w:eastAsia="zh-CN"/>
                    </w:rPr>
                  </w:pPr>
                  <w:r>
                    <w:rPr>
                      <w:rFonts w:hint="eastAsia"/>
                      <w:lang w:val="en-US" w:eastAsia="zh-CN"/>
                    </w:rPr>
                    <w:t>150kg</w:t>
                  </w:r>
                </w:p>
              </w:tc>
              <w:tc>
                <w:tcPr>
                  <w:tcW w:w="740" w:type="pct"/>
                  <w:shd w:val="clear" w:color="auto" w:fill="auto"/>
                  <w:vAlign w:val="center"/>
                </w:tcPr>
                <w:p w14:paraId="737AD112">
                  <w:pPr>
                    <w:pStyle w:val="41"/>
                    <w:bidi w:val="0"/>
                    <w:rPr>
                      <w:rFonts w:hint="default" w:eastAsia="宋体"/>
                      <w:lang w:val="en-US" w:eastAsia="zh-CN"/>
                    </w:rPr>
                  </w:pPr>
                  <w:r>
                    <w:rPr>
                      <w:rFonts w:hint="eastAsia"/>
                      <w:lang w:val="en-US" w:eastAsia="zh-CN"/>
                    </w:rPr>
                    <w:t>20kg</w:t>
                  </w:r>
                </w:p>
              </w:tc>
              <w:tc>
                <w:tcPr>
                  <w:tcW w:w="521" w:type="pct"/>
                  <w:shd w:val="clear" w:color="auto" w:fill="auto"/>
                  <w:vAlign w:val="center"/>
                </w:tcPr>
                <w:p w14:paraId="4CF7C038">
                  <w:pPr>
                    <w:pStyle w:val="41"/>
                    <w:bidi w:val="0"/>
                    <w:rPr>
                      <w:rFonts w:hint="eastAsia"/>
                      <w:lang w:val="en-US" w:eastAsia="zh-CN"/>
                    </w:rPr>
                  </w:pPr>
                  <w:r>
                    <w:rPr>
                      <w:rFonts w:hint="eastAsia"/>
                      <w:lang w:eastAsia="zh-CN"/>
                    </w:rPr>
                    <w:t>液体</w:t>
                  </w:r>
                </w:p>
              </w:tc>
              <w:tc>
                <w:tcPr>
                  <w:tcW w:w="447" w:type="pct"/>
                  <w:vMerge w:val="continue"/>
                </w:tcPr>
                <w:p w14:paraId="22319AF3">
                  <w:pPr>
                    <w:pStyle w:val="41"/>
                    <w:bidi w:val="0"/>
                    <w:rPr>
                      <w:rFonts w:hint="default"/>
                      <w:lang w:val="en-US" w:eastAsia="zh-CN"/>
                    </w:rPr>
                  </w:pPr>
                </w:p>
              </w:tc>
            </w:tr>
            <w:tr w14:paraId="382E26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3EFC043">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080CA395">
                  <w:pPr>
                    <w:pStyle w:val="41"/>
                    <w:bidi w:val="0"/>
                    <w:rPr>
                      <w:rFonts w:hint="eastAsia"/>
                      <w:lang w:val="en-US" w:eastAsia="zh-CN"/>
                    </w:rPr>
                  </w:pPr>
                  <w:r>
                    <w:rPr>
                      <w:rFonts w:hint="eastAsia"/>
                      <w:color w:val="00B050"/>
                    </w:rPr>
                    <w:t>冰醋酸</w:t>
                  </w:r>
                </w:p>
              </w:tc>
              <w:tc>
                <w:tcPr>
                  <w:tcW w:w="669" w:type="pct"/>
                  <w:shd w:val="clear" w:color="auto" w:fill="auto"/>
                  <w:vAlign w:val="center"/>
                </w:tcPr>
                <w:p w14:paraId="15C132AE">
                  <w:pPr>
                    <w:pStyle w:val="41"/>
                    <w:bidi w:val="0"/>
                    <w:rPr>
                      <w:rFonts w:hint="default" w:eastAsia="宋体"/>
                      <w:lang w:val="en-US" w:eastAsia="zh-CN"/>
                    </w:rPr>
                  </w:pPr>
                  <w:r>
                    <w:rPr>
                      <w:rFonts w:hint="eastAsia"/>
                      <w:lang w:val="en-US" w:eastAsia="zh-CN"/>
                    </w:rPr>
                    <w:t>99.5%</w:t>
                  </w:r>
                </w:p>
              </w:tc>
              <w:tc>
                <w:tcPr>
                  <w:tcW w:w="687" w:type="pct"/>
                  <w:shd w:val="clear" w:color="auto" w:fill="auto"/>
                  <w:vAlign w:val="center"/>
                </w:tcPr>
                <w:p w14:paraId="0F47C544">
                  <w:pPr>
                    <w:pStyle w:val="41"/>
                    <w:bidi w:val="0"/>
                    <w:rPr>
                      <w:rFonts w:hint="eastAsia"/>
                      <w:lang w:val="en-US" w:eastAsia="zh-CN"/>
                    </w:rPr>
                  </w:pPr>
                  <w:r>
                    <w:rPr>
                      <w:rFonts w:hint="eastAsia"/>
                    </w:rPr>
                    <w:t>500ml/瓶</w:t>
                  </w:r>
                </w:p>
              </w:tc>
              <w:tc>
                <w:tcPr>
                  <w:tcW w:w="771" w:type="pct"/>
                  <w:shd w:val="clear" w:color="auto" w:fill="auto"/>
                  <w:vAlign w:val="center"/>
                </w:tcPr>
                <w:p w14:paraId="25D88AC6">
                  <w:pPr>
                    <w:pStyle w:val="41"/>
                    <w:bidi w:val="0"/>
                    <w:rPr>
                      <w:rFonts w:hint="default" w:eastAsia="宋体"/>
                      <w:lang w:val="en-US" w:eastAsia="zh-CN"/>
                    </w:rPr>
                  </w:pPr>
                  <w:r>
                    <w:rPr>
                      <w:rFonts w:hint="eastAsia"/>
                      <w:lang w:val="en-US" w:eastAsia="zh-CN"/>
                    </w:rPr>
                    <w:t>100kg</w:t>
                  </w:r>
                </w:p>
              </w:tc>
              <w:tc>
                <w:tcPr>
                  <w:tcW w:w="740" w:type="pct"/>
                  <w:shd w:val="clear" w:color="auto" w:fill="auto"/>
                  <w:vAlign w:val="center"/>
                </w:tcPr>
                <w:p w14:paraId="37754C13">
                  <w:pPr>
                    <w:pStyle w:val="41"/>
                    <w:bidi w:val="0"/>
                    <w:rPr>
                      <w:rFonts w:hint="default" w:eastAsia="宋体"/>
                      <w:lang w:val="en-US" w:eastAsia="zh-CN"/>
                    </w:rPr>
                  </w:pPr>
                  <w:r>
                    <w:rPr>
                      <w:rFonts w:hint="eastAsia"/>
                      <w:lang w:val="en-US" w:eastAsia="zh-CN"/>
                    </w:rPr>
                    <w:t>20kg</w:t>
                  </w:r>
                </w:p>
              </w:tc>
              <w:tc>
                <w:tcPr>
                  <w:tcW w:w="521" w:type="pct"/>
                  <w:shd w:val="clear" w:color="auto" w:fill="auto"/>
                  <w:vAlign w:val="center"/>
                </w:tcPr>
                <w:p w14:paraId="73028104">
                  <w:pPr>
                    <w:pStyle w:val="41"/>
                    <w:bidi w:val="0"/>
                    <w:rPr>
                      <w:rFonts w:hint="eastAsia"/>
                      <w:lang w:val="en-US" w:eastAsia="zh-CN"/>
                    </w:rPr>
                  </w:pPr>
                  <w:r>
                    <w:rPr>
                      <w:rFonts w:hint="eastAsia"/>
                      <w:lang w:eastAsia="zh-CN"/>
                    </w:rPr>
                    <w:t>液体</w:t>
                  </w:r>
                </w:p>
              </w:tc>
              <w:tc>
                <w:tcPr>
                  <w:tcW w:w="447" w:type="pct"/>
                  <w:vMerge w:val="continue"/>
                </w:tcPr>
                <w:p w14:paraId="3F89D04A">
                  <w:pPr>
                    <w:pStyle w:val="41"/>
                    <w:bidi w:val="0"/>
                    <w:rPr>
                      <w:rFonts w:hint="default"/>
                      <w:lang w:val="en-US" w:eastAsia="zh-CN"/>
                    </w:rPr>
                  </w:pPr>
                </w:p>
              </w:tc>
            </w:tr>
            <w:tr w14:paraId="641B86E3">
              <w:tblPrEx>
                <w:tblCellMar>
                  <w:top w:w="0" w:type="dxa"/>
                  <w:left w:w="108" w:type="dxa"/>
                  <w:bottom w:w="0" w:type="dxa"/>
                  <w:right w:w="108" w:type="dxa"/>
                </w:tblCellMar>
              </w:tblPrEx>
              <w:trPr>
                <w:trHeight w:val="23" w:hRule="atLeast"/>
                <w:jc w:val="center"/>
              </w:trPr>
              <w:tc>
                <w:tcPr>
                  <w:tcW w:w="296" w:type="pct"/>
                  <w:vAlign w:val="center"/>
                </w:tcPr>
                <w:p w14:paraId="3748CE76">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2A9DF742">
                  <w:pPr>
                    <w:pStyle w:val="41"/>
                    <w:bidi w:val="0"/>
                    <w:rPr>
                      <w:rFonts w:hint="eastAsia"/>
                      <w:lang w:val="en-US" w:eastAsia="zh-CN"/>
                    </w:rPr>
                  </w:pPr>
                  <w:r>
                    <w:rPr>
                      <w:rFonts w:hint="eastAsia"/>
                      <w:color w:val="FF0000"/>
                    </w:rPr>
                    <w:t>二乙胺</w:t>
                  </w:r>
                </w:p>
              </w:tc>
              <w:tc>
                <w:tcPr>
                  <w:tcW w:w="669" w:type="pct"/>
                  <w:shd w:val="clear" w:color="auto" w:fill="auto"/>
                  <w:vAlign w:val="center"/>
                </w:tcPr>
                <w:p w14:paraId="65845C3F">
                  <w:pPr>
                    <w:pStyle w:val="41"/>
                    <w:bidi w:val="0"/>
                    <w:rPr>
                      <w:rFonts w:hint="eastAsia"/>
                    </w:rPr>
                  </w:pPr>
                  <w:r>
                    <w:rPr>
                      <w:rFonts w:hint="eastAsia"/>
                      <w:lang w:val="en-US" w:eastAsia="zh-CN"/>
                    </w:rPr>
                    <w:t>99.5%</w:t>
                  </w:r>
                </w:p>
              </w:tc>
              <w:tc>
                <w:tcPr>
                  <w:tcW w:w="687" w:type="pct"/>
                  <w:shd w:val="clear" w:color="auto" w:fill="auto"/>
                  <w:vAlign w:val="center"/>
                </w:tcPr>
                <w:p w14:paraId="7C9D1011">
                  <w:pPr>
                    <w:pStyle w:val="41"/>
                    <w:bidi w:val="0"/>
                    <w:rPr>
                      <w:rFonts w:hint="eastAsia"/>
                      <w:lang w:val="en-US" w:eastAsia="zh-CN"/>
                    </w:rPr>
                  </w:pPr>
                  <w:r>
                    <w:t>500ml</w:t>
                  </w:r>
                  <w:r>
                    <w:rPr>
                      <w:rFonts w:hint="eastAsia"/>
                    </w:rPr>
                    <w:t>/瓶</w:t>
                  </w:r>
                </w:p>
              </w:tc>
              <w:tc>
                <w:tcPr>
                  <w:tcW w:w="771" w:type="pct"/>
                  <w:shd w:val="clear" w:color="auto" w:fill="auto"/>
                  <w:vAlign w:val="center"/>
                </w:tcPr>
                <w:p w14:paraId="7665124F">
                  <w:pPr>
                    <w:pStyle w:val="41"/>
                    <w:bidi w:val="0"/>
                    <w:rPr>
                      <w:rFonts w:hint="default" w:eastAsia="宋体"/>
                      <w:lang w:val="en-US" w:eastAsia="zh-CN"/>
                    </w:rPr>
                  </w:pPr>
                  <w:r>
                    <w:rPr>
                      <w:rFonts w:hint="eastAsia"/>
                      <w:lang w:val="en-US" w:eastAsia="zh-CN"/>
                    </w:rPr>
                    <w:t>120kg</w:t>
                  </w:r>
                </w:p>
              </w:tc>
              <w:tc>
                <w:tcPr>
                  <w:tcW w:w="740" w:type="pct"/>
                  <w:shd w:val="clear" w:color="auto" w:fill="auto"/>
                  <w:vAlign w:val="center"/>
                </w:tcPr>
                <w:p w14:paraId="62D117F9">
                  <w:pPr>
                    <w:pStyle w:val="41"/>
                    <w:bidi w:val="0"/>
                    <w:rPr>
                      <w:rFonts w:hint="default" w:eastAsia="宋体"/>
                      <w:lang w:val="en-US" w:eastAsia="zh-CN"/>
                    </w:rPr>
                  </w:pPr>
                  <w:r>
                    <w:rPr>
                      <w:rFonts w:hint="eastAsia"/>
                      <w:lang w:val="en-US" w:eastAsia="zh-CN"/>
                    </w:rPr>
                    <w:t>10kg</w:t>
                  </w:r>
                </w:p>
              </w:tc>
              <w:tc>
                <w:tcPr>
                  <w:tcW w:w="521" w:type="pct"/>
                  <w:shd w:val="clear" w:color="auto" w:fill="auto"/>
                  <w:vAlign w:val="center"/>
                </w:tcPr>
                <w:p w14:paraId="3284AFC7">
                  <w:pPr>
                    <w:pStyle w:val="41"/>
                    <w:bidi w:val="0"/>
                    <w:rPr>
                      <w:rFonts w:hint="eastAsia"/>
                      <w:lang w:val="en-US" w:eastAsia="zh-CN"/>
                    </w:rPr>
                  </w:pPr>
                  <w:r>
                    <w:rPr>
                      <w:rFonts w:hint="eastAsia"/>
                      <w:lang w:eastAsia="zh-CN"/>
                    </w:rPr>
                    <w:t>液体</w:t>
                  </w:r>
                </w:p>
              </w:tc>
              <w:tc>
                <w:tcPr>
                  <w:tcW w:w="447" w:type="pct"/>
                  <w:vMerge w:val="continue"/>
                </w:tcPr>
                <w:p w14:paraId="68D98160">
                  <w:pPr>
                    <w:pStyle w:val="41"/>
                    <w:bidi w:val="0"/>
                    <w:rPr>
                      <w:rFonts w:hint="default"/>
                      <w:lang w:val="en-US" w:eastAsia="zh-CN"/>
                    </w:rPr>
                  </w:pPr>
                </w:p>
              </w:tc>
            </w:tr>
            <w:tr w14:paraId="54D68D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97EAC6A">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411EF108">
                  <w:pPr>
                    <w:pStyle w:val="41"/>
                    <w:bidi w:val="0"/>
                    <w:rPr>
                      <w:rFonts w:hint="eastAsia"/>
                      <w:color w:val="FF0000"/>
                      <w:lang w:val="en-US" w:eastAsia="zh-CN"/>
                    </w:rPr>
                  </w:pPr>
                  <w:r>
                    <w:rPr>
                      <w:rFonts w:hint="eastAsia"/>
                      <w:color w:val="auto"/>
                    </w:rPr>
                    <w:t>磷酸</w:t>
                  </w:r>
                </w:p>
              </w:tc>
              <w:tc>
                <w:tcPr>
                  <w:tcW w:w="669" w:type="pct"/>
                  <w:shd w:val="clear" w:color="auto" w:fill="auto"/>
                  <w:vAlign w:val="center"/>
                </w:tcPr>
                <w:p w14:paraId="6E3D9C2B">
                  <w:pPr>
                    <w:pStyle w:val="41"/>
                    <w:bidi w:val="0"/>
                    <w:rPr>
                      <w:rFonts w:hint="default" w:eastAsia="宋体"/>
                      <w:lang w:val="en-US" w:eastAsia="zh-CN"/>
                    </w:rPr>
                  </w:pPr>
                  <w:r>
                    <w:rPr>
                      <w:rFonts w:hint="eastAsia"/>
                      <w:lang w:val="en-US" w:eastAsia="zh-CN"/>
                    </w:rPr>
                    <w:t>85%</w:t>
                  </w:r>
                </w:p>
              </w:tc>
              <w:tc>
                <w:tcPr>
                  <w:tcW w:w="687" w:type="pct"/>
                  <w:shd w:val="clear" w:color="auto" w:fill="auto"/>
                  <w:vAlign w:val="center"/>
                </w:tcPr>
                <w:p w14:paraId="12214E7D">
                  <w:pPr>
                    <w:pStyle w:val="41"/>
                    <w:bidi w:val="0"/>
                    <w:rPr>
                      <w:rFonts w:hint="eastAsia"/>
                      <w:lang w:val="en-US" w:eastAsia="zh-CN"/>
                    </w:rPr>
                  </w:pPr>
                  <w:r>
                    <w:t>500ml</w:t>
                  </w:r>
                  <w:r>
                    <w:rPr>
                      <w:rFonts w:hint="eastAsia"/>
                    </w:rPr>
                    <w:t>/瓶</w:t>
                  </w:r>
                </w:p>
              </w:tc>
              <w:tc>
                <w:tcPr>
                  <w:tcW w:w="771" w:type="pct"/>
                  <w:shd w:val="clear" w:color="auto" w:fill="auto"/>
                  <w:vAlign w:val="center"/>
                </w:tcPr>
                <w:p w14:paraId="40F86EBE">
                  <w:pPr>
                    <w:pStyle w:val="41"/>
                    <w:bidi w:val="0"/>
                    <w:rPr>
                      <w:rFonts w:hint="default" w:eastAsia="宋体"/>
                      <w:lang w:val="en-US" w:eastAsia="zh-CN"/>
                    </w:rPr>
                  </w:pPr>
                  <w:r>
                    <w:rPr>
                      <w:rFonts w:hint="eastAsia"/>
                      <w:lang w:val="en-US" w:eastAsia="zh-CN"/>
                    </w:rPr>
                    <w:t>40kg</w:t>
                  </w:r>
                </w:p>
              </w:tc>
              <w:tc>
                <w:tcPr>
                  <w:tcW w:w="740" w:type="pct"/>
                  <w:shd w:val="clear" w:color="auto" w:fill="auto"/>
                  <w:vAlign w:val="center"/>
                </w:tcPr>
                <w:p w14:paraId="56D560A3">
                  <w:pPr>
                    <w:pStyle w:val="41"/>
                    <w:bidi w:val="0"/>
                    <w:rPr>
                      <w:rFonts w:hint="default" w:eastAsia="宋体"/>
                      <w:lang w:val="en-US" w:eastAsia="zh-CN"/>
                    </w:rPr>
                  </w:pPr>
                  <w:r>
                    <w:rPr>
                      <w:rFonts w:hint="eastAsia"/>
                      <w:lang w:val="en-US" w:eastAsia="zh-CN"/>
                    </w:rPr>
                    <w:t>10kg</w:t>
                  </w:r>
                </w:p>
              </w:tc>
              <w:tc>
                <w:tcPr>
                  <w:tcW w:w="521" w:type="pct"/>
                  <w:shd w:val="clear" w:color="auto" w:fill="auto"/>
                  <w:vAlign w:val="center"/>
                </w:tcPr>
                <w:p w14:paraId="0D66F277">
                  <w:pPr>
                    <w:pStyle w:val="41"/>
                    <w:bidi w:val="0"/>
                    <w:rPr>
                      <w:rFonts w:hint="eastAsia"/>
                      <w:lang w:val="en-US" w:eastAsia="zh-CN"/>
                    </w:rPr>
                  </w:pPr>
                  <w:r>
                    <w:rPr>
                      <w:rFonts w:hint="eastAsia"/>
                      <w:lang w:eastAsia="zh-CN"/>
                    </w:rPr>
                    <w:t>液体</w:t>
                  </w:r>
                </w:p>
              </w:tc>
              <w:tc>
                <w:tcPr>
                  <w:tcW w:w="447" w:type="pct"/>
                  <w:vMerge w:val="continue"/>
                </w:tcPr>
                <w:p w14:paraId="057A3BF8">
                  <w:pPr>
                    <w:pStyle w:val="41"/>
                    <w:bidi w:val="0"/>
                    <w:rPr>
                      <w:rFonts w:hint="default"/>
                      <w:lang w:val="en-US" w:eastAsia="zh-CN"/>
                    </w:rPr>
                  </w:pPr>
                </w:p>
              </w:tc>
            </w:tr>
            <w:tr w14:paraId="16DA6F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2D0E2D16">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06D4195F">
                  <w:pPr>
                    <w:pStyle w:val="41"/>
                    <w:bidi w:val="0"/>
                    <w:rPr>
                      <w:rFonts w:hint="eastAsia"/>
                      <w:color w:val="FF0000"/>
                      <w:lang w:val="en-US" w:eastAsia="zh-CN"/>
                    </w:rPr>
                  </w:pPr>
                  <w:r>
                    <w:rPr>
                      <w:rFonts w:hint="eastAsia"/>
                      <w:color w:val="00B050"/>
                      <w:highlight w:val="yellow"/>
                    </w:rPr>
                    <w:t>甲酸</w:t>
                  </w:r>
                </w:p>
              </w:tc>
              <w:tc>
                <w:tcPr>
                  <w:tcW w:w="669" w:type="pct"/>
                  <w:shd w:val="clear" w:color="auto" w:fill="auto"/>
                  <w:vAlign w:val="center"/>
                </w:tcPr>
                <w:p w14:paraId="3F82F4B5">
                  <w:pPr>
                    <w:pStyle w:val="41"/>
                    <w:bidi w:val="0"/>
                    <w:rPr>
                      <w:rFonts w:hint="eastAsia"/>
                    </w:rPr>
                  </w:pPr>
                  <w:r>
                    <w:rPr>
                      <w:rFonts w:hint="eastAsia"/>
                      <w:lang w:val="en-US" w:eastAsia="zh-CN"/>
                    </w:rPr>
                    <w:t>99.5%</w:t>
                  </w:r>
                </w:p>
              </w:tc>
              <w:tc>
                <w:tcPr>
                  <w:tcW w:w="687" w:type="pct"/>
                  <w:shd w:val="clear" w:color="auto" w:fill="auto"/>
                  <w:vAlign w:val="center"/>
                </w:tcPr>
                <w:p w14:paraId="78505407">
                  <w:pPr>
                    <w:pStyle w:val="41"/>
                    <w:bidi w:val="0"/>
                    <w:rPr>
                      <w:rFonts w:hint="eastAsia"/>
                      <w:lang w:val="en-US" w:eastAsia="zh-CN"/>
                    </w:rPr>
                  </w:pPr>
                  <w:r>
                    <w:t>500ml</w:t>
                  </w:r>
                  <w:r>
                    <w:rPr>
                      <w:rFonts w:hint="eastAsia"/>
                    </w:rPr>
                    <w:t>/瓶</w:t>
                  </w:r>
                </w:p>
              </w:tc>
              <w:tc>
                <w:tcPr>
                  <w:tcW w:w="771" w:type="pct"/>
                  <w:shd w:val="clear" w:color="auto" w:fill="auto"/>
                  <w:vAlign w:val="center"/>
                </w:tcPr>
                <w:p w14:paraId="045952DB">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40kg</w:t>
                  </w:r>
                </w:p>
              </w:tc>
              <w:tc>
                <w:tcPr>
                  <w:tcW w:w="740" w:type="pct"/>
                  <w:shd w:val="clear" w:color="auto" w:fill="auto"/>
                  <w:vAlign w:val="center"/>
                </w:tcPr>
                <w:p w14:paraId="3EC2A7E5">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10kg</w:t>
                  </w:r>
                </w:p>
              </w:tc>
              <w:tc>
                <w:tcPr>
                  <w:tcW w:w="521" w:type="pct"/>
                  <w:shd w:val="clear" w:color="auto" w:fill="auto"/>
                  <w:vAlign w:val="center"/>
                </w:tcPr>
                <w:p w14:paraId="7384E32E">
                  <w:pPr>
                    <w:pStyle w:val="41"/>
                    <w:bidi w:val="0"/>
                    <w:rPr>
                      <w:rFonts w:hint="eastAsia"/>
                      <w:lang w:val="en-US" w:eastAsia="zh-CN"/>
                    </w:rPr>
                  </w:pPr>
                  <w:r>
                    <w:rPr>
                      <w:rFonts w:hint="eastAsia"/>
                      <w:lang w:eastAsia="zh-CN"/>
                    </w:rPr>
                    <w:t>液体</w:t>
                  </w:r>
                </w:p>
              </w:tc>
              <w:tc>
                <w:tcPr>
                  <w:tcW w:w="447" w:type="pct"/>
                  <w:vMerge w:val="continue"/>
                </w:tcPr>
                <w:p w14:paraId="08C48887">
                  <w:pPr>
                    <w:pStyle w:val="41"/>
                    <w:bidi w:val="0"/>
                    <w:rPr>
                      <w:rFonts w:hint="default"/>
                      <w:lang w:val="en-US" w:eastAsia="zh-CN"/>
                    </w:rPr>
                  </w:pPr>
                </w:p>
              </w:tc>
            </w:tr>
            <w:tr w14:paraId="7E5599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B86EAF2">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74E65EC4">
                  <w:pPr>
                    <w:pStyle w:val="41"/>
                    <w:bidi w:val="0"/>
                    <w:rPr>
                      <w:rFonts w:hint="eastAsia"/>
                      <w:color w:val="FF0000"/>
                      <w:lang w:val="en-US" w:eastAsia="zh-CN"/>
                    </w:rPr>
                  </w:pPr>
                  <w:r>
                    <w:rPr>
                      <w:rFonts w:hint="eastAsia"/>
                      <w:color w:val="FF0000"/>
                    </w:rPr>
                    <w:t>二</w:t>
                  </w:r>
                  <w:r>
                    <w:rPr>
                      <w:rFonts w:hint="eastAsia"/>
                      <w:color w:val="FF0000"/>
                      <w:lang w:val="en-US" w:eastAsia="zh-CN"/>
                    </w:rPr>
                    <w:t>甲基</w:t>
                  </w:r>
                  <w:r>
                    <w:rPr>
                      <w:rFonts w:hint="eastAsia"/>
                      <w:color w:val="FF0000"/>
                    </w:rPr>
                    <w:t>亚砜</w:t>
                  </w:r>
                </w:p>
              </w:tc>
              <w:tc>
                <w:tcPr>
                  <w:tcW w:w="669" w:type="pct"/>
                  <w:shd w:val="clear" w:color="auto" w:fill="auto"/>
                  <w:vAlign w:val="center"/>
                </w:tcPr>
                <w:p w14:paraId="2713BCDA">
                  <w:pPr>
                    <w:pStyle w:val="41"/>
                    <w:bidi w:val="0"/>
                    <w:rPr>
                      <w:rFonts w:hint="default" w:eastAsia="宋体"/>
                      <w:lang w:val="en-US" w:eastAsia="zh-CN"/>
                    </w:rPr>
                  </w:pPr>
                  <w:r>
                    <w:rPr>
                      <w:rFonts w:hint="eastAsia"/>
                      <w:lang w:val="en-US" w:eastAsia="zh-CN"/>
                    </w:rPr>
                    <w:t>99.5%</w:t>
                  </w:r>
                </w:p>
              </w:tc>
              <w:tc>
                <w:tcPr>
                  <w:tcW w:w="687" w:type="pct"/>
                  <w:shd w:val="clear" w:color="auto" w:fill="auto"/>
                  <w:vAlign w:val="center"/>
                </w:tcPr>
                <w:p w14:paraId="4BF243A7">
                  <w:pPr>
                    <w:pStyle w:val="41"/>
                    <w:bidi w:val="0"/>
                    <w:rPr>
                      <w:rFonts w:hint="eastAsia"/>
                      <w:lang w:val="en-US" w:eastAsia="zh-CN"/>
                    </w:rPr>
                  </w:pPr>
                  <w:r>
                    <w:t>500ml</w:t>
                  </w:r>
                  <w:r>
                    <w:rPr>
                      <w:rFonts w:hint="eastAsia"/>
                    </w:rPr>
                    <w:t>/瓶</w:t>
                  </w:r>
                </w:p>
              </w:tc>
              <w:tc>
                <w:tcPr>
                  <w:tcW w:w="771" w:type="pct"/>
                  <w:shd w:val="clear" w:color="auto" w:fill="auto"/>
                  <w:vAlign w:val="center"/>
                </w:tcPr>
                <w:p w14:paraId="614F87AA">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40kg</w:t>
                  </w:r>
                </w:p>
              </w:tc>
              <w:tc>
                <w:tcPr>
                  <w:tcW w:w="740" w:type="pct"/>
                  <w:shd w:val="clear" w:color="auto" w:fill="auto"/>
                  <w:vAlign w:val="center"/>
                </w:tcPr>
                <w:p w14:paraId="7D8EBBE3">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10kg</w:t>
                  </w:r>
                </w:p>
              </w:tc>
              <w:tc>
                <w:tcPr>
                  <w:tcW w:w="521" w:type="pct"/>
                  <w:shd w:val="clear" w:color="auto" w:fill="auto"/>
                  <w:vAlign w:val="center"/>
                </w:tcPr>
                <w:p w14:paraId="509BAC7A">
                  <w:pPr>
                    <w:pStyle w:val="41"/>
                    <w:bidi w:val="0"/>
                    <w:rPr>
                      <w:rFonts w:hint="eastAsia"/>
                      <w:lang w:val="en-US" w:eastAsia="zh-CN"/>
                    </w:rPr>
                  </w:pPr>
                  <w:r>
                    <w:rPr>
                      <w:rFonts w:hint="eastAsia"/>
                      <w:lang w:eastAsia="zh-CN"/>
                    </w:rPr>
                    <w:t>液体</w:t>
                  </w:r>
                </w:p>
              </w:tc>
              <w:tc>
                <w:tcPr>
                  <w:tcW w:w="447" w:type="pct"/>
                  <w:vMerge w:val="continue"/>
                </w:tcPr>
                <w:p w14:paraId="4F46E98F">
                  <w:pPr>
                    <w:pStyle w:val="41"/>
                    <w:bidi w:val="0"/>
                    <w:rPr>
                      <w:rFonts w:hint="default"/>
                      <w:lang w:val="en-US" w:eastAsia="zh-CN"/>
                    </w:rPr>
                  </w:pPr>
                </w:p>
              </w:tc>
            </w:tr>
            <w:tr w14:paraId="28591D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E50D626">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2D023CCB">
                  <w:pPr>
                    <w:pStyle w:val="41"/>
                    <w:bidi w:val="0"/>
                    <w:rPr>
                      <w:rFonts w:hint="eastAsia"/>
                      <w:color w:val="FF0000"/>
                      <w:lang w:val="en-US" w:eastAsia="zh-CN"/>
                    </w:rPr>
                  </w:pPr>
                  <w:r>
                    <w:rPr>
                      <w:rFonts w:hint="eastAsia"/>
                      <w:color w:val="FF0000"/>
                      <w:highlight w:val="yellow"/>
                    </w:rPr>
                    <w:t>无水甲醇</w:t>
                  </w:r>
                </w:p>
              </w:tc>
              <w:tc>
                <w:tcPr>
                  <w:tcW w:w="669" w:type="pct"/>
                  <w:shd w:val="clear" w:color="auto" w:fill="auto"/>
                  <w:vAlign w:val="center"/>
                </w:tcPr>
                <w:p w14:paraId="7F772D11">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99.99%</w:t>
                  </w:r>
                </w:p>
              </w:tc>
              <w:tc>
                <w:tcPr>
                  <w:tcW w:w="687" w:type="pct"/>
                  <w:shd w:val="clear" w:color="auto" w:fill="auto"/>
                  <w:vAlign w:val="center"/>
                </w:tcPr>
                <w:p w14:paraId="6441EE1E">
                  <w:pPr>
                    <w:pStyle w:val="41"/>
                    <w:bidi w:val="0"/>
                    <w:rPr>
                      <w:rFonts w:hint="eastAsia"/>
                      <w:lang w:val="en-US" w:eastAsia="zh-CN"/>
                    </w:rPr>
                  </w:pPr>
                  <w:r>
                    <w:t>500ml</w:t>
                  </w:r>
                  <w:r>
                    <w:rPr>
                      <w:rFonts w:hint="eastAsia"/>
                    </w:rPr>
                    <w:t>/瓶</w:t>
                  </w:r>
                </w:p>
              </w:tc>
              <w:tc>
                <w:tcPr>
                  <w:tcW w:w="771" w:type="pct"/>
                  <w:shd w:val="clear" w:color="auto" w:fill="auto"/>
                  <w:vAlign w:val="center"/>
                </w:tcPr>
                <w:p w14:paraId="0EACB988">
                  <w:pPr>
                    <w:pStyle w:val="41"/>
                    <w:bidi w:val="0"/>
                    <w:rPr>
                      <w:rFonts w:hint="default" w:eastAsia="宋体"/>
                      <w:lang w:val="en-US" w:eastAsia="zh-CN"/>
                    </w:rPr>
                  </w:pPr>
                  <w:r>
                    <w:rPr>
                      <w:rFonts w:hint="eastAsia"/>
                      <w:lang w:val="en-US" w:eastAsia="zh-CN"/>
                    </w:rPr>
                    <w:t>150kg</w:t>
                  </w:r>
                </w:p>
              </w:tc>
              <w:tc>
                <w:tcPr>
                  <w:tcW w:w="740" w:type="pct"/>
                  <w:shd w:val="clear" w:color="auto" w:fill="auto"/>
                  <w:vAlign w:val="center"/>
                </w:tcPr>
                <w:p w14:paraId="37F61BB8">
                  <w:pPr>
                    <w:pStyle w:val="41"/>
                    <w:bidi w:val="0"/>
                    <w:rPr>
                      <w:rFonts w:hint="default" w:eastAsia="宋体"/>
                      <w:lang w:val="en-US" w:eastAsia="zh-CN"/>
                    </w:rPr>
                  </w:pPr>
                  <w:r>
                    <w:rPr>
                      <w:rFonts w:hint="eastAsia"/>
                      <w:lang w:val="en-US" w:eastAsia="zh-CN"/>
                    </w:rPr>
                    <w:t>10kg</w:t>
                  </w:r>
                </w:p>
              </w:tc>
              <w:tc>
                <w:tcPr>
                  <w:tcW w:w="521" w:type="pct"/>
                  <w:shd w:val="clear" w:color="auto" w:fill="auto"/>
                  <w:vAlign w:val="center"/>
                </w:tcPr>
                <w:p w14:paraId="054CC7ED">
                  <w:pPr>
                    <w:pStyle w:val="41"/>
                    <w:bidi w:val="0"/>
                    <w:rPr>
                      <w:rFonts w:hint="eastAsia"/>
                      <w:lang w:val="en-US" w:eastAsia="zh-CN"/>
                    </w:rPr>
                  </w:pPr>
                  <w:r>
                    <w:rPr>
                      <w:rFonts w:hint="eastAsia"/>
                      <w:lang w:eastAsia="zh-CN"/>
                    </w:rPr>
                    <w:t>液体</w:t>
                  </w:r>
                </w:p>
              </w:tc>
              <w:tc>
                <w:tcPr>
                  <w:tcW w:w="447" w:type="pct"/>
                  <w:vMerge w:val="continue"/>
                </w:tcPr>
                <w:p w14:paraId="13E9452B">
                  <w:pPr>
                    <w:pStyle w:val="41"/>
                    <w:bidi w:val="0"/>
                    <w:rPr>
                      <w:rFonts w:hint="default"/>
                      <w:lang w:val="en-US" w:eastAsia="zh-CN"/>
                    </w:rPr>
                  </w:pPr>
                </w:p>
              </w:tc>
            </w:tr>
            <w:tr w14:paraId="1E9395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1F4CD6DE">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6300B27D">
                  <w:pPr>
                    <w:pStyle w:val="41"/>
                    <w:bidi w:val="0"/>
                    <w:rPr>
                      <w:rFonts w:hint="eastAsia"/>
                      <w:color w:val="FF0000"/>
                      <w:lang w:val="en-US" w:eastAsia="zh-CN"/>
                    </w:rPr>
                  </w:pPr>
                  <w:r>
                    <w:rPr>
                      <w:rFonts w:hint="eastAsia"/>
                      <w:color w:val="FF0000"/>
                    </w:rPr>
                    <w:t>无水乙醇</w:t>
                  </w:r>
                </w:p>
              </w:tc>
              <w:tc>
                <w:tcPr>
                  <w:tcW w:w="669" w:type="pct"/>
                  <w:shd w:val="clear" w:color="auto" w:fill="auto"/>
                  <w:vAlign w:val="center"/>
                </w:tcPr>
                <w:p w14:paraId="2A05E6A5">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99.5%</w:t>
                  </w:r>
                </w:p>
              </w:tc>
              <w:tc>
                <w:tcPr>
                  <w:tcW w:w="687" w:type="pct"/>
                  <w:shd w:val="clear" w:color="auto" w:fill="auto"/>
                  <w:vAlign w:val="center"/>
                </w:tcPr>
                <w:p w14:paraId="1A9A0090">
                  <w:pPr>
                    <w:pStyle w:val="41"/>
                    <w:bidi w:val="0"/>
                    <w:rPr>
                      <w:rFonts w:hint="eastAsia"/>
                      <w:lang w:val="en-US" w:eastAsia="zh-CN"/>
                    </w:rPr>
                  </w:pPr>
                  <w:r>
                    <w:t>500ml</w:t>
                  </w:r>
                  <w:r>
                    <w:rPr>
                      <w:rFonts w:hint="eastAsia"/>
                    </w:rPr>
                    <w:t>/瓶</w:t>
                  </w:r>
                </w:p>
              </w:tc>
              <w:tc>
                <w:tcPr>
                  <w:tcW w:w="771" w:type="pct"/>
                  <w:shd w:val="clear" w:color="auto" w:fill="auto"/>
                  <w:vAlign w:val="center"/>
                </w:tcPr>
                <w:p w14:paraId="4A2FD66A">
                  <w:pPr>
                    <w:pStyle w:val="41"/>
                    <w:bidi w:val="0"/>
                    <w:rPr>
                      <w:rFonts w:hint="default" w:eastAsia="宋体"/>
                      <w:lang w:val="en-US" w:eastAsia="zh-CN"/>
                    </w:rPr>
                  </w:pPr>
                  <w:r>
                    <w:rPr>
                      <w:rFonts w:hint="eastAsia"/>
                      <w:lang w:val="en-US" w:eastAsia="zh-CN"/>
                    </w:rPr>
                    <w:t>80kg</w:t>
                  </w:r>
                </w:p>
              </w:tc>
              <w:tc>
                <w:tcPr>
                  <w:tcW w:w="740" w:type="pct"/>
                  <w:shd w:val="clear" w:color="auto" w:fill="auto"/>
                  <w:vAlign w:val="center"/>
                </w:tcPr>
                <w:p w14:paraId="1F45B1D7">
                  <w:pPr>
                    <w:pStyle w:val="41"/>
                    <w:bidi w:val="0"/>
                    <w:rPr>
                      <w:rFonts w:hint="default" w:eastAsia="宋体"/>
                      <w:lang w:val="en-US" w:eastAsia="zh-CN"/>
                    </w:rPr>
                  </w:pPr>
                  <w:r>
                    <w:rPr>
                      <w:rFonts w:hint="eastAsia"/>
                      <w:lang w:val="en-US" w:eastAsia="zh-CN"/>
                    </w:rPr>
                    <w:t>10kg</w:t>
                  </w:r>
                </w:p>
              </w:tc>
              <w:tc>
                <w:tcPr>
                  <w:tcW w:w="521" w:type="pct"/>
                  <w:shd w:val="clear" w:color="auto" w:fill="auto"/>
                  <w:vAlign w:val="center"/>
                </w:tcPr>
                <w:p w14:paraId="736DCF39">
                  <w:pPr>
                    <w:pStyle w:val="41"/>
                    <w:bidi w:val="0"/>
                    <w:rPr>
                      <w:rFonts w:hint="eastAsia"/>
                      <w:lang w:val="en-US" w:eastAsia="zh-CN"/>
                    </w:rPr>
                  </w:pPr>
                  <w:r>
                    <w:rPr>
                      <w:rFonts w:hint="eastAsia"/>
                      <w:lang w:eastAsia="zh-CN"/>
                    </w:rPr>
                    <w:t>液体</w:t>
                  </w:r>
                </w:p>
              </w:tc>
              <w:tc>
                <w:tcPr>
                  <w:tcW w:w="447" w:type="pct"/>
                  <w:vMerge w:val="continue"/>
                </w:tcPr>
                <w:p w14:paraId="6BCDB929">
                  <w:pPr>
                    <w:pStyle w:val="41"/>
                    <w:bidi w:val="0"/>
                    <w:rPr>
                      <w:rFonts w:hint="default"/>
                      <w:lang w:val="en-US" w:eastAsia="zh-CN"/>
                    </w:rPr>
                  </w:pPr>
                </w:p>
              </w:tc>
            </w:tr>
            <w:tr w14:paraId="35F77E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B3871D3">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50F471A9">
                  <w:pPr>
                    <w:pStyle w:val="41"/>
                    <w:bidi w:val="0"/>
                    <w:rPr>
                      <w:rFonts w:hint="eastAsia"/>
                      <w:color w:val="FF0000"/>
                      <w:lang w:val="en-US" w:eastAsia="zh-CN"/>
                    </w:rPr>
                  </w:pPr>
                  <w:r>
                    <w:rPr>
                      <w:rFonts w:hint="eastAsia"/>
                      <w:color w:val="FF0000"/>
                      <w:highlight w:val="yellow"/>
                    </w:rPr>
                    <w:t>石油醚 30-60</w:t>
                  </w:r>
                </w:p>
              </w:tc>
              <w:tc>
                <w:tcPr>
                  <w:tcW w:w="669" w:type="pct"/>
                  <w:shd w:val="clear" w:color="auto" w:fill="auto"/>
                  <w:vAlign w:val="center"/>
                </w:tcPr>
                <w:p w14:paraId="4C5E2C4F">
                  <w:pPr>
                    <w:pStyle w:val="41"/>
                    <w:bidi w:val="0"/>
                    <w:rPr>
                      <w:rFonts w:hint="default" w:eastAsia="宋体"/>
                      <w:lang w:val="en-US" w:eastAsia="zh-CN"/>
                    </w:rPr>
                  </w:pPr>
                  <w:r>
                    <w:rPr>
                      <w:rFonts w:hint="eastAsia"/>
                      <w:lang w:val="en-US" w:eastAsia="zh-CN"/>
                    </w:rPr>
                    <w:t>99.5%</w:t>
                  </w:r>
                </w:p>
              </w:tc>
              <w:tc>
                <w:tcPr>
                  <w:tcW w:w="687" w:type="pct"/>
                  <w:shd w:val="clear" w:color="auto" w:fill="auto"/>
                  <w:vAlign w:val="center"/>
                </w:tcPr>
                <w:p w14:paraId="336FA429">
                  <w:pPr>
                    <w:pStyle w:val="41"/>
                    <w:bidi w:val="0"/>
                    <w:rPr>
                      <w:rFonts w:hint="eastAsia"/>
                      <w:lang w:val="en-US" w:eastAsia="zh-CN"/>
                    </w:rPr>
                  </w:pPr>
                  <w:r>
                    <w:t>500ml</w:t>
                  </w:r>
                  <w:r>
                    <w:rPr>
                      <w:rFonts w:hint="eastAsia"/>
                    </w:rPr>
                    <w:t>/瓶</w:t>
                  </w:r>
                </w:p>
              </w:tc>
              <w:tc>
                <w:tcPr>
                  <w:tcW w:w="771" w:type="pct"/>
                  <w:shd w:val="clear" w:color="auto" w:fill="auto"/>
                  <w:vAlign w:val="center"/>
                </w:tcPr>
                <w:p w14:paraId="4C373F6E">
                  <w:pPr>
                    <w:pStyle w:val="41"/>
                    <w:bidi w:val="0"/>
                    <w:rPr>
                      <w:rFonts w:hint="default" w:eastAsia="宋体"/>
                      <w:lang w:val="en-US" w:eastAsia="zh-CN"/>
                    </w:rPr>
                  </w:pPr>
                  <w:r>
                    <w:rPr>
                      <w:rFonts w:hint="eastAsia"/>
                      <w:lang w:val="en-US" w:eastAsia="zh-CN"/>
                    </w:rPr>
                    <w:t>100kg</w:t>
                  </w:r>
                </w:p>
              </w:tc>
              <w:tc>
                <w:tcPr>
                  <w:tcW w:w="740" w:type="pct"/>
                  <w:shd w:val="clear" w:color="auto" w:fill="auto"/>
                  <w:vAlign w:val="center"/>
                </w:tcPr>
                <w:p w14:paraId="6CC8572A">
                  <w:pPr>
                    <w:pStyle w:val="41"/>
                    <w:bidi w:val="0"/>
                    <w:rPr>
                      <w:rFonts w:hint="default" w:eastAsia="宋体"/>
                      <w:lang w:val="en-US" w:eastAsia="zh-CN"/>
                    </w:rPr>
                  </w:pPr>
                  <w:r>
                    <w:rPr>
                      <w:rFonts w:hint="eastAsia"/>
                      <w:lang w:val="en-US" w:eastAsia="zh-CN"/>
                    </w:rPr>
                    <w:t>10kg</w:t>
                  </w:r>
                </w:p>
              </w:tc>
              <w:tc>
                <w:tcPr>
                  <w:tcW w:w="521" w:type="pct"/>
                  <w:shd w:val="clear" w:color="auto" w:fill="auto"/>
                  <w:vAlign w:val="center"/>
                </w:tcPr>
                <w:p w14:paraId="2E7CB87B">
                  <w:pPr>
                    <w:pStyle w:val="41"/>
                    <w:bidi w:val="0"/>
                    <w:rPr>
                      <w:rFonts w:hint="eastAsia"/>
                      <w:lang w:val="en-US" w:eastAsia="zh-CN"/>
                    </w:rPr>
                  </w:pPr>
                  <w:r>
                    <w:rPr>
                      <w:rFonts w:hint="eastAsia"/>
                      <w:lang w:eastAsia="zh-CN"/>
                    </w:rPr>
                    <w:t>液体</w:t>
                  </w:r>
                </w:p>
              </w:tc>
              <w:tc>
                <w:tcPr>
                  <w:tcW w:w="447" w:type="pct"/>
                  <w:vMerge w:val="continue"/>
                </w:tcPr>
                <w:p w14:paraId="1074443E">
                  <w:pPr>
                    <w:pStyle w:val="41"/>
                    <w:bidi w:val="0"/>
                    <w:rPr>
                      <w:rFonts w:hint="default"/>
                      <w:lang w:val="en-US" w:eastAsia="zh-CN"/>
                    </w:rPr>
                  </w:pPr>
                </w:p>
              </w:tc>
            </w:tr>
            <w:tr w14:paraId="3A8177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4F397F5">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19505E05">
                  <w:pPr>
                    <w:pStyle w:val="41"/>
                    <w:bidi w:val="0"/>
                    <w:rPr>
                      <w:rFonts w:hint="eastAsia"/>
                      <w:color w:val="FF0000"/>
                      <w:lang w:val="en-US" w:eastAsia="zh-CN"/>
                    </w:rPr>
                  </w:pPr>
                  <w:r>
                    <w:rPr>
                      <w:rFonts w:hint="eastAsia"/>
                      <w:color w:val="FF0000"/>
                      <w:highlight w:val="yellow"/>
                    </w:rPr>
                    <w:t>石油醚 60-90</w:t>
                  </w:r>
                </w:p>
              </w:tc>
              <w:tc>
                <w:tcPr>
                  <w:tcW w:w="669" w:type="pct"/>
                  <w:shd w:val="clear" w:color="auto" w:fill="auto"/>
                  <w:vAlign w:val="center"/>
                </w:tcPr>
                <w:p w14:paraId="20FD30F8">
                  <w:pPr>
                    <w:pStyle w:val="41"/>
                    <w:bidi w:val="0"/>
                    <w:rPr>
                      <w:rFonts w:hint="default" w:eastAsia="宋体"/>
                      <w:lang w:val="en-US" w:eastAsia="zh-CN"/>
                    </w:rPr>
                  </w:pPr>
                  <w:r>
                    <w:rPr>
                      <w:rFonts w:hint="eastAsia"/>
                      <w:lang w:val="en-US" w:eastAsia="zh-CN"/>
                    </w:rPr>
                    <w:t>99.5%</w:t>
                  </w:r>
                </w:p>
              </w:tc>
              <w:tc>
                <w:tcPr>
                  <w:tcW w:w="687" w:type="pct"/>
                  <w:shd w:val="clear" w:color="auto" w:fill="auto"/>
                  <w:vAlign w:val="center"/>
                </w:tcPr>
                <w:p w14:paraId="44C720F3">
                  <w:pPr>
                    <w:pStyle w:val="41"/>
                    <w:bidi w:val="0"/>
                    <w:rPr>
                      <w:rFonts w:hint="eastAsia"/>
                      <w:lang w:val="en-US" w:eastAsia="zh-CN"/>
                    </w:rPr>
                  </w:pPr>
                  <w:r>
                    <w:t>500ml</w:t>
                  </w:r>
                  <w:r>
                    <w:rPr>
                      <w:rFonts w:hint="eastAsia"/>
                    </w:rPr>
                    <w:t>/瓶</w:t>
                  </w:r>
                </w:p>
              </w:tc>
              <w:tc>
                <w:tcPr>
                  <w:tcW w:w="771" w:type="pct"/>
                  <w:shd w:val="clear" w:color="auto" w:fill="auto"/>
                  <w:vAlign w:val="center"/>
                </w:tcPr>
                <w:p w14:paraId="2F4A87D3">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100kg</w:t>
                  </w:r>
                </w:p>
              </w:tc>
              <w:tc>
                <w:tcPr>
                  <w:tcW w:w="740" w:type="pct"/>
                  <w:shd w:val="clear" w:color="auto" w:fill="auto"/>
                  <w:vAlign w:val="center"/>
                </w:tcPr>
                <w:p w14:paraId="735DB811">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10kg</w:t>
                  </w:r>
                </w:p>
              </w:tc>
              <w:tc>
                <w:tcPr>
                  <w:tcW w:w="521" w:type="pct"/>
                  <w:shd w:val="clear" w:color="auto" w:fill="auto"/>
                  <w:vAlign w:val="center"/>
                </w:tcPr>
                <w:p w14:paraId="0BCC5FE1">
                  <w:pPr>
                    <w:pStyle w:val="41"/>
                    <w:bidi w:val="0"/>
                    <w:rPr>
                      <w:rFonts w:hint="eastAsia"/>
                      <w:lang w:val="en-US" w:eastAsia="zh-CN"/>
                    </w:rPr>
                  </w:pPr>
                  <w:r>
                    <w:rPr>
                      <w:rFonts w:hint="eastAsia"/>
                      <w:lang w:eastAsia="zh-CN"/>
                    </w:rPr>
                    <w:t>液体</w:t>
                  </w:r>
                </w:p>
              </w:tc>
              <w:tc>
                <w:tcPr>
                  <w:tcW w:w="447" w:type="pct"/>
                  <w:vMerge w:val="continue"/>
                </w:tcPr>
                <w:p w14:paraId="33A5B05E">
                  <w:pPr>
                    <w:pStyle w:val="41"/>
                    <w:bidi w:val="0"/>
                    <w:rPr>
                      <w:rFonts w:hint="default"/>
                      <w:lang w:val="en-US" w:eastAsia="zh-CN"/>
                    </w:rPr>
                  </w:pPr>
                </w:p>
              </w:tc>
            </w:tr>
            <w:tr w14:paraId="4E00F7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79297DE">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6F0A80EC">
                  <w:pPr>
                    <w:pStyle w:val="41"/>
                    <w:bidi w:val="0"/>
                    <w:rPr>
                      <w:rFonts w:hint="eastAsia"/>
                      <w:color w:val="FF0000"/>
                      <w:lang w:val="en-US" w:eastAsia="zh-CN"/>
                    </w:rPr>
                  </w:pPr>
                  <w:r>
                    <w:rPr>
                      <w:rFonts w:hint="eastAsia"/>
                      <w:color w:val="FF0000"/>
                      <w:highlight w:val="yellow"/>
                    </w:rPr>
                    <w:t>乙腈 AR</w:t>
                  </w:r>
                </w:p>
              </w:tc>
              <w:tc>
                <w:tcPr>
                  <w:tcW w:w="669" w:type="pct"/>
                  <w:shd w:val="clear" w:color="auto" w:fill="auto"/>
                  <w:vAlign w:val="center"/>
                </w:tcPr>
                <w:p w14:paraId="4337F57D">
                  <w:pPr>
                    <w:pStyle w:val="41"/>
                    <w:bidi w:val="0"/>
                    <w:rPr>
                      <w:rFonts w:hint="eastAsia"/>
                    </w:rPr>
                  </w:pPr>
                  <w:r>
                    <w:rPr>
                      <w:rFonts w:hint="eastAsia"/>
                      <w:lang w:val="en-US" w:eastAsia="zh-CN"/>
                    </w:rPr>
                    <w:t>99.5%</w:t>
                  </w:r>
                </w:p>
              </w:tc>
              <w:tc>
                <w:tcPr>
                  <w:tcW w:w="687" w:type="pct"/>
                  <w:shd w:val="clear" w:color="auto" w:fill="auto"/>
                  <w:vAlign w:val="center"/>
                </w:tcPr>
                <w:p w14:paraId="783C8924">
                  <w:pPr>
                    <w:pStyle w:val="41"/>
                    <w:bidi w:val="0"/>
                    <w:rPr>
                      <w:rFonts w:hint="eastAsia"/>
                      <w:lang w:val="en-US" w:eastAsia="zh-CN"/>
                    </w:rPr>
                  </w:pPr>
                  <w:r>
                    <w:t>500ml</w:t>
                  </w:r>
                  <w:r>
                    <w:rPr>
                      <w:rFonts w:hint="eastAsia"/>
                    </w:rPr>
                    <w:t>/瓶</w:t>
                  </w:r>
                </w:p>
              </w:tc>
              <w:tc>
                <w:tcPr>
                  <w:tcW w:w="771" w:type="pct"/>
                  <w:shd w:val="clear" w:color="auto" w:fill="auto"/>
                  <w:vAlign w:val="center"/>
                </w:tcPr>
                <w:p w14:paraId="1E052180">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100kg</w:t>
                  </w:r>
                </w:p>
              </w:tc>
              <w:tc>
                <w:tcPr>
                  <w:tcW w:w="740" w:type="pct"/>
                  <w:shd w:val="clear" w:color="auto" w:fill="auto"/>
                  <w:vAlign w:val="center"/>
                </w:tcPr>
                <w:p w14:paraId="6F0A02EE">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10kg</w:t>
                  </w:r>
                </w:p>
              </w:tc>
              <w:tc>
                <w:tcPr>
                  <w:tcW w:w="521" w:type="pct"/>
                  <w:shd w:val="clear" w:color="auto" w:fill="auto"/>
                  <w:vAlign w:val="center"/>
                </w:tcPr>
                <w:p w14:paraId="30DF1DC9">
                  <w:pPr>
                    <w:pStyle w:val="41"/>
                    <w:bidi w:val="0"/>
                    <w:rPr>
                      <w:rFonts w:hint="eastAsia"/>
                      <w:lang w:val="en-US" w:eastAsia="zh-CN"/>
                    </w:rPr>
                  </w:pPr>
                  <w:r>
                    <w:rPr>
                      <w:rFonts w:hint="eastAsia"/>
                      <w:lang w:eastAsia="zh-CN"/>
                    </w:rPr>
                    <w:t>液体</w:t>
                  </w:r>
                </w:p>
              </w:tc>
              <w:tc>
                <w:tcPr>
                  <w:tcW w:w="447" w:type="pct"/>
                  <w:vMerge w:val="continue"/>
                </w:tcPr>
                <w:p w14:paraId="21B17444">
                  <w:pPr>
                    <w:pStyle w:val="41"/>
                    <w:bidi w:val="0"/>
                    <w:rPr>
                      <w:rFonts w:hint="default"/>
                      <w:lang w:val="en-US" w:eastAsia="zh-CN"/>
                    </w:rPr>
                  </w:pPr>
                </w:p>
              </w:tc>
            </w:tr>
            <w:tr w14:paraId="610D85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92A525E">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6C7CDF2D">
                  <w:pPr>
                    <w:pStyle w:val="41"/>
                    <w:bidi w:val="0"/>
                    <w:rPr>
                      <w:rFonts w:hint="eastAsia"/>
                      <w:lang w:val="en-US" w:eastAsia="zh-CN"/>
                    </w:rPr>
                  </w:pPr>
                  <w:r>
                    <w:rPr>
                      <w:rFonts w:hint="eastAsia"/>
                      <w:color w:val="FF0000"/>
                    </w:rPr>
                    <w:t>乙酸丁酯</w:t>
                  </w:r>
                </w:p>
              </w:tc>
              <w:tc>
                <w:tcPr>
                  <w:tcW w:w="669" w:type="pct"/>
                  <w:shd w:val="clear" w:color="auto" w:fill="auto"/>
                  <w:vAlign w:val="center"/>
                </w:tcPr>
                <w:p w14:paraId="715DC038">
                  <w:pPr>
                    <w:pStyle w:val="41"/>
                    <w:bidi w:val="0"/>
                    <w:rPr>
                      <w:rFonts w:hint="eastAsia"/>
                    </w:rPr>
                  </w:pPr>
                  <w:r>
                    <w:rPr>
                      <w:rFonts w:hint="eastAsia"/>
                      <w:lang w:val="en-US" w:eastAsia="zh-CN"/>
                    </w:rPr>
                    <w:t>99.5%</w:t>
                  </w:r>
                </w:p>
              </w:tc>
              <w:tc>
                <w:tcPr>
                  <w:tcW w:w="687" w:type="pct"/>
                  <w:shd w:val="clear" w:color="auto" w:fill="auto"/>
                  <w:vAlign w:val="center"/>
                </w:tcPr>
                <w:p w14:paraId="4197BD30">
                  <w:pPr>
                    <w:pStyle w:val="41"/>
                    <w:bidi w:val="0"/>
                    <w:rPr>
                      <w:rFonts w:hint="eastAsia"/>
                      <w:lang w:val="en-US" w:eastAsia="zh-CN"/>
                    </w:rPr>
                  </w:pPr>
                  <w:r>
                    <w:t>500ml</w:t>
                  </w:r>
                  <w:r>
                    <w:rPr>
                      <w:rFonts w:hint="eastAsia"/>
                    </w:rPr>
                    <w:t>/瓶</w:t>
                  </w:r>
                </w:p>
              </w:tc>
              <w:tc>
                <w:tcPr>
                  <w:tcW w:w="771" w:type="pct"/>
                  <w:shd w:val="clear" w:color="auto" w:fill="auto"/>
                  <w:vAlign w:val="center"/>
                </w:tcPr>
                <w:p w14:paraId="56FE1DEE">
                  <w:pPr>
                    <w:pStyle w:val="41"/>
                    <w:bidi w:val="0"/>
                    <w:rPr>
                      <w:rFonts w:hint="default" w:eastAsia="宋体"/>
                      <w:lang w:val="en-US" w:eastAsia="zh-CN"/>
                    </w:rPr>
                  </w:pPr>
                  <w:r>
                    <w:rPr>
                      <w:rFonts w:hint="eastAsia"/>
                      <w:lang w:val="en-US" w:eastAsia="zh-CN"/>
                    </w:rPr>
                    <w:t>70kg</w:t>
                  </w:r>
                </w:p>
              </w:tc>
              <w:tc>
                <w:tcPr>
                  <w:tcW w:w="740" w:type="pct"/>
                  <w:shd w:val="clear" w:color="auto" w:fill="auto"/>
                  <w:vAlign w:val="center"/>
                </w:tcPr>
                <w:p w14:paraId="0C7A4439">
                  <w:pPr>
                    <w:pStyle w:val="41"/>
                    <w:bidi w:val="0"/>
                    <w:rPr>
                      <w:rFonts w:hint="default" w:eastAsia="宋体"/>
                      <w:lang w:val="en-US" w:eastAsia="zh-CN"/>
                    </w:rPr>
                  </w:pPr>
                  <w:r>
                    <w:rPr>
                      <w:rFonts w:hint="eastAsia"/>
                      <w:lang w:val="en-US" w:eastAsia="zh-CN"/>
                    </w:rPr>
                    <w:t>10kg</w:t>
                  </w:r>
                </w:p>
              </w:tc>
              <w:tc>
                <w:tcPr>
                  <w:tcW w:w="521" w:type="pct"/>
                  <w:shd w:val="clear" w:color="auto" w:fill="auto"/>
                  <w:vAlign w:val="center"/>
                </w:tcPr>
                <w:p w14:paraId="6B5C6148">
                  <w:pPr>
                    <w:pStyle w:val="41"/>
                    <w:bidi w:val="0"/>
                    <w:rPr>
                      <w:rFonts w:hint="eastAsia"/>
                      <w:lang w:val="en-US" w:eastAsia="zh-CN"/>
                    </w:rPr>
                  </w:pPr>
                  <w:r>
                    <w:rPr>
                      <w:rFonts w:hint="eastAsia"/>
                      <w:lang w:eastAsia="zh-CN"/>
                    </w:rPr>
                    <w:t>液体</w:t>
                  </w:r>
                </w:p>
              </w:tc>
              <w:tc>
                <w:tcPr>
                  <w:tcW w:w="447" w:type="pct"/>
                  <w:vMerge w:val="continue"/>
                </w:tcPr>
                <w:p w14:paraId="64258FC1">
                  <w:pPr>
                    <w:pStyle w:val="41"/>
                    <w:bidi w:val="0"/>
                    <w:rPr>
                      <w:rFonts w:hint="default"/>
                      <w:lang w:val="en-US" w:eastAsia="zh-CN"/>
                    </w:rPr>
                  </w:pPr>
                </w:p>
              </w:tc>
            </w:tr>
            <w:tr w14:paraId="04F91C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9F5F880">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14042E89">
                  <w:pPr>
                    <w:pStyle w:val="41"/>
                    <w:bidi w:val="0"/>
                    <w:rPr>
                      <w:rFonts w:hint="eastAsia"/>
                      <w:lang w:val="en-US" w:eastAsia="zh-CN"/>
                    </w:rPr>
                  </w:pPr>
                  <w:r>
                    <w:rPr>
                      <w:rFonts w:hint="eastAsia"/>
                      <w:color w:val="FF0000"/>
                    </w:rPr>
                    <w:t>甲酸乙酯</w:t>
                  </w:r>
                </w:p>
              </w:tc>
              <w:tc>
                <w:tcPr>
                  <w:tcW w:w="669" w:type="pct"/>
                  <w:shd w:val="clear" w:color="auto" w:fill="auto"/>
                  <w:vAlign w:val="center"/>
                </w:tcPr>
                <w:p w14:paraId="06A0C030">
                  <w:pPr>
                    <w:pStyle w:val="41"/>
                    <w:bidi w:val="0"/>
                    <w:rPr>
                      <w:rFonts w:hint="eastAsia"/>
                    </w:rPr>
                  </w:pPr>
                  <w:r>
                    <w:rPr>
                      <w:rFonts w:hint="eastAsia"/>
                      <w:lang w:val="en-US" w:eastAsia="zh-CN"/>
                    </w:rPr>
                    <w:t>99.5%</w:t>
                  </w:r>
                </w:p>
              </w:tc>
              <w:tc>
                <w:tcPr>
                  <w:tcW w:w="687" w:type="pct"/>
                  <w:shd w:val="clear" w:color="auto" w:fill="auto"/>
                  <w:vAlign w:val="center"/>
                </w:tcPr>
                <w:p w14:paraId="2772A6FA">
                  <w:pPr>
                    <w:pStyle w:val="41"/>
                    <w:bidi w:val="0"/>
                    <w:rPr>
                      <w:rFonts w:hint="eastAsia"/>
                      <w:lang w:val="en-US" w:eastAsia="zh-CN"/>
                    </w:rPr>
                  </w:pPr>
                  <w:r>
                    <w:t>500ml</w:t>
                  </w:r>
                  <w:r>
                    <w:rPr>
                      <w:rFonts w:hint="eastAsia"/>
                    </w:rPr>
                    <w:t>/瓶</w:t>
                  </w:r>
                </w:p>
              </w:tc>
              <w:tc>
                <w:tcPr>
                  <w:tcW w:w="771" w:type="pct"/>
                  <w:shd w:val="clear" w:color="auto" w:fill="auto"/>
                  <w:vAlign w:val="center"/>
                </w:tcPr>
                <w:p w14:paraId="5B60EA9B">
                  <w:pPr>
                    <w:pStyle w:val="41"/>
                    <w:bidi w:val="0"/>
                    <w:rPr>
                      <w:rFonts w:hint="default" w:eastAsia="宋体"/>
                      <w:lang w:val="en-US" w:eastAsia="zh-CN"/>
                    </w:rPr>
                  </w:pPr>
                  <w:r>
                    <w:rPr>
                      <w:rFonts w:hint="eastAsia"/>
                      <w:lang w:val="en-US" w:eastAsia="zh-CN"/>
                    </w:rPr>
                    <w:t>40kg</w:t>
                  </w:r>
                </w:p>
              </w:tc>
              <w:tc>
                <w:tcPr>
                  <w:tcW w:w="740" w:type="pct"/>
                  <w:shd w:val="clear" w:color="auto" w:fill="auto"/>
                  <w:vAlign w:val="center"/>
                </w:tcPr>
                <w:p w14:paraId="0D737B6B">
                  <w:pPr>
                    <w:pStyle w:val="41"/>
                    <w:bidi w:val="0"/>
                    <w:rPr>
                      <w:rFonts w:hint="default" w:eastAsia="宋体"/>
                      <w:lang w:val="en-US" w:eastAsia="zh-CN"/>
                    </w:rPr>
                  </w:pPr>
                  <w:r>
                    <w:rPr>
                      <w:rFonts w:hint="eastAsia"/>
                      <w:lang w:val="en-US" w:eastAsia="zh-CN"/>
                    </w:rPr>
                    <w:t>5kg</w:t>
                  </w:r>
                </w:p>
              </w:tc>
              <w:tc>
                <w:tcPr>
                  <w:tcW w:w="521" w:type="pct"/>
                  <w:shd w:val="clear" w:color="auto" w:fill="auto"/>
                  <w:vAlign w:val="center"/>
                </w:tcPr>
                <w:p w14:paraId="73B65432">
                  <w:pPr>
                    <w:pStyle w:val="41"/>
                    <w:bidi w:val="0"/>
                    <w:rPr>
                      <w:rFonts w:hint="eastAsia"/>
                      <w:lang w:val="en-US" w:eastAsia="zh-CN"/>
                    </w:rPr>
                  </w:pPr>
                  <w:r>
                    <w:rPr>
                      <w:rFonts w:hint="eastAsia"/>
                      <w:lang w:eastAsia="zh-CN"/>
                    </w:rPr>
                    <w:t>液体</w:t>
                  </w:r>
                </w:p>
              </w:tc>
              <w:tc>
                <w:tcPr>
                  <w:tcW w:w="447" w:type="pct"/>
                  <w:vMerge w:val="continue"/>
                </w:tcPr>
                <w:p w14:paraId="5B1461CA">
                  <w:pPr>
                    <w:pStyle w:val="41"/>
                    <w:bidi w:val="0"/>
                    <w:rPr>
                      <w:rFonts w:hint="default"/>
                      <w:lang w:val="en-US" w:eastAsia="zh-CN"/>
                    </w:rPr>
                  </w:pPr>
                </w:p>
              </w:tc>
            </w:tr>
            <w:tr w14:paraId="38F1A7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D63E7FB">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47B42F6F">
                  <w:pPr>
                    <w:pStyle w:val="41"/>
                    <w:bidi w:val="0"/>
                    <w:rPr>
                      <w:rFonts w:hint="eastAsia"/>
                      <w:lang w:val="en-US" w:eastAsia="zh-CN"/>
                    </w:rPr>
                  </w:pPr>
                  <w:r>
                    <w:rPr>
                      <w:rFonts w:hint="eastAsia"/>
                      <w:color w:val="FF0000"/>
                      <w:highlight w:val="yellow"/>
                    </w:rPr>
                    <w:t>正己烷</w:t>
                  </w:r>
                </w:p>
              </w:tc>
              <w:tc>
                <w:tcPr>
                  <w:tcW w:w="669" w:type="pct"/>
                  <w:shd w:val="clear" w:color="auto" w:fill="auto"/>
                  <w:vAlign w:val="center"/>
                </w:tcPr>
                <w:p w14:paraId="4535DF04">
                  <w:pPr>
                    <w:pStyle w:val="41"/>
                    <w:bidi w:val="0"/>
                    <w:rPr>
                      <w:rFonts w:hint="eastAsia"/>
                    </w:rPr>
                  </w:pPr>
                  <w:r>
                    <w:rPr>
                      <w:rFonts w:hint="eastAsia"/>
                      <w:lang w:val="en-US" w:eastAsia="zh-CN"/>
                    </w:rPr>
                    <w:t>99.5%</w:t>
                  </w:r>
                </w:p>
              </w:tc>
              <w:tc>
                <w:tcPr>
                  <w:tcW w:w="687" w:type="pct"/>
                  <w:shd w:val="clear" w:color="auto" w:fill="auto"/>
                  <w:vAlign w:val="center"/>
                </w:tcPr>
                <w:p w14:paraId="7FD64C20">
                  <w:pPr>
                    <w:pStyle w:val="41"/>
                    <w:bidi w:val="0"/>
                    <w:rPr>
                      <w:rFonts w:hint="eastAsia"/>
                      <w:lang w:val="en-US" w:eastAsia="zh-CN"/>
                    </w:rPr>
                  </w:pPr>
                  <w:r>
                    <w:t>500ml</w:t>
                  </w:r>
                  <w:r>
                    <w:rPr>
                      <w:rFonts w:hint="eastAsia"/>
                    </w:rPr>
                    <w:t>/瓶</w:t>
                  </w:r>
                </w:p>
              </w:tc>
              <w:tc>
                <w:tcPr>
                  <w:tcW w:w="771" w:type="pct"/>
                  <w:shd w:val="clear" w:color="auto" w:fill="auto"/>
                  <w:vAlign w:val="center"/>
                </w:tcPr>
                <w:p w14:paraId="68BBB465">
                  <w:pPr>
                    <w:pStyle w:val="41"/>
                    <w:bidi w:val="0"/>
                    <w:rPr>
                      <w:rFonts w:hint="eastAsia"/>
                      <w:lang w:val="en-US" w:eastAsia="zh-CN"/>
                    </w:rPr>
                  </w:pPr>
                  <w:r>
                    <w:rPr>
                      <w:rFonts w:hint="eastAsia"/>
                      <w:lang w:val="en-US" w:eastAsia="zh-CN"/>
                    </w:rPr>
                    <w:t>40kg</w:t>
                  </w:r>
                </w:p>
              </w:tc>
              <w:tc>
                <w:tcPr>
                  <w:tcW w:w="740" w:type="pct"/>
                  <w:shd w:val="clear" w:color="auto" w:fill="auto"/>
                  <w:vAlign w:val="center"/>
                </w:tcPr>
                <w:p w14:paraId="7C3D3978">
                  <w:pPr>
                    <w:pStyle w:val="41"/>
                    <w:bidi w:val="0"/>
                    <w:rPr>
                      <w:rFonts w:hint="eastAsia"/>
                      <w:lang w:val="en-US" w:eastAsia="zh-CN"/>
                    </w:rPr>
                  </w:pPr>
                  <w:r>
                    <w:rPr>
                      <w:rFonts w:hint="eastAsia"/>
                      <w:lang w:val="en-US" w:eastAsia="zh-CN"/>
                    </w:rPr>
                    <w:t>5kg</w:t>
                  </w:r>
                </w:p>
              </w:tc>
              <w:tc>
                <w:tcPr>
                  <w:tcW w:w="521" w:type="pct"/>
                  <w:shd w:val="clear" w:color="auto" w:fill="auto"/>
                  <w:vAlign w:val="center"/>
                </w:tcPr>
                <w:p w14:paraId="7FABB77A">
                  <w:pPr>
                    <w:pStyle w:val="41"/>
                    <w:bidi w:val="0"/>
                    <w:rPr>
                      <w:rFonts w:hint="eastAsia"/>
                      <w:lang w:val="en-US" w:eastAsia="zh-CN"/>
                    </w:rPr>
                  </w:pPr>
                  <w:r>
                    <w:rPr>
                      <w:rFonts w:hint="eastAsia"/>
                      <w:lang w:eastAsia="zh-CN"/>
                    </w:rPr>
                    <w:t>液体</w:t>
                  </w:r>
                </w:p>
              </w:tc>
              <w:tc>
                <w:tcPr>
                  <w:tcW w:w="447" w:type="pct"/>
                  <w:vMerge w:val="continue"/>
                </w:tcPr>
                <w:p w14:paraId="081FD1E6">
                  <w:pPr>
                    <w:pStyle w:val="41"/>
                    <w:bidi w:val="0"/>
                    <w:rPr>
                      <w:rFonts w:hint="default"/>
                      <w:lang w:val="en-US" w:eastAsia="zh-CN"/>
                    </w:rPr>
                  </w:pPr>
                </w:p>
              </w:tc>
            </w:tr>
            <w:tr w14:paraId="22AD6A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6C781AAC">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6EAAC43C">
                  <w:pPr>
                    <w:pStyle w:val="41"/>
                    <w:bidi w:val="0"/>
                    <w:rPr>
                      <w:rFonts w:hint="eastAsia"/>
                      <w:lang w:val="en-US" w:eastAsia="zh-CN"/>
                    </w:rPr>
                  </w:pPr>
                  <w:r>
                    <w:rPr>
                      <w:rFonts w:hint="eastAsia"/>
                      <w:color w:val="FF0000"/>
                      <w:highlight w:val="yellow"/>
                    </w:rPr>
                    <w:t>异丁醇</w:t>
                  </w:r>
                </w:p>
              </w:tc>
              <w:tc>
                <w:tcPr>
                  <w:tcW w:w="669" w:type="pct"/>
                  <w:shd w:val="clear" w:color="auto" w:fill="auto"/>
                  <w:vAlign w:val="center"/>
                </w:tcPr>
                <w:p w14:paraId="264A9272">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99.5%</w:t>
                  </w:r>
                </w:p>
              </w:tc>
              <w:tc>
                <w:tcPr>
                  <w:tcW w:w="687" w:type="pct"/>
                  <w:shd w:val="clear" w:color="auto" w:fill="auto"/>
                  <w:vAlign w:val="center"/>
                </w:tcPr>
                <w:p w14:paraId="7A94AC79">
                  <w:pPr>
                    <w:pStyle w:val="41"/>
                    <w:bidi w:val="0"/>
                    <w:rPr>
                      <w:rFonts w:hint="eastAsia"/>
                      <w:lang w:val="en-US" w:eastAsia="zh-CN"/>
                    </w:rPr>
                  </w:pPr>
                  <w:r>
                    <w:t>500ml</w:t>
                  </w:r>
                  <w:r>
                    <w:rPr>
                      <w:rFonts w:hint="eastAsia"/>
                    </w:rPr>
                    <w:t>/瓶</w:t>
                  </w:r>
                </w:p>
              </w:tc>
              <w:tc>
                <w:tcPr>
                  <w:tcW w:w="771" w:type="pct"/>
                  <w:shd w:val="clear" w:color="auto" w:fill="auto"/>
                  <w:vAlign w:val="center"/>
                </w:tcPr>
                <w:p w14:paraId="497BFABF">
                  <w:pPr>
                    <w:pStyle w:val="41"/>
                    <w:bidi w:val="0"/>
                    <w:rPr>
                      <w:rFonts w:hint="default" w:eastAsia="宋体"/>
                      <w:lang w:val="en-US" w:eastAsia="zh-CN"/>
                    </w:rPr>
                  </w:pPr>
                  <w:r>
                    <w:rPr>
                      <w:rFonts w:hint="eastAsia"/>
                      <w:lang w:val="en-US" w:eastAsia="zh-CN"/>
                    </w:rPr>
                    <w:t>8kg</w:t>
                  </w:r>
                </w:p>
              </w:tc>
              <w:tc>
                <w:tcPr>
                  <w:tcW w:w="740" w:type="pct"/>
                  <w:shd w:val="clear" w:color="auto" w:fill="auto"/>
                  <w:vAlign w:val="center"/>
                </w:tcPr>
                <w:p w14:paraId="63A94303">
                  <w:pPr>
                    <w:pStyle w:val="41"/>
                    <w:bidi w:val="0"/>
                    <w:rPr>
                      <w:rFonts w:hint="default" w:eastAsia="宋体"/>
                      <w:lang w:val="en-US" w:eastAsia="zh-CN"/>
                    </w:rPr>
                  </w:pPr>
                  <w:r>
                    <w:rPr>
                      <w:rFonts w:hint="eastAsia"/>
                      <w:lang w:val="en-US" w:eastAsia="zh-CN"/>
                    </w:rPr>
                    <w:t>1kg</w:t>
                  </w:r>
                </w:p>
              </w:tc>
              <w:tc>
                <w:tcPr>
                  <w:tcW w:w="521" w:type="pct"/>
                  <w:shd w:val="clear" w:color="auto" w:fill="auto"/>
                  <w:vAlign w:val="center"/>
                </w:tcPr>
                <w:p w14:paraId="1076B665">
                  <w:pPr>
                    <w:pStyle w:val="41"/>
                    <w:bidi w:val="0"/>
                    <w:rPr>
                      <w:rFonts w:hint="eastAsia"/>
                      <w:lang w:val="en-US" w:eastAsia="zh-CN"/>
                    </w:rPr>
                  </w:pPr>
                  <w:r>
                    <w:rPr>
                      <w:rFonts w:hint="eastAsia"/>
                      <w:lang w:eastAsia="zh-CN"/>
                    </w:rPr>
                    <w:t>液体</w:t>
                  </w:r>
                </w:p>
              </w:tc>
              <w:tc>
                <w:tcPr>
                  <w:tcW w:w="447" w:type="pct"/>
                  <w:vMerge w:val="continue"/>
                </w:tcPr>
                <w:p w14:paraId="0EF243BD">
                  <w:pPr>
                    <w:pStyle w:val="41"/>
                    <w:bidi w:val="0"/>
                    <w:rPr>
                      <w:rFonts w:hint="default"/>
                      <w:lang w:val="en-US" w:eastAsia="zh-CN"/>
                    </w:rPr>
                  </w:pPr>
                </w:p>
              </w:tc>
            </w:tr>
            <w:tr w14:paraId="579CECB9">
              <w:tblPrEx>
                <w:tblCellMar>
                  <w:top w:w="0" w:type="dxa"/>
                  <w:left w:w="108" w:type="dxa"/>
                  <w:bottom w:w="0" w:type="dxa"/>
                  <w:right w:w="108" w:type="dxa"/>
                </w:tblCellMar>
              </w:tblPrEx>
              <w:trPr>
                <w:trHeight w:val="23" w:hRule="atLeast"/>
                <w:jc w:val="center"/>
              </w:trPr>
              <w:tc>
                <w:tcPr>
                  <w:tcW w:w="296" w:type="pct"/>
                  <w:vAlign w:val="center"/>
                </w:tcPr>
                <w:p w14:paraId="34718D7A">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469A9F60">
                  <w:pPr>
                    <w:pStyle w:val="41"/>
                    <w:bidi w:val="0"/>
                    <w:rPr>
                      <w:rFonts w:hint="eastAsia"/>
                      <w:color w:val="FF0000"/>
                      <w:lang w:val="en-US" w:eastAsia="zh-CN"/>
                    </w:rPr>
                  </w:pPr>
                  <w:r>
                    <w:rPr>
                      <w:rFonts w:hint="eastAsia"/>
                      <w:color w:val="FF0000"/>
                    </w:rPr>
                    <w:t>1,2-丙二醇</w:t>
                  </w:r>
                </w:p>
              </w:tc>
              <w:tc>
                <w:tcPr>
                  <w:tcW w:w="669" w:type="pct"/>
                  <w:shd w:val="clear" w:color="auto" w:fill="auto"/>
                  <w:vAlign w:val="center"/>
                </w:tcPr>
                <w:p w14:paraId="751CC1EE">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99.5%</w:t>
                  </w:r>
                </w:p>
              </w:tc>
              <w:tc>
                <w:tcPr>
                  <w:tcW w:w="687" w:type="pct"/>
                  <w:shd w:val="clear" w:color="auto" w:fill="auto"/>
                  <w:vAlign w:val="center"/>
                </w:tcPr>
                <w:p w14:paraId="3D53830E">
                  <w:pPr>
                    <w:pStyle w:val="41"/>
                    <w:bidi w:val="0"/>
                    <w:rPr>
                      <w:rFonts w:hint="eastAsia"/>
                      <w:lang w:val="en-US" w:eastAsia="zh-CN"/>
                    </w:rPr>
                  </w:pPr>
                  <w:r>
                    <w:t>500ml</w:t>
                  </w:r>
                  <w:r>
                    <w:rPr>
                      <w:rFonts w:hint="eastAsia"/>
                    </w:rPr>
                    <w:t>/瓶</w:t>
                  </w:r>
                </w:p>
              </w:tc>
              <w:tc>
                <w:tcPr>
                  <w:tcW w:w="771" w:type="pct"/>
                  <w:shd w:val="clear" w:color="auto" w:fill="auto"/>
                  <w:vAlign w:val="center"/>
                </w:tcPr>
                <w:p w14:paraId="7DF41445">
                  <w:pPr>
                    <w:pStyle w:val="41"/>
                    <w:bidi w:val="0"/>
                    <w:rPr>
                      <w:rFonts w:hint="eastAsia"/>
                      <w:lang w:val="en-US" w:eastAsia="zh-CN"/>
                    </w:rPr>
                  </w:pPr>
                  <w:r>
                    <w:rPr>
                      <w:rFonts w:hint="eastAsia"/>
                      <w:lang w:val="en-US" w:eastAsia="zh-CN"/>
                    </w:rPr>
                    <w:t>8kg</w:t>
                  </w:r>
                </w:p>
              </w:tc>
              <w:tc>
                <w:tcPr>
                  <w:tcW w:w="740" w:type="pct"/>
                  <w:shd w:val="clear" w:color="auto" w:fill="auto"/>
                  <w:vAlign w:val="center"/>
                </w:tcPr>
                <w:p w14:paraId="5CEE1A83">
                  <w:pPr>
                    <w:pStyle w:val="41"/>
                    <w:bidi w:val="0"/>
                    <w:rPr>
                      <w:rFonts w:hint="eastAsia"/>
                      <w:lang w:val="en-US" w:eastAsia="zh-CN"/>
                    </w:rPr>
                  </w:pPr>
                  <w:r>
                    <w:rPr>
                      <w:rFonts w:hint="eastAsia"/>
                      <w:lang w:val="en-US" w:eastAsia="zh-CN"/>
                    </w:rPr>
                    <w:t>1kg</w:t>
                  </w:r>
                </w:p>
              </w:tc>
              <w:tc>
                <w:tcPr>
                  <w:tcW w:w="521" w:type="pct"/>
                  <w:shd w:val="clear" w:color="auto" w:fill="auto"/>
                  <w:vAlign w:val="center"/>
                </w:tcPr>
                <w:p w14:paraId="36D1C286">
                  <w:pPr>
                    <w:pStyle w:val="41"/>
                    <w:bidi w:val="0"/>
                    <w:rPr>
                      <w:rFonts w:hint="eastAsia"/>
                      <w:lang w:val="en-US" w:eastAsia="zh-CN"/>
                    </w:rPr>
                  </w:pPr>
                  <w:r>
                    <w:rPr>
                      <w:rFonts w:hint="eastAsia"/>
                      <w:lang w:eastAsia="zh-CN"/>
                    </w:rPr>
                    <w:t>液体</w:t>
                  </w:r>
                </w:p>
              </w:tc>
              <w:tc>
                <w:tcPr>
                  <w:tcW w:w="447" w:type="pct"/>
                  <w:vMerge w:val="continue"/>
                </w:tcPr>
                <w:p w14:paraId="5E5C3F9C">
                  <w:pPr>
                    <w:pStyle w:val="41"/>
                    <w:bidi w:val="0"/>
                    <w:rPr>
                      <w:rFonts w:hint="default"/>
                      <w:lang w:val="en-US" w:eastAsia="zh-CN"/>
                    </w:rPr>
                  </w:pPr>
                </w:p>
              </w:tc>
            </w:tr>
            <w:tr w14:paraId="63CE6C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3CB3D86D">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523B3866">
                  <w:pPr>
                    <w:pStyle w:val="41"/>
                    <w:bidi w:val="0"/>
                    <w:rPr>
                      <w:rFonts w:hint="eastAsia"/>
                      <w:color w:val="FF0000"/>
                      <w:lang w:val="en-US" w:eastAsia="zh-CN"/>
                    </w:rPr>
                  </w:pPr>
                  <w:r>
                    <w:rPr>
                      <w:rFonts w:hint="eastAsia"/>
                      <w:color w:val="FF0000"/>
                    </w:rPr>
                    <w:t>正丙醇</w:t>
                  </w:r>
                </w:p>
              </w:tc>
              <w:tc>
                <w:tcPr>
                  <w:tcW w:w="669" w:type="pct"/>
                  <w:shd w:val="clear" w:color="auto" w:fill="auto"/>
                  <w:vAlign w:val="center"/>
                </w:tcPr>
                <w:p w14:paraId="54381BFF">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99.5%</w:t>
                  </w:r>
                </w:p>
              </w:tc>
              <w:tc>
                <w:tcPr>
                  <w:tcW w:w="687" w:type="pct"/>
                  <w:shd w:val="clear" w:color="auto" w:fill="auto"/>
                  <w:vAlign w:val="center"/>
                </w:tcPr>
                <w:p w14:paraId="000B5188">
                  <w:pPr>
                    <w:pStyle w:val="41"/>
                    <w:bidi w:val="0"/>
                    <w:rPr>
                      <w:rFonts w:hint="eastAsia"/>
                      <w:lang w:val="en-US" w:eastAsia="zh-CN"/>
                    </w:rPr>
                  </w:pPr>
                  <w:r>
                    <w:t>500ml</w:t>
                  </w:r>
                  <w:r>
                    <w:rPr>
                      <w:rFonts w:hint="eastAsia"/>
                    </w:rPr>
                    <w:t>/瓶</w:t>
                  </w:r>
                </w:p>
              </w:tc>
              <w:tc>
                <w:tcPr>
                  <w:tcW w:w="771" w:type="pct"/>
                  <w:shd w:val="clear" w:color="auto" w:fill="auto"/>
                  <w:vAlign w:val="center"/>
                </w:tcPr>
                <w:p w14:paraId="4F4691A0">
                  <w:pPr>
                    <w:pStyle w:val="41"/>
                    <w:bidi w:val="0"/>
                    <w:rPr>
                      <w:rFonts w:hint="eastAsia"/>
                      <w:lang w:val="en-US" w:eastAsia="zh-CN"/>
                    </w:rPr>
                  </w:pPr>
                  <w:r>
                    <w:rPr>
                      <w:rFonts w:hint="eastAsia"/>
                      <w:lang w:val="en-US" w:eastAsia="zh-CN"/>
                    </w:rPr>
                    <w:t>8kg</w:t>
                  </w:r>
                </w:p>
              </w:tc>
              <w:tc>
                <w:tcPr>
                  <w:tcW w:w="740" w:type="pct"/>
                  <w:shd w:val="clear" w:color="auto" w:fill="auto"/>
                  <w:vAlign w:val="center"/>
                </w:tcPr>
                <w:p w14:paraId="287E09B8">
                  <w:pPr>
                    <w:pStyle w:val="41"/>
                    <w:bidi w:val="0"/>
                    <w:rPr>
                      <w:rFonts w:hint="eastAsia"/>
                      <w:lang w:val="en-US" w:eastAsia="zh-CN"/>
                    </w:rPr>
                  </w:pPr>
                  <w:r>
                    <w:rPr>
                      <w:rFonts w:hint="eastAsia"/>
                      <w:lang w:val="en-US" w:eastAsia="zh-CN"/>
                    </w:rPr>
                    <w:t>1kg</w:t>
                  </w:r>
                </w:p>
              </w:tc>
              <w:tc>
                <w:tcPr>
                  <w:tcW w:w="521" w:type="pct"/>
                  <w:shd w:val="clear" w:color="auto" w:fill="auto"/>
                  <w:vAlign w:val="center"/>
                </w:tcPr>
                <w:p w14:paraId="34FC75E3">
                  <w:pPr>
                    <w:pStyle w:val="41"/>
                    <w:bidi w:val="0"/>
                    <w:rPr>
                      <w:rFonts w:hint="eastAsia"/>
                      <w:lang w:val="en-US" w:eastAsia="zh-CN"/>
                    </w:rPr>
                  </w:pPr>
                  <w:r>
                    <w:rPr>
                      <w:rFonts w:hint="eastAsia"/>
                      <w:lang w:eastAsia="zh-CN"/>
                    </w:rPr>
                    <w:t>液体</w:t>
                  </w:r>
                </w:p>
              </w:tc>
              <w:tc>
                <w:tcPr>
                  <w:tcW w:w="447" w:type="pct"/>
                  <w:vMerge w:val="continue"/>
                </w:tcPr>
                <w:p w14:paraId="24696781">
                  <w:pPr>
                    <w:pStyle w:val="41"/>
                    <w:bidi w:val="0"/>
                    <w:rPr>
                      <w:rFonts w:hint="default"/>
                      <w:lang w:val="en-US" w:eastAsia="zh-CN"/>
                    </w:rPr>
                  </w:pPr>
                </w:p>
              </w:tc>
            </w:tr>
            <w:tr w14:paraId="496793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A37C613">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0A4F66DC">
                  <w:pPr>
                    <w:pStyle w:val="41"/>
                    <w:bidi w:val="0"/>
                    <w:rPr>
                      <w:rFonts w:hint="eastAsia"/>
                      <w:color w:val="FF0000"/>
                      <w:lang w:val="en-US" w:eastAsia="zh-CN"/>
                    </w:rPr>
                  </w:pPr>
                  <w:r>
                    <w:rPr>
                      <w:rFonts w:hint="eastAsia"/>
                      <w:color w:val="auto"/>
                    </w:rPr>
                    <w:t>丙三醇</w:t>
                  </w:r>
                </w:p>
              </w:tc>
              <w:tc>
                <w:tcPr>
                  <w:tcW w:w="669" w:type="pct"/>
                  <w:shd w:val="clear" w:color="auto" w:fill="auto"/>
                  <w:vAlign w:val="center"/>
                </w:tcPr>
                <w:p w14:paraId="00F2142B">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99.5%</w:t>
                  </w:r>
                </w:p>
              </w:tc>
              <w:tc>
                <w:tcPr>
                  <w:tcW w:w="687" w:type="pct"/>
                  <w:shd w:val="clear" w:color="auto" w:fill="auto"/>
                  <w:vAlign w:val="center"/>
                </w:tcPr>
                <w:p w14:paraId="0460DAEF">
                  <w:pPr>
                    <w:pStyle w:val="41"/>
                    <w:bidi w:val="0"/>
                    <w:rPr>
                      <w:rFonts w:hint="eastAsia"/>
                      <w:lang w:val="en-US" w:eastAsia="zh-CN"/>
                    </w:rPr>
                  </w:pPr>
                  <w:r>
                    <w:t>500ml</w:t>
                  </w:r>
                  <w:r>
                    <w:rPr>
                      <w:rFonts w:hint="eastAsia"/>
                    </w:rPr>
                    <w:t>/瓶</w:t>
                  </w:r>
                </w:p>
              </w:tc>
              <w:tc>
                <w:tcPr>
                  <w:tcW w:w="771" w:type="pct"/>
                  <w:shd w:val="clear" w:color="auto" w:fill="auto"/>
                  <w:vAlign w:val="center"/>
                </w:tcPr>
                <w:p w14:paraId="5857E3B1">
                  <w:pPr>
                    <w:pStyle w:val="41"/>
                    <w:bidi w:val="0"/>
                    <w:rPr>
                      <w:rFonts w:hint="eastAsia"/>
                      <w:lang w:val="en-US" w:eastAsia="zh-CN"/>
                    </w:rPr>
                  </w:pPr>
                  <w:r>
                    <w:rPr>
                      <w:rFonts w:hint="eastAsia"/>
                      <w:lang w:val="en-US" w:eastAsia="zh-CN"/>
                    </w:rPr>
                    <w:t>8kg</w:t>
                  </w:r>
                </w:p>
              </w:tc>
              <w:tc>
                <w:tcPr>
                  <w:tcW w:w="740" w:type="pct"/>
                  <w:shd w:val="clear" w:color="auto" w:fill="auto"/>
                  <w:vAlign w:val="center"/>
                </w:tcPr>
                <w:p w14:paraId="7F69BB0F">
                  <w:pPr>
                    <w:pStyle w:val="41"/>
                    <w:bidi w:val="0"/>
                    <w:rPr>
                      <w:rFonts w:hint="eastAsia"/>
                      <w:lang w:val="en-US" w:eastAsia="zh-CN"/>
                    </w:rPr>
                  </w:pPr>
                  <w:r>
                    <w:rPr>
                      <w:rFonts w:hint="eastAsia"/>
                      <w:lang w:val="en-US" w:eastAsia="zh-CN"/>
                    </w:rPr>
                    <w:t>1kg</w:t>
                  </w:r>
                </w:p>
              </w:tc>
              <w:tc>
                <w:tcPr>
                  <w:tcW w:w="521" w:type="pct"/>
                  <w:shd w:val="clear" w:color="auto" w:fill="auto"/>
                  <w:vAlign w:val="center"/>
                </w:tcPr>
                <w:p w14:paraId="5DA94932">
                  <w:pPr>
                    <w:pStyle w:val="41"/>
                    <w:bidi w:val="0"/>
                    <w:rPr>
                      <w:rFonts w:hint="eastAsia"/>
                      <w:lang w:val="en-US" w:eastAsia="zh-CN"/>
                    </w:rPr>
                  </w:pPr>
                  <w:r>
                    <w:rPr>
                      <w:rFonts w:hint="eastAsia"/>
                      <w:lang w:eastAsia="zh-CN"/>
                    </w:rPr>
                    <w:t>液体</w:t>
                  </w:r>
                </w:p>
              </w:tc>
              <w:tc>
                <w:tcPr>
                  <w:tcW w:w="447" w:type="pct"/>
                  <w:vMerge w:val="continue"/>
                </w:tcPr>
                <w:p w14:paraId="0BD05603">
                  <w:pPr>
                    <w:pStyle w:val="41"/>
                    <w:bidi w:val="0"/>
                    <w:rPr>
                      <w:rFonts w:hint="default"/>
                      <w:lang w:val="en-US" w:eastAsia="zh-CN"/>
                    </w:rPr>
                  </w:pPr>
                </w:p>
              </w:tc>
            </w:tr>
            <w:tr w14:paraId="771E40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78418B25">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32B6AB01">
                  <w:pPr>
                    <w:pStyle w:val="41"/>
                    <w:bidi w:val="0"/>
                    <w:rPr>
                      <w:rFonts w:hint="eastAsia"/>
                      <w:color w:val="FF0000"/>
                      <w:lang w:val="en-US" w:eastAsia="zh-CN"/>
                    </w:rPr>
                  </w:pPr>
                  <w:r>
                    <w:rPr>
                      <w:rFonts w:hint="eastAsia"/>
                      <w:color w:val="FF0000"/>
                      <w:highlight w:val="yellow"/>
                    </w:rPr>
                    <w:t>环己烷</w:t>
                  </w:r>
                </w:p>
              </w:tc>
              <w:tc>
                <w:tcPr>
                  <w:tcW w:w="669" w:type="pct"/>
                  <w:shd w:val="clear" w:color="auto" w:fill="auto"/>
                  <w:vAlign w:val="center"/>
                </w:tcPr>
                <w:p w14:paraId="280E2C9B">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99.9%</w:t>
                  </w:r>
                </w:p>
              </w:tc>
              <w:tc>
                <w:tcPr>
                  <w:tcW w:w="687" w:type="pct"/>
                  <w:shd w:val="clear" w:color="auto" w:fill="auto"/>
                  <w:vAlign w:val="center"/>
                </w:tcPr>
                <w:p w14:paraId="5C830EE9">
                  <w:pPr>
                    <w:pStyle w:val="41"/>
                    <w:bidi w:val="0"/>
                    <w:rPr>
                      <w:rFonts w:hint="eastAsia"/>
                      <w:lang w:val="en-US" w:eastAsia="zh-CN"/>
                    </w:rPr>
                  </w:pPr>
                  <w:r>
                    <w:t>500ml</w:t>
                  </w:r>
                  <w:r>
                    <w:rPr>
                      <w:rFonts w:hint="eastAsia"/>
                    </w:rPr>
                    <w:t>/瓶</w:t>
                  </w:r>
                </w:p>
              </w:tc>
              <w:tc>
                <w:tcPr>
                  <w:tcW w:w="771" w:type="pct"/>
                  <w:shd w:val="clear" w:color="auto" w:fill="auto"/>
                  <w:vAlign w:val="center"/>
                </w:tcPr>
                <w:p w14:paraId="5B717A35">
                  <w:pPr>
                    <w:pStyle w:val="41"/>
                    <w:bidi w:val="0"/>
                    <w:rPr>
                      <w:rFonts w:hint="eastAsia"/>
                      <w:lang w:val="en-US" w:eastAsia="zh-CN"/>
                    </w:rPr>
                  </w:pPr>
                  <w:r>
                    <w:rPr>
                      <w:rFonts w:hint="eastAsia"/>
                      <w:lang w:val="en-US" w:eastAsia="zh-CN"/>
                    </w:rPr>
                    <w:t>8kg</w:t>
                  </w:r>
                </w:p>
              </w:tc>
              <w:tc>
                <w:tcPr>
                  <w:tcW w:w="740" w:type="pct"/>
                  <w:shd w:val="clear" w:color="auto" w:fill="auto"/>
                  <w:vAlign w:val="center"/>
                </w:tcPr>
                <w:p w14:paraId="36F2F2A7">
                  <w:pPr>
                    <w:pStyle w:val="41"/>
                    <w:bidi w:val="0"/>
                    <w:rPr>
                      <w:rFonts w:hint="eastAsia"/>
                      <w:lang w:val="en-US" w:eastAsia="zh-CN"/>
                    </w:rPr>
                  </w:pPr>
                  <w:r>
                    <w:rPr>
                      <w:rFonts w:hint="eastAsia"/>
                      <w:lang w:val="en-US" w:eastAsia="zh-CN"/>
                    </w:rPr>
                    <w:t>1kg</w:t>
                  </w:r>
                </w:p>
              </w:tc>
              <w:tc>
                <w:tcPr>
                  <w:tcW w:w="521" w:type="pct"/>
                  <w:shd w:val="clear" w:color="auto" w:fill="auto"/>
                  <w:vAlign w:val="center"/>
                </w:tcPr>
                <w:p w14:paraId="2B4AC4C7">
                  <w:pPr>
                    <w:pStyle w:val="41"/>
                    <w:bidi w:val="0"/>
                    <w:rPr>
                      <w:rFonts w:hint="eastAsia"/>
                      <w:lang w:val="en-US" w:eastAsia="zh-CN"/>
                    </w:rPr>
                  </w:pPr>
                  <w:r>
                    <w:rPr>
                      <w:rFonts w:hint="eastAsia"/>
                      <w:lang w:eastAsia="zh-CN"/>
                    </w:rPr>
                    <w:t>液体</w:t>
                  </w:r>
                </w:p>
              </w:tc>
              <w:tc>
                <w:tcPr>
                  <w:tcW w:w="447" w:type="pct"/>
                  <w:vMerge w:val="continue"/>
                </w:tcPr>
                <w:p w14:paraId="575B65E9">
                  <w:pPr>
                    <w:pStyle w:val="41"/>
                    <w:bidi w:val="0"/>
                    <w:rPr>
                      <w:rFonts w:hint="default"/>
                      <w:lang w:val="en-US" w:eastAsia="zh-CN"/>
                    </w:rPr>
                  </w:pPr>
                </w:p>
              </w:tc>
            </w:tr>
            <w:tr w14:paraId="15CDEE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3EE77A47">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5703C769">
                  <w:pPr>
                    <w:pStyle w:val="41"/>
                    <w:bidi w:val="0"/>
                    <w:rPr>
                      <w:rFonts w:hint="eastAsia"/>
                      <w:color w:val="FF0000"/>
                      <w:lang w:val="en-US" w:eastAsia="zh-CN"/>
                    </w:rPr>
                  </w:pPr>
                  <w:r>
                    <w:rPr>
                      <w:rFonts w:hint="eastAsia"/>
                      <w:color w:val="FF0000"/>
                    </w:rPr>
                    <w:t>四氢呋喃H</w:t>
                  </w:r>
                  <w:r>
                    <w:rPr>
                      <w:color w:val="FF0000"/>
                    </w:rPr>
                    <w:t>PLC</w:t>
                  </w:r>
                </w:p>
              </w:tc>
              <w:tc>
                <w:tcPr>
                  <w:tcW w:w="669" w:type="pct"/>
                  <w:shd w:val="clear" w:color="auto" w:fill="auto"/>
                  <w:vAlign w:val="center"/>
                </w:tcPr>
                <w:p w14:paraId="2A20573A">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99.9%</w:t>
                  </w:r>
                </w:p>
              </w:tc>
              <w:tc>
                <w:tcPr>
                  <w:tcW w:w="687" w:type="pct"/>
                  <w:shd w:val="clear" w:color="auto" w:fill="auto"/>
                  <w:vAlign w:val="center"/>
                </w:tcPr>
                <w:p w14:paraId="35DF5FDE">
                  <w:pPr>
                    <w:pStyle w:val="41"/>
                    <w:bidi w:val="0"/>
                    <w:rPr>
                      <w:rFonts w:hint="eastAsia"/>
                      <w:lang w:val="en-US" w:eastAsia="zh-CN"/>
                    </w:rPr>
                  </w:pPr>
                  <w:r>
                    <w:t>4L</w:t>
                  </w:r>
                  <w:r>
                    <w:rPr>
                      <w:rFonts w:hint="eastAsia"/>
                    </w:rPr>
                    <w:t>/瓶</w:t>
                  </w:r>
                </w:p>
              </w:tc>
              <w:tc>
                <w:tcPr>
                  <w:tcW w:w="771" w:type="pct"/>
                  <w:shd w:val="clear" w:color="auto" w:fill="auto"/>
                  <w:vAlign w:val="center"/>
                </w:tcPr>
                <w:p w14:paraId="110F476F">
                  <w:pPr>
                    <w:pStyle w:val="41"/>
                    <w:bidi w:val="0"/>
                    <w:rPr>
                      <w:rFonts w:hint="eastAsia"/>
                      <w:lang w:val="en-US" w:eastAsia="zh-CN"/>
                    </w:rPr>
                  </w:pPr>
                  <w:r>
                    <w:rPr>
                      <w:rFonts w:hint="eastAsia"/>
                      <w:lang w:val="en-US" w:eastAsia="zh-CN"/>
                    </w:rPr>
                    <w:t>8kg</w:t>
                  </w:r>
                </w:p>
              </w:tc>
              <w:tc>
                <w:tcPr>
                  <w:tcW w:w="740" w:type="pct"/>
                  <w:shd w:val="clear" w:color="auto" w:fill="auto"/>
                  <w:vAlign w:val="center"/>
                </w:tcPr>
                <w:p w14:paraId="1D52CD62">
                  <w:pPr>
                    <w:pStyle w:val="41"/>
                    <w:bidi w:val="0"/>
                    <w:rPr>
                      <w:rFonts w:hint="eastAsia"/>
                      <w:lang w:val="en-US" w:eastAsia="zh-CN"/>
                    </w:rPr>
                  </w:pPr>
                  <w:r>
                    <w:rPr>
                      <w:rFonts w:hint="eastAsia"/>
                      <w:lang w:val="en-US" w:eastAsia="zh-CN"/>
                    </w:rPr>
                    <w:t>1kg</w:t>
                  </w:r>
                </w:p>
              </w:tc>
              <w:tc>
                <w:tcPr>
                  <w:tcW w:w="521" w:type="pct"/>
                  <w:shd w:val="clear" w:color="auto" w:fill="auto"/>
                  <w:vAlign w:val="center"/>
                </w:tcPr>
                <w:p w14:paraId="23059902">
                  <w:pPr>
                    <w:pStyle w:val="41"/>
                    <w:bidi w:val="0"/>
                    <w:rPr>
                      <w:rFonts w:hint="eastAsia"/>
                      <w:lang w:val="en-US" w:eastAsia="zh-CN"/>
                    </w:rPr>
                  </w:pPr>
                  <w:r>
                    <w:rPr>
                      <w:rFonts w:hint="eastAsia"/>
                      <w:lang w:eastAsia="zh-CN"/>
                    </w:rPr>
                    <w:t>液体</w:t>
                  </w:r>
                </w:p>
              </w:tc>
              <w:tc>
                <w:tcPr>
                  <w:tcW w:w="447" w:type="pct"/>
                  <w:vMerge w:val="continue"/>
                </w:tcPr>
                <w:p w14:paraId="029F2BF2">
                  <w:pPr>
                    <w:pStyle w:val="41"/>
                    <w:bidi w:val="0"/>
                    <w:rPr>
                      <w:rFonts w:hint="default"/>
                      <w:lang w:val="en-US" w:eastAsia="zh-CN"/>
                    </w:rPr>
                  </w:pPr>
                </w:p>
              </w:tc>
            </w:tr>
            <w:tr w14:paraId="04D2C2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58D85EB0">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5F47CE42">
                  <w:pPr>
                    <w:pStyle w:val="41"/>
                    <w:bidi w:val="0"/>
                    <w:rPr>
                      <w:rFonts w:hint="eastAsia"/>
                      <w:color w:val="FF0000"/>
                      <w:lang w:val="en-US" w:eastAsia="zh-CN"/>
                    </w:rPr>
                  </w:pPr>
                  <w:r>
                    <w:rPr>
                      <w:rFonts w:hint="eastAsia"/>
                      <w:color w:val="FF0000"/>
                      <w:highlight w:val="yellow"/>
                    </w:rPr>
                    <w:t>异丙醇H</w:t>
                  </w:r>
                  <w:r>
                    <w:rPr>
                      <w:color w:val="FF0000"/>
                      <w:highlight w:val="yellow"/>
                    </w:rPr>
                    <w:t>PLC</w:t>
                  </w:r>
                </w:p>
              </w:tc>
              <w:tc>
                <w:tcPr>
                  <w:tcW w:w="669" w:type="pct"/>
                  <w:shd w:val="clear" w:color="auto" w:fill="auto"/>
                  <w:vAlign w:val="center"/>
                </w:tcPr>
                <w:p w14:paraId="2E3361EA">
                  <w:pPr>
                    <w:pStyle w:val="41"/>
                    <w:bidi w:val="0"/>
                    <w:rPr>
                      <w:rFonts w:hint="eastAsia"/>
                    </w:rPr>
                  </w:pPr>
                  <w:r>
                    <w:rPr>
                      <w:rFonts w:hint="eastAsia"/>
                      <w:lang w:val="en-US" w:eastAsia="zh-CN"/>
                    </w:rPr>
                    <w:t>99.9%</w:t>
                  </w:r>
                </w:p>
              </w:tc>
              <w:tc>
                <w:tcPr>
                  <w:tcW w:w="687" w:type="pct"/>
                  <w:shd w:val="clear" w:color="auto" w:fill="auto"/>
                  <w:vAlign w:val="center"/>
                </w:tcPr>
                <w:p w14:paraId="716970A3">
                  <w:pPr>
                    <w:pStyle w:val="41"/>
                    <w:bidi w:val="0"/>
                    <w:rPr>
                      <w:rFonts w:hint="eastAsia"/>
                      <w:lang w:val="en-US" w:eastAsia="zh-CN"/>
                    </w:rPr>
                  </w:pPr>
                  <w:r>
                    <w:t>4L</w:t>
                  </w:r>
                  <w:r>
                    <w:rPr>
                      <w:rFonts w:hint="eastAsia"/>
                    </w:rPr>
                    <w:t>/瓶</w:t>
                  </w:r>
                </w:p>
              </w:tc>
              <w:tc>
                <w:tcPr>
                  <w:tcW w:w="771" w:type="pct"/>
                  <w:shd w:val="clear" w:color="auto" w:fill="auto"/>
                  <w:vAlign w:val="center"/>
                </w:tcPr>
                <w:p w14:paraId="2FA33975">
                  <w:pPr>
                    <w:pStyle w:val="41"/>
                    <w:bidi w:val="0"/>
                    <w:rPr>
                      <w:rFonts w:hint="eastAsia"/>
                      <w:lang w:val="en-US" w:eastAsia="zh-CN"/>
                    </w:rPr>
                  </w:pPr>
                  <w:r>
                    <w:rPr>
                      <w:rFonts w:hint="eastAsia"/>
                      <w:lang w:val="en-US" w:eastAsia="zh-CN"/>
                    </w:rPr>
                    <w:t>8kg</w:t>
                  </w:r>
                </w:p>
              </w:tc>
              <w:tc>
                <w:tcPr>
                  <w:tcW w:w="740" w:type="pct"/>
                  <w:shd w:val="clear" w:color="auto" w:fill="auto"/>
                  <w:vAlign w:val="center"/>
                </w:tcPr>
                <w:p w14:paraId="7AF3B49D">
                  <w:pPr>
                    <w:pStyle w:val="41"/>
                    <w:bidi w:val="0"/>
                    <w:rPr>
                      <w:rFonts w:hint="eastAsia"/>
                      <w:lang w:val="en-US" w:eastAsia="zh-CN"/>
                    </w:rPr>
                  </w:pPr>
                  <w:r>
                    <w:rPr>
                      <w:rFonts w:hint="eastAsia"/>
                      <w:lang w:val="en-US" w:eastAsia="zh-CN"/>
                    </w:rPr>
                    <w:t>1kg</w:t>
                  </w:r>
                </w:p>
              </w:tc>
              <w:tc>
                <w:tcPr>
                  <w:tcW w:w="521" w:type="pct"/>
                  <w:shd w:val="clear" w:color="auto" w:fill="auto"/>
                  <w:vAlign w:val="center"/>
                </w:tcPr>
                <w:p w14:paraId="5754CCFB">
                  <w:pPr>
                    <w:pStyle w:val="41"/>
                    <w:bidi w:val="0"/>
                    <w:rPr>
                      <w:rFonts w:hint="eastAsia"/>
                      <w:lang w:val="en-US" w:eastAsia="zh-CN"/>
                    </w:rPr>
                  </w:pPr>
                  <w:r>
                    <w:rPr>
                      <w:rFonts w:hint="eastAsia"/>
                      <w:lang w:eastAsia="zh-CN"/>
                    </w:rPr>
                    <w:t>液体</w:t>
                  </w:r>
                </w:p>
              </w:tc>
              <w:tc>
                <w:tcPr>
                  <w:tcW w:w="447" w:type="pct"/>
                  <w:vMerge w:val="continue"/>
                </w:tcPr>
                <w:p w14:paraId="6D9E8F69">
                  <w:pPr>
                    <w:pStyle w:val="41"/>
                    <w:bidi w:val="0"/>
                    <w:rPr>
                      <w:rFonts w:hint="default"/>
                      <w:lang w:val="en-US" w:eastAsia="zh-CN"/>
                    </w:rPr>
                  </w:pPr>
                </w:p>
              </w:tc>
            </w:tr>
            <w:tr w14:paraId="602419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AE1FE3F">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506E6432">
                  <w:pPr>
                    <w:pStyle w:val="41"/>
                    <w:bidi w:val="0"/>
                    <w:rPr>
                      <w:rFonts w:hint="eastAsia"/>
                      <w:color w:val="FF0000"/>
                      <w:lang w:val="en-US" w:eastAsia="zh-CN"/>
                    </w:rPr>
                  </w:pPr>
                  <w:r>
                    <w:rPr>
                      <w:rFonts w:hint="eastAsia"/>
                      <w:color w:val="FF0000"/>
                      <w:highlight w:val="yellow"/>
                    </w:rPr>
                    <w:t>二氯甲烷</w:t>
                  </w:r>
                  <w:r>
                    <w:rPr>
                      <w:color w:val="FF0000"/>
                      <w:highlight w:val="yellow"/>
                    </w:rPr>
                    <w:t>HPLC</w:t>
                  </w:r>
                </w:p>
              </w:tc>
              <w:tc>
                <w:tcPr>
                  <w:tcW w:w="669" w:type="pct"/>
                  <w:shd w:val="clear" w:color="auto" w:fill="auto"/>
                  <w:vAlign w:val="center"/>
                </w:tcPr>
                <w:p w14:paraId="5639946D">
                  <w:pPr>
                    <w:pStyle w:val="41"/>
                    <w:bidi w:val="0"/>
                    <w:rPr>
                      <w:rFonts w:hint="eastAsia"/>
                    </w:rPr>
                  </w:pPr>
                  <w:r>
                    <w:rPr>
                      <w:rFonts w:hint="eastAsia"/>
                      <w:lang w:val="en-US" w:eastAsia="zh-CN"/>
                    </w:rPr>
                    <w:t>99.9%</w:t>
                  </w:r>
                </w:p>
              </w:tc>
              <w:tc>
                <w:tcPr>
                  <w:tcW w:w="687" w:type="pct"/>
                  <w:shd w:val="clear" w:color="auto" w:fill="auto"/>
                  <w:vAlign w:val="center"/>
                </w:tcPr>
                <w:p w14:paraId="72D4F9EC">
                  <w:pPr>
                    <w:pStyle w:val="41"/>
                    <w:bidi w:val="0"/>
                    <w:rPr>
                      <w:rFonts w:hint="eastAsia"/>
                      <w:lang w:val="en-US" w:eastAsia="zh-CN"/>
                    </w:rPr>
                  </w:pPr>
                  <w:r>
                    <w:t>4L</w:t>
                  </w:r>
                  <w:r>
                    <w:rPr>
                      <w:rFonts w:hint="eastAsia"/>
                    </w:rPr>
                    <w:t>/瓶</w:t>
                  </w:r>
                </w:p>
              </w:tc>
              <w:tc>
                <w:tcPr>
                  <w:tcW w:w="771" w:type="pct"/>
                  <w:shd w:val="clear" w:color="auto" w:fill="auto"/>
                  <w:vAlign w:val="center"/>
                </w:tcPr>
                <w:p w14:paraId="77E4386D">
                  <w:pPr>
                    <w:pStyle w:val="41"/>
                    <w:bidi w:val="0"/>
                    <w:rPr>
                      <w:rFonts w:hint="eastAsia"/>
                      <w:lang w:val="en-US" w:eastAsia="zh-CN"/>
                    </w:rPr>
                  </w:pPr>
                  <w:r>
                    <w:rPr>
                      <w:rFonts w:hint="eastAsia"/>
                      <w:lang w:val="en-US" w:eastAsia="zh-CN"/>
                    </w:rPr>
                    <w:t>8kg</w:t>
                  </w:r>
                </w:p>
              </w:tc>
              <w:tc>
                <w:tcPr>
                  <w:tcW w:w="740" w:type="pct"/>
                  <w:shd w:val="clear" w:color="auto" w:fill="auto"/>
                  <w:vAlign w:val="center"/>
                </w:tcPr>
                <w:p w14:paraId="58597B30">
                  <w:pPr>
                    <w:pStyle w:val="41"/>
                    <w:bidi w:val="0"/>
                    <w:rPr>
                      <w:rFonts w:hint="eastAsia"/>
                      <w:lang w:val="en-US" w:eastAsia="zh-CN"/>
                    </w:rPr>
                  </w:pPr>
                  <w:r>
                    <w:rPr>
                      <w:rFonts w:hint="eastAsia"/>
                      <w:lang w:val="en-US" w:eastAsia="zh-CN"/>
                    </w:rPr>
                    <w:t>1kg</w:t>
                  </w:r>
                </w:p>
              </w:tc>
              <w:tc>
                <w:tcPr>
                  <w:tcW w:w="521" w:type="pct"/>
                  <w:shd w:val="clear" w:color="auto" w:fill="auto"/>
                  <w:vAlign w:val="center"/>
                </w:tcPr>
                <w:p w14:paraId="4987DDA9">
                  <w:pPr>
                    <w:pStyle w:val="41"/>
                    <w:bidi w:val="0"/>
                    <w:rPr>
                      <w:rFonts w:hint="eastAsia"/>
                      <w:lang w:val="en-US" w:eastAsia="zh-CN"/>
                    </w:rPr>
                  </w:pPr>
                  <w:r>
                    <w:rPr>
                      <w:rFonts w:hint="eastAsia"/>
                      <w:lang w:eastAsia="zh-CN"/>
                    </w:rPr>
                    <w:t>液体</w:t>
                  </w:r>
                </w:p>
              </w:tc>
              <w:tc>
                <w:tcPr>
                  <w:tcW w:w="447" w:type="pct"/>
                  <w:vMerge w:val="continue"/>
                </w:tcPr>
                <w:p w14:paraId="4D212C2D">
                  <w:pPr>
                    <w:pStyle w:val="41"/>
                    <w:bidi w:val="0"/>
                    <w:rPr>
                      <w:rFonts w:hint="default"/>
                      <w:lang w:val="en-US" w:eastAsia="zh-CN"/>
                    </w:rPr>
                  </w:pPr>
                </w:p>
              </w:tc>
            </w:tr>
            <w:tr w14:paraId="1CE27A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482107FB">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3846C919">
                  <w:pPr>
                    <w:pStyle w:val="41"/>
                    <w:bidi w:val="0"/>
                    <w:rPr>
                      <w:rFonts w:hint="eastAsia"/>
                      <w:lang w:val="en-US" w:eastAsia="zh-CN"/>
                    </w:rPr>
                  </w:pPr>
                  <w:r>
                    <w:rPr>
                      <w:rFonts w:hint="eastAsia"/>
                      <w:color w:val="FF0000"/>
                    </w:rPr>
                    <w:t>苯胺</w:t>
                  </w:r>
                </w:p>
              </w:tc>
              <w:tc>
                <w:tcPr>
                  <w:tcW w:w="669" w:type="pct"/>
                  <w:shd w:val="clear" w:color="auto" w:fill="auto"/>
                  <w:vAlign w:val="center"/>
                </w:tcPr>
                <w:p w14:paraId="17483529">
                  <w:pPr>
                    <w:pStyle w:val="41"/>
                    <w:bidi w:val="0"/>
                    <w:rPr>
                      <w:rFonts w:hint="eastAsia"/>
                    </w:rPr>
                  </w:pPr>
                  <w:r>
                    <w:rPr>
                      <w:rFonts w:hint="eastAsia"/>
                      <w:lang w:val="en-US" w:eastAsia="zh-CN"/>
                    </w:rPr>
                    <w:t>99.5%</w:t>
                  </w:r>
                </w:p>
              </w:tc>
              <w:tc>
                <w:tcPr>
                  <w:tcW w:w="687" w:type="pct"/>
                  <w:shd w:val="clear" w:color="auto" w:fill="auto"/>
                  <w:vAlign w:val="center"/>
                </w:tcPr>
                <w:p w14:paraId="6A49A9DF">
                  <w:pPr>
                    <w:pStyle w:val="41"/>
                    <w:bidi w:val="0"/>
                    <w:rPr>
                      <w:rFonts w:hint="eastAsia"/>
                      <w:lang w:val="en-US" w:eastAsia="zh-CN"/>
                    </w:rPr>
                  </w:pPr>
                  <w:r>
                    <w:rPr>
                      <w:rFonts w:hint="eastAsia"/>
                    </w:rPr>
                    <w:t>5</w:t>
                  </w:r>
                  <w:r>
                    <w:t>00ml</w:t>
                  </w:r>
                  <w:r>
                    <w:rPr>
                      <w:rFonts w:hint="eastAsia"/>
                    </w:rPr>
                    <w:t>/瓶</w:t>
                  </w:r>
                </w:p>
              </w:tc>
              <w:tc>
                <w:tcPr>
                  <w:tcW w:w="771" w:type="pct"/>
                  <w:shd w:val="clear" w:color="auto" w:fill="auto"/>
                  <w:vAlign w:val="center"/>
                </w:tcPr>
                <w:p w14:paraId="0356F05A">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40kg</w:t>
                  </w:r>
                </w:p>
              </w:tc>
              <w:tc>
                <w:tcPr>
                  <w:tcW w:w="740" w:type="pct"/>
                  <w:shd w:val="clear" w:color="auto" w:fill="auto"/>
                  <w:vAlign w:val="center"/>
                </w:tcPr>
                <w:p w14:paraId="322B7806">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10kg</w:t>
                  </w:r>
                </w:p>
              </w:tc>
              <w:tc>
                <w:tcPr>
                  <w:tcW w:w="521" w:type="pct"/>
                  <w:shd w:val="clear" w:color="auto" w:fill="auto"/>
                  <w:vAlign w:val="center"/>
                </w:tcPr>
                <w:p w14:paraId="19AEE2A2">
                  <w:pPr>
                    <w:pStyle w:val="41"/>
                    <w:bidi w:val="0"/>
                    <w:rPr>
                      <w:rFonts w:hint="eastAsia"/>
                      <w:lang w:val="en-US" w:eastAsia="zh-CN"/>
                    </w:rPr>
                  </w:pPr>
                  <w:r>
                    <w:rPr>
                      <w:rFonts w:hint="eastAsia"/>
                      <w:lang w:eastAsia="zh-CN"/>
                    </w:rPr>
                    <w:t>液体</w:t>
                  </w:r>
                </w:p>
              </w:tc>
              <w:tc>
                <w:tcPr>
                  <w:tcW w:w="447" w:type="pct"/>
                  <w:vMerge w:val="continue"/>
                </w:tcPr>
                <w:p w14:paraId="084D5172">
                  <w:pPr>
                    <w:pStyle w:val="41"/>
                    <w:bidi w:val="0"/>
                    <w:rPr>
                      <w:rFonts w:hint="default"/>
                      <w:lang w:val="en-US" w:eastAsia="zh-CN"/>
                    </w:rPr>
                  </w:pPr>
                </w:p>
              </w:tc>
            </w:tr>
            <w:tr w14:paraId="753402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6" w:type="pct"/>
                  <w:vAlign w:val="center"/>
                </w:tcPr>
                <w:p w14:paraId="052524D7">
                  <w:pPr>
                    <w:pStyle w:val="41"/>
                    <w:numPr>
                      <w:ilvl w:val="0"/>
                      <w:numId w:val="13"/>
                    </w:numPr>
                    <w:bidi w:val="0"/>
                    <w:ind w:left="454" w:leftChars="0" w:hanging="454" w:firstLineChars="0"/>
                    <w:jc w:val="center"/>
                    <w:rPr>
                      <w:rFonts w:hint="eastAsia"/>
                    </w:rPr>
                  </w:pPr>
                </w:p>
              </w:tc>
              <w:tc>
                <w:tcPr>
                  <w:tcW w:w="864" w:type="pct"/>
                  <w:shd w:val="clear" w:color="auto" w:fill="auto"/>
                  <w:vAlign w:val="center"/>
                </w:tcPr>
                <w:p w14:paraId="5E0FED52">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口罩</w:t>
                  </w:r>
                </w:p>
              </w:tc>
              <w:tc>
                <w:tcPr>
                  <w:tcW w:w="669" w:type="pct"/>
                  <w:shd w:val="clear" w:color="auto" w:fill="auto"/>
                  <w:vAlign w:val="center"/>
                </w:tcPr>
                <w:p w14:paraId="4C733244">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687" w:type="pct"/>
                  <w:shd w:val="clear" w:color="auto" w:fill="auto"/>
                  <w:vAlign w:val="center"/>
                </w:tcPr>
                <w:p w14:paraId="70A07B35">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100个/盒</w:t>
                  </w:r>
                </w:p>
              </w:tc>
              <w:tc>
                <w:tcPr>
                  <w:tcW w:w="771" w:type="pct"/>
                  <w:shd w:val="clear" w:color="auto" w:fill="auto"/>
                  <w:vAlign w:val="center"/>
                </w:tcPr>
                <w:p w14:paraId="5F03F007">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300盒</w:t>
                  </w:r>
                </w:p>
              </w:tc>
              <w:tc>
                <w:tcPr>
                  <w:tcW w:w="740" w:type="pct"/>
                  <w:shd w:val="clear" w:color="auto" w:fill="auto"/>
                  <w:vAlign w:val="center"/>
                </w:tcPr>
                <w:p w14:paraId="7484409C">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100盒</w:t>
                  </w:r>
                </w:p>
              </w:tc>
              <w:tc>
                <w:tcPr>
                  <w:tcW w:w="521" w:type="pct"/>
                  <w:shd w:val="clear" w:color="auto" w:fill="auto"/>
                  <w:vAlign w:val="center"/>
                </w:tcPr>
                <w:p w14:paraId="618F5825">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固</w:t>
                  </w:r>
                </w:p>
              </w:tc>
              <w:tc>
                <w:tcPr>
                  <w:tcW w:w="447" w:type="pct"/>
                  <w:vMerge w:val="continue"/>
                </w:tcPr>
                <w:p w14:paraId="7A04E44F">
                  <w:pPr>
                    <w:pStyle w:val="41"/>
                    <w:bidi w:val="0"/>
                    <w:rPr>
                      <w:rFonts w:hint="default"/>
                      <w:lang w:val="en-US" w:eastAsia="zh-CN"/>
                    </w:rPr>
                  </w:pPr>
                </w:p>
              </w:tc>
            </w:tr>
            <w:tr w14:paraId="59425A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63" w:type="dxa"/>
                </w:tcPr>
                <w:p w14:paraId="178A6D60">
                  <w:pPr>
                    <w:pStyle w:val="41"/>
                    <w:numPr>
                      <w:ilvl w:val="0"/>
                      <w:numId w:val="13"/>
                    </w:numPr>
                    <w:bidi w:val="0"/>
                    <w:ind w:left="454" w:leftChars="0" w:hanging="454" w:firstLineChars="0"/>
                    <w:jc w:val="center"/>
                    <w:rPr>
                      <w:rFonts w:hint="eastAsia"/>
                    </w:rPr>
                  </w:pPr>
                </w:p>
              </w:tc>
              <w:tc>
                <w:tcPr>
                  <w:tcW w:w="1357" w:type="dxa"/>
                  <w:shd w:val="clear" w:color="auto" w:fill="auto"/>
                  <w:vAlign w:val="center"/>
                </w:tcPr>
                <w:p w14:paraId="6A3917EE">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手套</w:t>
                  </w:r>
                </w:p>
              </w:tc>
              <w:tc>
                <w:tcPr>
                  <w:tcW w:w="1050" w:type="dxa"/>
                  <w:shd w:val="clear" w:color="auto" w:fill="auto"/>
                  <w:vAlign w:val="center"/>
                </w:tcPr>
                <w:p w14:paraId="5259C9E4">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1079" w:type="dxa"/>
                  <w:shd w:val="clear" w:color="auto" w:fill="auto"/>
                  <w:vAlign w:val="center"/>
                </w:tcPr>
                <w:p w14:paraId="73955245">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100个/盒</w:t>
                  </w:r>
                </w:p>
              </w:tc>
              <w:tc>
                <w:tcPr>
                  <w:tcW w:w="771" w:type="pct"/>
                  <w:shd w:val="clear" w:color="auto" w:fill="auto"/>
                  <w:vAlign w:val="center"/>
                </w:tcPr>
                <w:p w14:paraId="02F3C885">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300盒</w:t>
                  </w:r>
                </w:p>
              </w:tc>
              <w:tc>
                <w:tcPr>
                  <w:tcW w:w="740" w:type="pct"/>
                  <w:shd w:val="clear" w:color="auto" w:fill="auto"/>
                  <w:vAlign w:val="center"/>
                </w:tcPr>
                <w:p w14:paraId="6C067C8A">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100盒</w:t>
                  </w:r>
                </w:p>
              </w:tc>
              <w:tc>
                <w:tcPr>
                  <w:tcW w:w="818" w:type="dxa"/>
                  <w:shd w:val="clear" w:color="auto" w:fill="auto"/>
                  <w:vAlign w:val="center"/>
                </w:tcPr>
                <w:p w14:paraId="1EEA49E0">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固</w:t>
                  </w:r>
                </w:p>
              </w:tc>
              <w:tc>
                <w:tcPr>
                  <w:tcW w:w="447" w:type="pct"/>
                  <w:vMerge w:val="continue"/>
                </w:tcPr>
                <w:p w14:paraId="09F1B28E">
                  <w:pPr>
                    <w:pStyle w:val="41"/>
                    <w:bidi w:val="0"/>
                    <w:rPr>
                      <w:rFonts w:hint="default"/>
                      <w:lang w:val="en-US" w:eastAsia="zh-CN"/>
                    </w:rPr>
                  </w:pPr>
                </w:p>
              </w:tc>
            </w:tr>
            <w:tr w14:paraId="5DB462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63" w:type="dxa"/>
                </w:tcPr>
                <w:p w14:paraId="759CF9BB">
                  <w:pPr>
                    <w:pStyle w:val="41"/>
                    <w:numPr>
                      <w:ilvl w:val="0"/>
                      <w:numId w:val="13"/>
                    </w:numPr>
                    <w:bidi w:val="0"/>
                    <w:ind w:left="454" w:leftChars="0" w:hanging="454" w:firstLineChars="0"/>
                    <w:jc w:val="center"/>
                    <w:rPr>
                      <w:rFonts w:hint="eastAsia"/>
                    </w:rPr>
                  </w:pPr>
                </w:p>
              </w:tc>
              <w:tc>
                <w:tcPr>
                  <w:tcW w:w="1357" w:type="dxa"/>
                  <w:shd w:val="clear" w:color="auto" w:fill="auto"/>
                  <w:vAlign w:val="center"/>
                </w:tcPr>
                <w:p w14:paraId="364A7AE1">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吸管</w:t>
                  </w:r>
                </w:p>
              </w:tc>
              <w:tc>
                <w:tcPr>
                  <w:tcW w:w="1050" w:type="dxa"/>
                  <w:shd w:val="clear" w:color="auto" w:fill="auto"/>
                  <w:vAlign w:val="center"/>
                </w:tcPr>
                <w:p w14:paraId="41C49C5C">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1079" w:type="dxa"/>
                  <w:shd w:val="clear" w:color="auto" w:fill="auto"/>
                  <w:vAlign w:val="center"/>
                </w:tcPr>
                <w:p w14:paraId="713E12E5">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100个/盒</w:t>
                  </w:r>
                </w:p>
              </w:tc>
              <w:tc>
                <w:tcPr>
                  <w:tcW w:w="771" w:type="pct"/>
                  <w:shd w:val="clear" w:color="auto" w:fill="auto"/>
                  <w:vAlign w:val="center"/>
                </w:tcPr>
                <w:p w14:paraId="35926E0C">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300盒</w:t>
                  </w:r>
                </w:p>
              </w:tc>
              <w:tc>
                <w:tcPr>
                  <w:tcW w:w="740" w:type="pct"/>
                  <w:shd w:val="clear" w:color="auto" w:fill="auto"/>
                  <w:vAlign w:val="center"/>
                </w:tcPr>
                <w:p w14:paraId="1B40C091">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100盒</w:t>
                  </w:r>
                </w:p>
              </w:tc>
              <w:tc>
                <w:tcPr>
                  <w:tcW w:w="818" w:type="dxa"/>
                  <w:shd w:val="clear" w:color="auto" w:fill="auto"/>
                  <w:vAlign w:val="center"/>
                </w:tcPr>
                <w:p w14:paraId="15D8235A">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固</w:t>
                  </w:r>
                </w:p>
              </w:tc>
              <w:tc>
                <w:tcPr>
                  <w:tcW w:w="447" w:type="pct"/>
                  <w:vMerge w:val="continue"/>
                </w:tcPr>
                <w:p w14:paraId="314E74C9">
                  <w:pPr>
                    <w:pStyle w:val="41"/>
                    <w:bidi w:val="0"/>
                    <w:rPr>
                      <w:rFonts w:hint="default"/>
                      <w:lang w:val="en-US" w:eastAsia="zh-CN"/>
                    </w:rPr>
                  </w:pPr>
                </w:p>
              </w:tc>
            </w:tr>
            <w:tr w14:paraId="7A0C2C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63" w:type="dxa"/>
                </w:tcPr>
                <w:p w14:paraId="7B38A0AB">
                  <w:pPr>
                    <w:pStyle w:val="41"/>
                    <w:numPr>
                      <w:ilvl w:val="0"/>
                      <w:numId w:val="13"/>
                    </w:numPr>
                    <w:bidi w:val="0"/>
                    <w:ind w:left="454" w:leftChars="0" w:hanging="454" w:firstLineChars="0"/>
                    <w:jc w:val="center"/>
                    <w:rPr>
                      <w:rFonts w:hint="eastAsia"/>
                    </w:rPr>
                  </w:pPr>
                </w:p>
              </w:tc>
              <w:tc>
                <w:tcPr>
                  <w:tcW w:w="1357" w:type="dxa"/>
                  <w:shd w:val="clear" w:color="auto" w:fill="auto"/>
                  <w:vAlign w:val="center"/>
                </w:tcPr>
                <w:p w14:paraId="50971928">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称量纸</w:t>
                  </w:r>
                </w:p>
              </w:tc>
              <w:tc>
                <w:tcPr>
                  <w:tcW w:w="1050" w:type="dxa"/>
                  <w:shd w:val="clear" w:color="auto" w:fill="auto"/>
                  <w:vAlign w:val="center"/>
                </w:tcPr>
                <w:p w14:paraId="773EB9DD">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1079" w:type="dxa"/>
                  <w:shd w:val="clear" w:color="auto" w:fill="auto"/>
                  <w:vAlign w:val="center"/>
                </w:tcPr>
                <w:p w14:paraId="4E310014">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100张/袋</w:t>
                  </w:r>
                </w:p>
              </w:tc>
              <w:tc>
                <w:tcPr>
                  <w:tcW w:w="771" w:type="pct"/>
                  <w:shd w:val="clear" w:color="auto" w:fill="auto"/>
                  <w:vAlign w:val="center"/>
                </w:tcPr>
                <w:p w14:paraId="4FD5082C">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300袋</w:t>
                  </w:r>
                </w:p>
              </w:tc>
              <w:tc>
                <w:tcPr>
                  <w:tcW w:w="740" w:type="pct"/>
                  <w:shd w:val="clear" w:color="auto" w:fill="auto"/>
                  <w:vAlign w:val="center"/>
                </w:tcPr>
                <w:p w14:paraId="34CC0A40">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100袋</w:t>
                  </w:r>
                </w:p>
              </w:tc>
              <w:tc>
                <w:tcPr>
                  <w:tcW w:w="818" w:type="dxa"/>
                  <w:shd w:val="clear" w:color="auto" w:fill="auto"/>
                  <w:vAlign w:val="center"/>
                </w:tcPr>
                <w:p w14:paraId="2CDD1F36">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固</w:t>
                  </w:r>
                </w:p>
              </w:tc>
              <w:tc>
                <w:tcPr>
                  <w:tcW w:w="447" w:type="pct"/>
                  <w:vMerge w:val="continue"/>
                </w:tcPr>
                <w:p w14:paraId="173F9695">
                  <w:pPr>
                    <w:pStyle w:val="41"/>
                    <w:bidi w:val="0"/>
                    <w:rPr>
                      <w:rFonts w:hint="default"/>
                      <w:lang w:val="en-US" w:eastAsia="zh-CN"/>
                    </w:rPr>
                  </w:pPr>
                </w:p>
              </w:tc>
            </w:tr>
            <w:tr w14:paraId="7F17D3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63" w:type="dxa"/>
                </w:tcPr>
                <w:p w14:paraId="17CCD201">
                  <w:pPr>
                    <w:pStyle w:val="41"/>
                    <w:numPr>
                      <w:ilvl w:val="0"/>
                      <w:numId w:val="13"/>
                    </w:numPr>
                    <w:bidi w:val="0"/>
                    <w:ind w:left="454" w:leftChars="0" w:hanging="454" w:firstLineChars="0"/>
                    <w:jc w:val="center"/>
                    <w:rPr>
                      <w:rFonts w:hint="eastAsia"/>
                    </w:rPr>
                  </w:pPr>
                </w:p>
              </w:tc>
              <w:tc>
                <w:tcPr>
                  <w:tcW w:w="1357" w:type="dxa"/>
                  <w:shd w:val="clear" w:color="auto" w:fill="auto"/>
                  <w:vAlign w:val="center"/>
                </w:tcPr>
                <w:p w14:paraId="04357A63">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移液枪头</w:t>
                  </w:r>
                </w:p>
              </w:tc>
              <w:tc>
                <w:tcPr>
                  <w:tcW w:w="1050" w:type="dxa"/>
                  <w:shd w:val="clear" w:color="auto" w:fill="auto"/>
                  <w:vAlign w:val="center"/>
                </w:tcPr>
                <w:p w14:paraId="068E005C">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1079" w:type="dxa"/>
                  <w:shd w:val="clear" w:color="auto" w:fill="auto"/>
                  <w:vAlign w:val="center"/>
                </w:tcPr>
                <w:p w14:paraId="2ACB68EA">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100个/盒</w:t>
                  </w:r>
                </w:p>
              </w:tc>
              <w:tc>
                <w:tcPr>
                  <w:tcW w:w="771" w:type="pct"/>
                  <w:shd w:val="clear" w:color="auto" w:fill="auto"/>
                  <w:vAlign w:val="center"/>
                </w:tcPr>
                <w:p w14:paraId="38EC3BCB">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200盒</w:t>
                  </w:r>
                </w:p>
              </w:tc>
              <w:tc>
                <w:tcPr>
                  <w:tcW w:w="740" w:type="pct"/>
                  <w:shd w:val="clear" w:color="auto" w:fill="auto"/>
                  <w:vAlign w:val="center"/>
                </w:tcPr>
                <w:p w14:paraId="1C6531AD">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50盒</w:t>
                  </w:r>
                </w:p>
              </w:tc>
              <w:tc>
                <w:tcPr>
                  <w:tcW w:w="818" w:type="dxa"/>
                  <w:shd w:val="clear" w:color="auto" w:fill="auto"/>
                  <w:vAlign w:val="center"/>
                </w:tcPr>
                <w:p w14:paraId="49796BE5">
                  <w:pPr>
                    <w:pStyle w:val="41"/>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固</w:t>
                  </w:r>
                </w:p>
              </w:tc>
              <w:tc>
                <w:tcPr>
                  <w:tcW w:w="447" w:type="pct"/>
                  <w:vMerge w:val="continue"/>
                </w:tcPr>
                <w:p w14:paraId="63F324F9">
                  <w:pPr>
                    <w:pStyle w:val="41"/>
                    <w:bidi w:val="0"/>
                    <w:rPr>
                      <w:rFonts w:hint="default"/>
                      <w:lang w:val="en-US" w:eastAsia="zh-CN"/>
                    </w:rPr>
                  </w:pPr>
                </w:p>
              </w:tc>
            </w:tr>
          </w:tbl>
          <w:p w14:paraId="44D660CD">
            <w:pPr>
              <w:pStyle w:val="41"/>
              <w:bidi w:val="0"/>
            </w:pPr>
          </w:p>
          <w:p w14:paraId="1847980C">
            <w:pPr>
              <w:pStyle w:val="44"/>
              <w:bidi w:val="0"/>
              <w:rPr>
                <w:color w:val="auto"/>
                <w:highlight w:val="none"/>
              </w:rPr>
            </w:pPr>
            <w:r>
              <w:rPr>
                <w:rFonts w:hint="eastAsia"/>
                <w:color w:val="auto"/>
                <w:highlight w:val="none"/>
                <w:lang w:val="en-US" w:eastAsia="zh-CN"/>
              </w:rPr>
              <w:t>本项目</w:t>
            </w:r>
            <w:r>
              <w:rPr>
                <w:color w:val="auto"/>
                <w:highlight w:val="none"/>
              </w:rPr>
              <w:t>原辅料理化性质一览表</w:t>
            </w:r>
          </w:p>
          <w:tbl>
            <w:tblPr>
              <w:tblStyle w:val="3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103"/>
              <w:gridCol w:w="3451"/>
              <w:gridCol w:w="894"/>
              <w:gridCol w:w="1470"/>
            </w:tblGrid>
            <w:tr w14:paraId="2B9ED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tcBorders>
                    <w:tl2br w:val="nil"/>
                    <w:tr2bl w:val="nil"/>
                  </w:tcBorders>
                  <w:noWrap w:val="0"/>
                  <w:vAlign w:val="center"/>
                </w:tcPr>
                <w:p w14:paraId="50D1020A">
                  <w:pPr>
                    <w:pStyle w:val="41"/>
                    <w:bidi w:val="0"/>
                    <w:jc w:val="center"/>
                    <w:rPr>
                      <w:rFonts w:hint="default"/>
                      <w:b/>
                      <w:bCs/>
                    </w:rPr>
                  </w:pPr>
                  <w:r>
                    <w:rPr>
                      <w:rFonts w:hint="eastAsia"/>
                      <w:b/>
                      <w:bCs/>
                      <w:lang w:val="en-US" w:eastAsia="zh-CN"/>
                    </w:rPr>
                    <w:t>原料</w:t>
                  </w:r>
                  <w:r>
                    <w:rPr>
                      <w:rFonts w:hint="default"/>
                      <w:b/>
                      <w:bCs/>
                    </w:rPr>
                    <w:t>名称</w:t>
                  </w:r>
                </w:p>
              </w:tc>
              <w:tc>
                <w:tcPr>
                  <w:tcW w:w="707" w:type="pct"/>
                  <w:tcBorders>
                    <w:tl2br w:val="nil"/>
                    <w:tr2bl w:val="nil"/>
                  </w:tcBorders>
                  <w:noWrap w:val="0"/>
                  <w:vAlign w:val="center"/>
                </w:tcPr>
                <w:p w14:paraId="7E81E349">
                  <w:pPr>
                    <w:pStyle w:val="41"/>
                    <w:bidi w:val="0"/>
                    <w:jc w:val="center"/>
                    <w:rPr>
                      <w:rFonts w:hint="default"/>
                      <w:b/>
                      <w:bCs/>
                      <w:lang w:val="en-US" w:eastAsia="zh-CN"/>
                    </w:rPr>
                  </w:pPr>
                  <w:r>
                    <w:rPr>
                      <w:rFonts w:hint="eastAsia"/>
                      <w:b/>
                      <w:bCs/>
                      <w:lang w:val="en-US" w:eastAsia="zh-CN"/>
                    </w:rPr>
                    <w:t>CAS号</w:t>
                  </w:r>
                </w:p>
              </w:tc>
              <w:tc>
                <w:tcPr>
                  <w:tcW w:w="2211" w:type="pct"/>
                  <w:tcBorders>
                    <w:tl2br w:val="nil"/>
                    <w:tr2bl w:val="nil"/>
                  </w:tcBorders>
                  <w:noWrap w:val="0"/>
                  <w:vAlign w:val="center"/>
                </w:tcPr>
                <w:p w14:paraId="440FB110">
                  <w:pPr>
                    <w:pStyle w:val="41"/>
                    <w:bidi w:val="0"/>
                    <w:jc w:val="center"/>
                    <w:rPr>
                      <w:rFonts w:hint="default"/>
                      <w:b/>
                      <w:bCs/>
                    </w:rPr>
                  </w:pPr>
                  <w:r>
                    <w:rPr>
                      <w:rFonts w:hint="default"/>
                      <w:b/>
                      <w:bCs/>
                    </w:rPr>
                    <w:t>理化性质</w:t>
                  </w:r>
                </w:p>
              </w:tc>
              <w:tc>
                <w:tcPr>
                  <w:tcW w:w="573" w:type="pct"/>
                  <w:tcBorders>
                    <w:tl2br w:val="nil"/>
                    <w:tr2bl w:val="nil"/>
                  </w:tcBorders>
                  <w:noWrap w:val="0"/>
                  <w:vAlign w:val="center"/>
                </w:tcPr>
                <w:p w14:paraId="31DBB693">
                  <w:pPr>
                    <w:pStyle w:val="41"/>
                    <w:bidi w:val="0"/>
                    <w:jc w:val="center"/>
                    <w:rPr>
                      <w:rFonts w:hint="default"/>
                      <w:b/>
                      <w:bCs/>
                    </w:rPr>
                  </w:pPr>
                  <w:r>
                    <w:rPr>
                      <w:rFonts w:hint="default"/>
                      <w:b/>
                      <w:bCs/>
                    </w:rPr>
                    <w:t>燃烧爆炸性</w:t>
                  </w:r>
                </w:p>
              </w:tc>
              <w:tc>
                <w:tcPr>
                  <w:tcW w:w="941" w:type="pct"/>
                  <w:tcBorders>
                    <w:tl2br w:val="nil"/>
                    <w:tr2bl w:val="nil"/>
                  </w:tcBorders>
                  <w:noWrap w:val="0"/>
                  <w:vAlign w:val="center"/>
                </w:tcPr>
                <w:p w14:paraId="0A7F5D34">
                  <w:pPr>
                    <w:pStyle w:val="41"/>
                    <w:bidi w:val="0"/>
                    <w:jc w:val="center"/>
                    <w:rPr>
                      <w:rFonts w:hint="default"/>
                      <w:b/>
                      <w:bCs/>
                    </w:rPr>
                  </w:pPr>
                  <w:r>
                    <w:rPr>
                      <w:rFonts w:hint="default"/>
                      <w:b/>
                      <w:bCs/>
                    </w:rPr>
                    <w:t>急性毒性</w:t>
                  </w:r>
                </w:p>
              </w:tc>
            </w:tr>
            <w:tr w14:paraId="33A06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tcBorders>
                    <w:tl2br w:val="nil"/>
                    <w:tr2bl w:val="nil"/>
                  </w:tcBorders>
                  <w:noWrap w:val="0"/>
                  <w:vAlign w:val="center"/>
                </w:tcPr>
                <w:p w14:paraId="4510B3B3">
                  <w:pPr>
                    <w:pStyle w:val="41"/>
                    <w:bidi w:val="0"/>
                    <w:jc w:val="center"/>
                    <w:rPr>
                      <w:rFonts w:hint="default"/>
                      <w:lang w:val="en-US" w:eastAsia="zh-CN"/>
                    </w:rPr>
                  </w:pPr>
                  <w:r>
                    <w:rPr>
                      <w:rFonts w:hint="eastAsia"/>
                      <w:lang w:val="zh-CN"/>
                    </w:rPr>
                    <w:t>培养基</w:t>
                  </w:r>
                </w:p>
              </w:tc>
              <w:tc>
                <w:tcPr>
                  <w:tcW w:w="707" w:type="pct"/>
                  <w:tcBorders>
                    <w:tl2br w:val="nil"/>
                    <w:tr2bl w:val="nil"/>
                  </w:tcBorders>
                  <w:noWrap w:val="0"/>
                  <w:vAlign w:val="center"/>
                </w:tcPr>
                <w:p w14:paraId="0C085E8E">
                  <w:pPr>
                    <w:pStyle w:val="41"/>
                    <w:bidi w:val="0"/>
                    <w:jc w:val="center"/>
                    <w:rPr>
                      <w:rFonts w:hint="eastAsia" w:eastAsia="宋体"/>
                      <w:lang w:val="en-US" w:eastAsia="zh-CN"/>
                    </w:rPr>
                  </w:pPr>
                  <w:r>
                    <w:rPr>
                      <w:rFonts w:hint="eastAsia"/>
                      <w:lang w:val="en-US" w:eastAsia="zh-CN"/>
                    </w:rPr>
                    <w:t>/</w:t>
                  </w:r>
                </w:p>
              </w:tc>
              <w:tc>
                <w:tcPr>
                  <w:tcW w:w="2211" w:type="pct"/>
                  <w:tcBorders>
                    <w:tl2br w:val="nil"/>
                    <w:tr2bl w:val="nil"/>
                  </w:tcBorders>
                  <w:noWrap w:val="0"/>
                  <w:vAlign w:val="center"/>
                </w:tcPr>
                <w:p w14:paraId="58FA028C">
                  <w:pPr>
                    <w:pStyle w:val="41"/>
                    <w:bidi w:val="0"/>
                    <w:jc w:val="center"/>
                    <w:rPr>
                      <w:rFonts w:hint="eastAsia"/>
                      <w:lang w:val="en-US" w:eastAsia="zh-CN"/>
                    </w:rPr>
                  </w:pPr>
                  <w:r>
                    <w:rPr>
                      <w:rFonts w:hint="eastAsia"/>
                      <w:lang w:val="en-US" w:eastAsia="zh-CN"/>
                    </w:rPr>
                    <w:t>是指供给微生物、植物或动物（或组织）生长繁殖的，由不同营养物质组合配制而成的营养基质。一般都含有碳水化合物、含氮物质、无机盐（包括微量元素）、维生素和水等几大类物质。</w:t>
                  </w:r>
                </w:p>
              </w:tc>
              <w:tc>
                <w:tcPr>
                  <w:tcW w:w="573" w:type="pct"/>
                  <w:tcBorders>
                    <w:tl2br w:val="nil"/>
                    <w:tr2bl w:val="nil"/>
                  </w:tcBorders>
                  <w:noWrap w:val="0"/>
                  <w:vAlign w:val="center"/>
                </w:tcPr>
                <w:p w14:paraId="4CA68308">
                  <w:pPr>
                    <w:pStyle w:val="41"/>
                    <w:bidi w:val="0"/>
                    <w:jc w:val="center"/>
                    <w:rPr>
                      <w:rFonts w:hint="default"/>
                      <w:lang w:val="en-US" w:eastAsia="zh-CN"/>
                    </w:rPr>
                  </w:pPr>
                  <w:r>
                    <w:rPr>
                      <w:rFonts w:hint="eastAsia"/>
                      <w:lang w:val="en-US" w:eastAsia="zh-CN"/>
                    </w:rPr>
                    <w:t>可燃</w:t>
                  </w:r>
                </w:p>
              </w:tc>
              <w:tc>
                <w:tcPr>
                  <w:tcW w:w="941" w:type="pct"/>
                  <w:tcBorders>
                    <w:tl2br w:val="nil"/>
                    <w:tr2bl w:val="nil"/>
                  </w:tcBorders>
                  <w:noWrap w:val="0"/>
                  <w:vAlign w:val="center"/>
                </w:tcPr>
                <w:p w14:paraId="4EFF527B">
                  <w:pPr>
                    <w:pStyle w:val="41"/>
                    <w:bidi w:val="0"/>
                    <w:jc w:val="center"/>
                    <w:rPr>
                      <w:rFonts w:hint="default"/>
                      <w:lang w:val="en-US" w:eastAsia="zh-CN"/>
                    </w:rPr>
                  </w:pPr>
                  <w:r>
                    <w:rPr>
                      <w:rFonts w:hint="eastAsia"/>
                      <w:lang w:val="en-US" w:eastAsia="zh-CN"/>
                    </w:rPr>
                    <w:t>无毒</w:t>
                  </w:r>
                </w:p>
              </w:tc>
            </w:tr>
            <w:tr w14:paraId="59B2B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tcBorders>
                    <w:tl2br w:val="nil"/>
                    <w:tr2bl w:val="nil"/>
                  </w:tcBorders>
                  <w:noWrap w:val="0"/>
                  <w:vAlign w:val="center"/>
                </w:tcPr>
                <w:p w14:paraId="29A2E945">
                  <w:pPr>
                    <w:pStyle w:val="41"/>
                    <w:bidi w:val="0"/>
                    <w:jc w:val="center"/>
                    <w:rPr>
                      <w:rFonts w:hint="eastAsia"/>
                      <w:lang w:val="en-US" w:eastAsia="zh-CN"/>
                    </w:rPr>
                  </w:pPr>
                  <w:r>
                    <w:rPr>
                      <w:rFonts w:hint="eastAsia"/>
                      <w:lang w:val="zh-CN"/>
                    </w:rPr>
                    <w:t>琼脂糖</w:t>
                  </w:r>
                </w:p>
              </w:tc>
              <w:tc>
                <w:tcPr>
                  <w:tcW w:w="707" w:type="pct"/>
                  <w:tcBorders>
                    <w:tl2br w:val="nil"/>
                    <w:tr2bl w:val="nil"/>
                  </w:tcBorders>
                  <w:noWrap w:val="0"/>
                  <w:vAlign w:val="center"/>
                </w:tcPr>
                <w:p w14:paraId="00184BF1">
                  <w:pPr>
                    <w:pStyle w:val="41"/>
                    <w:bidi w:val="0"/>
                    <w:jc w:val="center"/>
                    <w:rPr>
                      <w:rFonts w:hint="eastAsia"/>
                      <w:lang w:val="zh-CN"/>
                    </w:rPr>
                  </w:pPr>
                  <w:r>
                    <w:rPr>
                      <w:rFonts w:hint="eastAsia"/>
                      <w:lang w:val="zh-CN"/>
                    </w:rPr>
                    <w:t>9012-36-6</w:t>
                  </w:r>
                </w:p>
              </w:tc>
              <w:tc>
                <w:tcPr>
                  <w:tcW w:w="2211" w:type="pct"/>
                  <w:tcBorders>
                    <w:tl2br w:val="nil"/>
                    <w:tr2bl w:val="nil"/>
                  </w:tcBorders>
                  <w:noWrap w:val="0"/>
                  <w:vAlign w:val="center"/>
                </w:tcPr>
                <w:p w14:paraId="44F453BC">
                  <w:pPr>
                    <w:pStyle w:val="41"/>
                    <w:bidi w:val="0"/>
                    <w:jc w:val="center"/>
                    <w:rPr>
                      <w:rFonts w:hint="default"/>
                      <w:lang w:val="en-US" w:eastAsia="zh-CN"/>
                    </w:rPr>
                  </w:pPr>
                  <w:r>
                    <w:rPr>
                      <w:rFonts w:hint="default"/>
                      <w:lang w:val="en-US" w:eastAsia="zh-CN"/>
                    </w:rPr>
                    <w:t>琼脂糖是一种有机物，化学式C</w:t>
                  </w:r>
                  <w:r>
                    <w:rPr>
                      <w:rFonts w:hint="default"/>
                      <w:vertAlign w:val="subscript"/>
                      <w:lang w:val="en-US" w:eastAsia="zh-CN"/>
                    </w:rPr>
                    <w:t>24</w:t>
                  </w:r>
                  <w:r>
                    <w:rPr>
                      <w:rFonts w:hint="default"/>
                      <w:lang w:val="en-US" w:eastAsia="zh-CN"/>
                    </w:rPr>
                    <w:t>H</w:t>
                  </w:r>
                  <w:r>
                    <w:rPr>
                      <w:rFonts w:hint="default"/>
                      <w:vertAlign w:val="subscript"/>
                      <w:lang w:val="en-US" w:eastAsia="zh-CN"/>
                    </w:rPr>
                    <w:t>38</w:t>
                  </w:r>
                  <w:r>
                    <w:rPr>
                      <w:rFonts w:hint="default"/>
                      <w:lang w:val="en-US" w:eastAsia="zh-CN"/>
                    </w:rPr>
                    <w:t>O</w:t>
                  </w:r>
                  <w:r>
                    <w:rPr>
                      <w:rFonts w:hint="default"/>
                      <w:vertAlign w:val="subscript"/>
                      <w:lang w:val="en-US" w:eastAsia="zh-CN"/>
                    </w:rPr>
                    <w:t>19</w:t>
                  </w:r>
                  <w:r>
                    <w:rPr>
                      <w:rFonts w:hint="default"/>
                      <w:lang w:val="en-US" w:eastAsia="zh-CN"/>
                    </w:rPr>
                    <w:t>，是一种白色或黄色珠状凝胶颗粒或粉末，为线性的多聚物</w:t>
                  </w:r>
                  <w:r>
                    <w:rPr>
                      <w:rFonts w:hint="eastAsia"/>
                      <w:lang w:val="en-US" w:eastAsia="zh-CN"/>
                    </w:rPr>
                    <w:t>，琼脂糖在水中一般加热到90℃以上溶解，温度下降到35-40℃时形成良好的半固体状的凝胶，这是它具有多种用途的主要特征和基础。</w:t>
                  </w:r>
                </w:p>
              </w:tc>
              <w:tc>
                <w:tcPr>
                  <w:tcW w:w="573" w:type="pct"/>
                  <w:tcBorders>
                    <w:tl2br w:val="nil"/>
                    <w:tr2bl w:val="nil"/>
                  </w:tcBorders>
                  <w:noWrap w:val="0"/>
                  <w:vAlign w:val="center"/>
                </w:tcPr>
                <w:p w14:paraId="22550444">
                  <w:pPr>
                    <w:pStyle w:val="41"/>
                    <w:bidi w:val="0"/>
                    <w:jc w:val="center"/>
                    <w:rPr>
                      <w:rFonts w:hint="default"/>
                      <w:lang w:val="en-US" w:eastAsia="zh-CN"/>
                    </w:rPr>
                  </w:pPr>
                  <w:r>
                    <w:rPr>
                      <w:rFonts w:hint="eastAsia"/>
                      <w:lang w:val="en-US" w:eastAsia="zh-CN"/>
                    </w:rPr>
                    <w:t>不燃</w:t>
                  </w:r>
                </w:p>
              </w:tc>
              <w:tc>
                <w:tcPr>
                  <w:tcW w:w="941" w:type="pct"/>
                  <w:tcBorders>
                    <w:tl2br w:val="nil"/>
                    <w:tr2bl w:val="nil"/>
                  </w:tcBorders>
                  <w:noWrap w:val="0"/>
                  <w:vAlign w:val="center"/>
                </w:tcPr>
                <w:p w14:paraId="58F8FC1D">
                  <w:pPr>
                    <w:pStyle w:val="41"/>
                    <w:bidi w:val="0"/>
                    <w:jc w:val="center"/>
                    <w:rPr>
                      <w:rFonts w:hint="eastAsia"/>
                      <w:lang w:val="en-US" w:eastAsia="zh-CN"/>
                    </w:rPr>
                  </w:pPr>
                  <w:r>
                    <w:rPr>
                      <w:rFonts w:hint="eastAsia"/>
                      <w:lang w:val="en-US" w:eastAsia="zh-CN"/>
                    </w:rPr>
                    <w:t>无毒</w:t>
                  </w:r>
                </w:p>
              </w:tc>
            </w:tr>
            <w:tr w14:paraId="1570D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tcBorders>
                    <w:tl2br w:val="nil"/>
                    <w:tr2bl w:val="nil"/>
                  </w:tcBorders>
                  <w:noWrap w:val="0"/>
                  <w:vAlign w:val="center"/>
                </w:tcPr>
                <w:p w14:paraId="2FFC6F35">
                  <w:pPr>
                    <w:pStyle w:val="41"/>
                    <w:bidi w:val="0"/>
                    <w:jc w:val="center"/>
                    <w:rPr>
                      <w:rFonts w:hint="eastAsia"/>
                      <w:lang w:val="en-US" w:eastAsia="zh-CN"/>
                    </w:rPr>
                  </w:pPr>
                  <w:r>
                    <w:rPr>
                      <w:rFonts w:hint="eastAsia"/>
                      <w:lang w:val="zh-CN"/>
                    </w:rPr>
                    <w:t>TBE缓冲液</w:t>
                  </w:r>
                </w:p>
              </w:tc>
              <w:tc>
                <w:tcPr>
                  <w:tcW w:w="707" w:type="pct"/>
                  <w:tcBorders>
                    <w:tl2br w:val="nil"/>
                    <w:tr2bl w:val="nil"/>
                  </w:tcBorders>
                  <w:noWrap w:val="0"/>
                  <w:vAlign w:val="center"/>
                </w:tcPr>
                <w:p w14:paraId="6E420BEE">
                  <w:pPr>
                    <w:pStyle w:val="41"/>
                    <w:bidi w:val="0"/>
                    <w:jc w:val="center"/>
                    <w:rPr>
                      <w:rFonts w:hint="eastAsia" w:eastAsia="宋体"/>
                      <w:lang w:val="en-US" w:eastAsia="zh-CN"/>
                    </w:rPr>
                  </w:pPr>
                  <w:r>
                    <w:rPr>
                      <w:rFonts w:hint="eastAsia"/>
                      <w:lang w:val="en-US" w:eastAsia="zh-CN"/>
                    </w:rPr>
                    <w:t>/</w:t>
                  </w:r>
                </w:p>
              </w:tc>
              <w:tc>
                <w:tcPr>
                  <w:tcW w:w="2211" w:type="pct"/>
                  <w:tcBorders>
                    <w:tl2br w:val="nil"/>
                    <w:tr2bl w:val="nil"/>
                  </w:tcBorders>
                  <w:noWrap w:val="0"/>
                  <w:vAlign w:val="center"/>
                </w:tcPr>
                <w:p w14:paraId="4AB0306F">
                  <w:pPr>
                    <w:pStyle w:val="41"/>
                    <w:bidi w:val="0"/>
                    <w:jc w:val="center"/>
                    <w:rPr>
                      <w:rFonts w:hint="eastAsia"/>
                      <w:lang w:val="en-US" w:eastAsia="zh-CN"/>
                    </w:rPr>
                  </w:pPr>
                  <w:r>
                    <w:rPr>
                      <w:rFonts w:hint="eastAsia"/>
                      <w:lang w:val="en-US" w:eastAsia="zh-CN"/>
                    </w:rPr>
                    <w:t>TBE缓冲液是生物学中常使用的核酸电泳缓冲盐溶液，主要用于DNA的琼脂糖凝胶电泳。TBE的主要成分是Tris-硼酸盐与EDTA，缓冲能力强，适合较长时间电泳，分辨率较高，电泳小于1kb的片段时分离效果好。</w:t>
                  </w:r>
                </w:p>
              </w:tc>
              <w:tc>
                <w:tcPr>
                  <w:tcW w:w="573" w:type="pct"/>
                  <w:tcBorders>
                    <w:tl2br w:val="nil"/>
                    <w:tr2bl w:val="nil"/>
                  </w:tcBorders>
                  <w:noWrap w:val="0"/>
                  <w:vAlign w:val="center"/>
                </w:tcPr>
                <w:p w14:paraId="5D0D6119">
                  <w:pPr>
                    <w:pStyle w:val="41"/>
                    <w:bidi w:val="0"/>
                    <w:jc w:val="center"/>
                    <w:rPr>
                      <w:rFonts w:hint="eastAsia"/>
                      <w:lang w:val="en-US" w:eastAsia="zh-CN"/>
                    </w:rPr>
                  </w:pPr>
                  <w:r>
                    <w:rPr>
                      <w:rFonts w:hint="eastAsia"/>
                      <w:lang w:val="en-US" w:eastAsia="zh-CN"/>
                    </w:rPr>
                    <w:t>不燃</w:t>
                  </w:r>
                </w:p>
              </w:tc>
              <w:tc>
                <w:tcPr>
                  <w:tcW w:w="941" w:type="pct"/>
                  <w:tcBorders>
                    <w:tl2br w:val="nil"/>
                    <w:tr2bl w:val="nil"/>
                  </w:tcBorders>
                  <w:noWrap w:val="0"/>
                  <w:vAlign w:val="center"/>
                </w:tcPr>
                <w:p w14:paraId="02A53BEC">
                  <w:pPr>
                    <w:pStyle w:val="41"/>
                    <w:bidi w:val="0"/>
                    <w:jc w:val="center"/>
                    <w:rPr>
                      <w:rFonts w:hint="default"/>
                      <w:lang w:val="en-US" w:eastAsia="zh-CN"/>
                    </w:rPr>
                  </w:pPr>
                  <w:r>
                    <w:rPr>
                      <w:rFonts w:hint="eastAsia"/>
                      <w:lang w:val="en-US" w:eastAsia="zh-CN"/>
                    </w:rPr>
                    <w:t>无毒</w:t>
                  </w:r>
                </w:p>
              </w:tc>
            </w:tr>
            <w:tr w14:paraId="7CA82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tcBorders>
                    <w:tl2br w:val="nil"/>
                    <w:tr2bl w:val="nil"/>
                  </w:tcBorders>
                  <w:noWrap w:val="0"/>
                  <w:vAlign w:val="center"/>
                </w:tcPr>
                <w:p w14:paraId="2EE0D440">
                  <w:pPr>
                    <w:pStyle w:val="41"/>
                    <w:bidi w:val="0"/>
                    <w:jc w:val="center"/>
                    <w:rPr>
                      <w:rFonts w:hint="eastAsia"/>
                      <w:lang w:val="en-US" w:eastAsia="zh-CN"/>
                    </w:rPr>
                  </w:pPr>
                  <w:r>
                    <w:rPr>
                      <w:rFonts w:hint="eastAsia"/>
                    </w:rPr>
                    <w:t>中药提取物</w:t>
                  </w:r>
                </w:p>
              </w:tc>
              <w:tc>
                <w:tcPr>
                  <w:tcW w:w="707" w:type="pct"/>
                  <w:tcBorders>
                    <w:tl2br w:val="nil"/>
                    <w:tr2bl w:val="nil"/>
                  </w:tcBorders>
                  <w:noWrap w:val="0"/>
                  <w:vAlign w:val="center"/>
                </w:tcPr>
                <w:p w14:paraId="43D053F2">
                  <w:pPr>
                    <w:pStyle w:val="41"/>
                    <w:bidi w:val="0"/>
                    <w:jc w:val="center"/>
                    <w:rPr>
                      <w:rFonts w:hint="eastAsia" w:eastAsia="宋体"/>
                      <w:lang w:val="en-US" w:eastAsia="zh-CN"/>
                    </w:rPr>
                  </w:pPr>
                  <w:r>
                    <w:rPr>
                      <w:rFonts w:hint="eastAsia"/>
                      <w:lang w:val="en-US" w:eastAsia="zh-CN"/>
                    </w:rPr>
                    <w:t>/</w:t>
                  </w:r>
                </w:p>
              </w:tc>
              <w:tc>
                <w:tcPr>
                  <w:tcW w:w="2211" w:type="pct"/>
                  <w:tcBorders>
                    <w:tl2br w:val="nil"/>
                    <w:tr2bl w:val="nil"/>
                  </w:tcBorders>
                  <w:noWrap w:val="0"/>
                  <w:vAlign w:val="center"/>
                </w:tcPr>
                <w:p w14:paraId="79E6159D">
                  <w:pPr>
                    <w:pStyle w:val="41"/>
                    <w:bidi w:val="0"/>
                    <w:jc w:val="center"/>
                    <w:rPr>
                      <w:rFonts w:hint="default"/>
                      <w:lang w:val="en-US" w:eastAsia="zh-CN"/>
                    </w:rPr>
                  </w:pPr>
                  <w:r>
                    <w:rPr>
                      <w:rFonts w:hint="eastAsia"/>
                      <w:lang w:val="en-US" w:eastAsia="zh-CN"/>
                    </w:rPr>
                    <w:t>外购的不同中药中的有效物质，主要包括桂枝茯苓胶囊、大株红景天胶囊、杏贝止咳颗粒等中药提取物。</w:t>
                  </w:r>
                </w:p>
              </w:tc>
              <w:tc>
                <w:tcPr>
                  <w:tcW w:w="573" w:type="pct"/>
                  <w:tcBorders>
                    <w:tl2br w:val="nil"/>
                    <w:tr2bl w:val="nil"/>
                  </w:tcBorders>
                  <w:noWrap w:val="0"/>
                  <w:vAlign w:val="center"/>
                </w:tcPr>
                <w:p w14:paraId="0D832265">
                  <w:pPr>
                    <w:pStyle w:val="41"/>
                    <w:bidi w:val="0"/>
                    <w:jc w:val="center"/>
                    <w:rPr>
                      <w:rFonts w:hint="eastAsia"/>
                      <w:lang w:val="en-US" w:eastAsia="zh-CN"/>
                    </w:rPr>
                  </w:pPr>
                  <w:r>
                    <w:rPr>
                      <w:rFonts w:hint="eastAsia"/>
                      <w:lang w:val="en-US" w:eastAsia="zh-CN"/>
                    </w:rPr>
                    <w:t>可燃</w:t>
                  </w:r>
                </w:p>
              </w:tc>
              <w:tc>
                <w:tcPr>
                  <w:tcW w:w="941" w:type="pct"/>
                  <w:tcBorders>
                    <w:tl2br w:val="nil"/>
                    <w:tr2bl w:val="nil"/>
                  </w:tcBorders>
                  <w:noWrap w:val="0"/>
                  <w:vAlign w:val="center"/>
                </w:tcPr>
                <w:p w14:paraId="69C2A2D2">
                  <w:pPr>
                    <w:pStyle w:val="41"/>
                    <w:bidi w:val="0"/>
                    <w:jc w:val="center"/>
                    <w:rPr>
                      <w:rFonts w:hint="default"/>
                      <w:lang w:val="en-US" w:eastAsia="zh-CN"/>
                    </w:rPr>
                  </w:pPr>
                  <w:r>
                    <w:rPr>
                      <w:rFonts w:hint="eastAsia"/>
                      <w:lang w:val="en-US" w:eastAsia="zh-CN"/>
                    </w:rPr>
                    <w:t>无毒</w:t>
                  </w:r>
                </w:p>
              </w:tc>
            </w:tr>
            <w:tr w14:paraId="10BA7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vAlign w:val="center"/>
                </w:tcPr>
                <w:p w14:paraId="4A00BD7F">
                  <w:pPr>
                    <w:pStyle w:val="41"/>
                    <w:bidi w:val="0"/>
                    <w:jc w:val="center"/>
                    <w:rPr>
                      <w:rFonts w:hint="eastAsia"/>
                      <w:lang w:val="en-US" w:eastAsia="zh-CN"/>
                    </w:rPr>
                  </w:pPr>
                  <w:r>
                    <w:rPr>
                      <w:rFonts w:hint="eastAsia"/>
                    </w:rPr>
                    <w:t>药物</w:t>
                  </w:r>
                </w:p>
              </w:tc>
              <w:tc>
                <w:tcPr>
                  <w:tcW w:w="707" w:type="pct"/>
                  <w:vAlign w:val="center"/>
                </w:tcPr>
                <w:p w14:paraId="7A685EA6">
                  <w:pPr>
                    <w:pStyle w:val="41"/>
                    <w:bidi w:val="0"/>
                    <w:jc w:val="center"/>
                    <w:rPr>
                      <w:rFonts w:hint="default" w:eastAsia="宋体"/>
                      <w:lang w:val="en-US" w:eastAsia="zh-CN"/>
                    </w:rPr>
                  </w:pPr>
                  <w:r>
                    <w:rPr>
                      <w:rFonts w:hint="eastAsia"/>
                      <w:lang w:val="en-US" w:eastAsia="zh-CN"/>
                    </w:rPr>
                    <w:t>/</w:t>
                  </w:r>
                </w:p>
              </w:tc>
              <w:tc>
                <w:tcPr>
                  <w:tcW w:w="2211" w:type="pct"/>
                  <w:vAlign w:val="center"/>
                </w:tcPr>
                <w:p w14:paraId="0C46ABBF">
                  <w:pPr>
                    <w:pStyle w:val="41"/>
                    <w:bidi w:val="0"/>
                    <w:jc w:val="center"/>
                    <w:rPr>
                      <w:rFonts w:hint="eastAsia"/>
                      <w:lang w:val="en-US" w:eastAsia="zh-CN"/>
                    </w:rPr>
                  </w:pPr>
                  <w:r>
                    <w:rPr>
                      <w:rFonts w:hint="eastAsia"/>
                      <w:lang w:val="en-US" w:eastAsia="zh-CN"/>
                    </w:rPr>
                    <w:t>外购的成品药物，主要包括</w:t>
                  </w:r>
                  <w:r>
                    <w:rPr>
                      <w:rFonts w:hint="eastAsia"/>
                    </w:rPr>
                    <w:t>桂枝茯苓胶囊、大株红景天胶囊、金振口服液、金振颗粒、复方南星止痛膏、杏贝止咳颗粒、热毒宁注射液和银杏二</w:t>
                  </w:r>
                  <w:r>
                    <w:rPr>
                      <w:rFonts w:hint="eastAsia"/>
                      <w:lang w:eastAsia="zh-CN"/>
                    </w:rPr>
                    <w:t>醇</w:t>
                  </w:r>
                  <w:r>
                    <w:rPr>
                      <w:rFonts w:hint="eastAsia"/>
                    </w:rPr>
                    <w:t>内酯葡胺注射液等</w:t>
                  </w:r>
                  <w:r>
                    <w:rPr>
                      <w:rFonts w:hint="eastAsia"/>
                      <w:lang w:eastAsia="zh-CN"/>
                    </w:rPr>
                    <w:t>。</w:t>
                  </w:r>
                </w:p>
              </w:tc>
              <w:tc>
                <w:tcPr>
                  <w:tcW w:w="573" w:type="pct"/>
                  <w:shd w:val="clear" w:color="auto" w:fill="auto"/>
                  <w:vAlign w:val="center"/>
                </w:tcPr>
                <w:p w14:paraId="7582A738">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可燃</w:t>
                  </w:r>
                </w:p>
              </w:tc>
              <w:tc>
                <w:tcPr>
                  <w:tcW w:w="941" w:type="pct"/>
                  <w:shd w:val="clear" w:color="auto" w:fill="auto"/>
                  <w:vAlign w:val="center"/>
                </w:tcPr>
                <w:p w14:paraId="3CCAACC1">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无毒</w:t>
                  </w:r>
                </w:p>
              </w:tc>
            </w:tr>
            <w:tr w14:paraId="1341B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shd w:val="clear" w:color="auto" w:fill="auto"/>
                  <w:vAlign w:val="center"/>
                </w:tcPr>
                <w:p w14:paraId="1D5D32E1">
                  <w:pPr>
                    <w:pStyle w:val="41"/>
                    <w:bidi w:val="0"/>
                    <w:jc w:val="center"/>
                    <w:rPr>
                      <w:rFonts w:hint="eastAsia" w:ascii="Times New Roman" w:hAnsi="Times New Roman" w:eastAsia="宋体" w:cs="Times New Roman"/>
                      <w:kern w:val="0"/>
                      <w:sz w:val="21"/>
                      <w:szCs w:val="24"/>
                      <w:lang w:val="en-US" w:eastAsia="zh-CN" w:bidi="ar-SA"/>
                    </w:rPr>
                  </w:pPr>
                  <w:r>
                    <w:rPr>
                      <w:rFonts w:hint="eastAsia"/>
                    </w:rPr>
                    <w:t>二氧化碳</w:t>
                  </w:r>
                </w:p>
              </w:tc>
              <w:tc>
                <w:tcPr>
                  <w:tcW w:w="707" w:type="pct"/>
                  <w:vAlign w:val="center"/>
                </w:tcPr>
                <w:p w14:paraId="53B43334">
                  <w:pPr>
                    <w:pStyle w:val="41"/>
                    <w:bidi w:val="0"/>
                    <w:jc w:val="center"/>
                    <w:rPr>
                      <w:rFonts w:hint="eastAsia"/>
                    </w:rPr>
                  </w:pPr>
                  <w:r>
                    <w:rPr>
                      <w:rFonts w:hint="eastAsia"/>
                    </w:rPr>
                    <w:t>124-38-9</w:t>
                  </w:r>
                </w:p>
              </w:tc>
              <w:tc>
                <w:tcPr>
                  <w:tcW w:w="2211" w:type="pct"/>
                  <w:vAlign w:val="center"/>
                </w:tcPr>
                <w:p w14:paraId="733DC026">
                  <w:pPr>
                    <w:pStyle w:val="41"/>
                    <w:bidi w:val="0"/>
                    <w:jc w:val="center"/>
                    <w:rPr>
                      <w:rFonts w:hint="default"/>
                      <w:lang w:val="en-US" w:eastAsia="zh-CN"/>
                    </w:rPr>
                  </w:pPr>
                  <w:r>
                    <w:rPr>
                      <w:rFonts w:hint="default"/>
                      <w:color w:val="auto"/>
                      <w:highlight w:val="none"/>
                    </w:rPr>
                    <w:t>CO</w:t>
                  </w:r>
                  <w:r>
                    <w:rPr>
                      <w:rFonts w:hint="eastAsia"/>
                      <w:color w:val="auto"/>
                      <w:highlight w:val="none"/>
                      <w:vertAlign w:val="subscript"/>
                      <w:lang w:val="en-US" w:eastAsia="zh-CN"/>
                    </w:rPr>
                    <w:t>2</w:t>
                  </w:r>
                  <w:r>
                    <w:rPr>
                      <w:rFonts w:hint="eastAsia"/>
                      <w:color w:val="auto"/>
                      <w:highlight w:val="none"/>
                      <w:lang w:eastAsia="zh-CN"/>
                    </w:rPr>
                    <w:t>，</w:t>
                  </w:r>
                  <w:r>
                    <w:rPr>
                      <w:rFonts w:hint="eastAsia"/>
                      <w:color w:val="auto"/>
                      <w:highlight w:val="none"/>
                      <w:lang w:val="en-US" w:eastAsia="zh-CN"/>
                    </w:rPr>
                    <w:t>无色无味气体，</w:t>
                  </w:r>
                  <w:r>
                    <w:rPr>
                      <w:rFonts w:hint="default"/>
                      <w:color w:val="auto"/>
                      <w:highlight w:val="none"/>
                    </w:rPr>
                    <w:t>沸点</w:t>
                  </w:r>
                  <w:r>
                    <w:rPr>
                      <w:rFonts w:hint="eastAsia"/>
                      <w:color w:val="auto"/>
                      <w:highlight w:val="none"/>
                      <w:lang w:val="en-US" w:eastAsia="zh-CN"/>
                    </w:rPr>
                    <w:t>-78.5</w:t>
                  </w:r>
                  <w:r>
                    <w:rPr>
                      <w:rFonts w:hint="default"/>
                      <w:color w:val="auto"/>
                      <w:highlight w:val="none"/>
                    </w:rPr>
                    <w:t>℃</w:t>
                  </w:r>
                  <w:r>
                    <w:rPr>
                      <w:rFonts w:hint="eastAsia"/>
                      <w:color w:val="auto"/>
                      <w:highlight w:val="none"/>
                      <w:lang w:eastAsia="zh-CN"/>
                    </w:rPr>
                    <w:t>，</w:t>
                  </w:r>
                  <w:r>
                    <w:rPr>
                      <w:rFonts w:hint="default"/>
                      <w:color w:val="auto"/>
                      <w:highlight w:val="none"/>
                    </w:rPr>
                    <w:t>熔点-</w:t>
                  </w:r>
                  <w:r>
                    <w:rPr>
                      <w:rFonts w:hint="eastAsia"/>
                      <w:color w:val="auto"/>
                      <w:highlight w:val="none"/>
                      <w:lang w:val="en-US" w:eastAsia="zh-CN"/>
                    </w:rPr>
                    <w:t>56.6</w:t>
                  </w:r>
                  <w:r>
                    <w:rPr>
                      <w:rFonts w:hint="default"/>
                      <w:color w:val="auto"/>
                      <w:highlight w:val="none"/>
                    </w:rPr>
                    <w:t>℃</w:t>
                  </w:r>
                  <w:r>
                    <w:rPr>
                      <w:rFonts w:hint="eastAsia"/>
                      <w:color w:val="auto"/>
                      <w:highlight w:val="none"/>
                      <w:lang w:eastAsia="zh-CN"/>
                    </w:rPr>
                    <w:t>，</w:t>
                  </w:r>
                  <w:r>
                    <w:rPr>
                      <w:rFonts w:hint="eastAsia"/>
                      <w:color w:val="auto"/>
                      <w:highlight w:val="none"/>
                      <w:lang w:val="en-US" w:eastAsia="zh-CN"/>
                    </w:rPr>
                    <w:t>相对</w:t>
                  </w:r>
                  <w:r>
                    <w:rPr>
                      <w:rFonts w:hint="default"/>
                      <w:color w:val="auto"/>
                      <w:highlight w:val="none"/>
                    </w:rPr>
                    <w:t>密度</w:t>
                  </w:r>
                  <w:r>
                    <w:rPr>
                      <w:rFonts w:hint="eastAsia"/>
                      <w:color w:val="auto"/>
                      <w:highlight w:val="none"/>
                      <w:lang w:val="en-US" w:eastAsia="zh-CN"/>
                    </w:rPr>
                    <w:t>1.56</w:t>
                  </w:r>
                  <w:r>
                    <w:rPr>
                      <w:rFonts w:hint="default"/>
                      <w:color w:val="auto"/>
                      <w:highlight w:val="none"/>
                    </w:rPr>
                    <w:t>g/cm</w:t>
                  </w:r>
                  <w:r>
                    <w:rPr>
                      <w:rFonts w:hint="default"/>
                      <w:color w:val="auto"/>
                      <w:highlight w:val="none"/>
                      <w:vertAlign w:val="superscript"/>
                    </w:rPr>
                    <w:t>3</w:t>
                  </w:r>
                  <w:r>
                    <w:rPr>
                      <w:rFonts w:hint="eastAsia"/>
                      <w:color w:val="auto"/>
                      <w:highlight w:val="none"/>
                      <w:vertAlign w:val="baseline"/>
                      <w:lang w:eastAsia="zh-CN"/>
                    </w:rPr>
                    <w:t>（</w:t>
                  </w:r>
                  <w:r>
                    <w:rPr>
                      <w:rFonts w:hint="eastAsia"/>
                      <w:color w:val="auto"/>
                      <w:highlight w:val="none"/>
                      <w:vertAlign w:val="baseline"/>
                      <w:lang w:val="en-US" w:eastAsia="zh-CN"/>
                    </w:rPr>
                    <w:t>-79℃，水=1</w:t>
                  </w:r>
                  <w:r>
                    <w:rPr>
                      <w:rFonts w:hint="eastAsia"/>
                      <w:color w:val="auto"/>
                      <w:highlight w:val="none"/>
                      <w:vertAlign w:val="baseline"/>
                      <w:lang w:eastAsia="zh-CN"/>
                    </w:rPr>
                    <w:t>）</w:t>
                  </w:r>
                  <w:r>
                    <w:rPr>
                      <w:rFonts w:hint="eastAsia"/>
                      <w:color w:val="auto"/>
                      <w:highlight w:val="none"/>
                      <w:lang w:eastAsia="zh-CN"/>
                    </w:rPr>
                    <w:t>，</w:t>
                  </w:r>
                  <w:r>
                    <w:rPr>
                      <w:rFonts w:hint="eastAsia"/>
                      <w:color w:val="auto"/>
                      <w:highlight w:val="none"/>
                      <w:lang w:val="en-US" w:eastAsia="zh-CN"/>
                    </w:rPr>
                    <w:t>可溶于水。</w:t>
                  </w:r>
                </w:p>
              </w:tc>
              <w:tc>
                <w:tcPr>
                  <w:tcW w:w="573" w:type="pct"/>
                  <w:shd w:val="clear" w:color="auto" w:fill="auto"/>
                  <w:vAlign w:val="center"/>
                </w:tcPr>
                <w:p w14:paraId="18C666C1">
                  <w:pPr>
                    <w:pStyle w:val="41"/>
                    <w:bidi w:val="0"/>
                    <w:jc w:val="center"/>
                    <w:rPr>
                      <w:rFonts w:hint="default"/>
                      <w:lang w:val="en-US" w:eastAsia="zh-CN"/>
                    </w:rPr>
                  </w:pPr>
                  <w:r>
                    <w:rPr>
                      <w:rFonts w:hint="eastAsia"/>
                      <w:lang w:val="en-US" w:eastAsia="zh-CN"/>
                    </w:rPr>
                    <w:t>不燃</w:t>
                  </w:r>
                </w:p>
              </w:tc>
              <w:tc>
                <w:tcPr>
                  <w:tcW w:w="941" w:type="pct"/>
                  <w:shd w:val="clear" w:color="auto" w:fill="auto"/>
                  <w:vAlign w:val="center"/>
                </w:tcPr>
                <w:p w14:paraId="03AD44D8">
                  <w:pPr>
                    <w:pStyle w:val="41"/>
                    <w:bidi w:val="0"/>
                    <w:jc w:val="center"/>
                    <w:rPr>
                      <w:rFonts w:hint="eastAsia"/>
                      <w:lang w:val="en-US" w:eastAsia="zh-CN"/>
                    </w:rPr>
                  </w:pPr>
                  <w:r>
                    <w:rPr>
                      <w:rFonts w:hint="eastAsia"/>
                      <w:lang w:val="en-US" w:eastAsia="zh-CN"/>
                    </w:rPr>
                    <w:t>高浓度气体让人窒息</w:t>
                  </w:r>
                </w:p>
              </w:tc>
            </w:tr>
            <w:tr w14:paraId="2541D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shd w:val="clear" w:color="auto" w:fill="auto"/>
                  <w:vAlign w:val="center"/>
                </w:tcPr>
                <w:p w14:paraId="6EBFBEE9">
                  <w:pPr>
                    <w:pStyle w:val="41"/>
                    <w:bidi w:val="0"/>
                    <w:jc w:val="center"/>
                    <w:rPr>
                      <w:rFonts w:hint="eastAsia" w:ascii="Times New Roman" w:hAnsi="Times New Roman" w:eastAsia="宋体" w:cs="Times New Roman"/>
                      <w:kern w:val="0"/>
                      <w:sz w:val="21"/>
                      <w:szCs w:val="24"/>
                      <w:lang w:val="en-US" w:eastAsia="zh-CN" w:bidi="ar-SA"/>
                    </w:rPr>
                  </w:pPr>
                  <w:r>
                    <w:rPr>
                      <w:rFonts w:hint="eastAsia"/>
                    </w:rPr>
                    <w:t>氮气</w:t>
                  </w:r>
                </w:p>
              </w:tc>
              <w:tc>
                <w:tcPr>
                  <w:tcW w:w="707" w:type="pct"/>
                  <w:vAlign w:val="center"/>
                </w:tcPr>
                <w:p w14:paraId="6A21B0C4">
                  <w:pPr>
                    <w:pStyle w:val="41"/>
                    <w:bidi w:val="0"/>
                    <w:jc w:val="center"/>
                    <w:rPr>
                      <w:rFonts w:hint="eastAsia"/>
                    </w:rPr>
                  </w:pPr>
                  <w:r>
                    <w:rPr>
                      <w:rFonts w:hint="eastAsia"/>
                    </w:rPr>
                    <w:t>7727-37-9</w:t>
                  </w:r>
                </w:p>
              </w:tc>
              <w:tc>
                <w:tcPr>
                  <w:tcW w:w="2211" w:type="pct"/>
                  <w:shd w:val="clear" w:color="auto" w:fill="auto"/>
                  <w:vAlign w:val="center"/>
                </w:tcPr>
                <w:p w14:paraId="3BF1B4B3">
                  <w:pPr>
                    <w:pStyle w:val="41"/>
                    <w:bidi w:val="0"/>
                    <w:jc w:val="center"/>
                    <w:rPr>
                      <w:rFonts w:hint="eastAsia" w:ascii="Times New Roman" w:hAnsi="Times New Roman" w:eastAsia="宋体" w:cs="Times New Roman"/>
                      <w:kern w:val="0"/>
                      <w:sz w:val="21"/>
                      <w:szCs w:val="24"/>
                      <w:lang w:val="en-US" w:eastAsia="zh-CN" w:bidi="ar-SA"/>
                    </w:rPr>
                  </w:pPr>
                  <w:r>
                    <w:rPr>
                      <w:rFonts w:hint="eastAsia"/>
                      <w:color w:val="auto"/>
                      <w:highlight w:val="none"/>
                      <w:lang w:val="en-US" w:eastAsia="zh-CN"/>
                    </w:rPr>
                    <w:t>N</w:t>
                  </w:r>
                  <w:r>
                    <w:rPr>
                      <w:rFonts w:hint="eastAsia"/>
                      <w:color w:val="auto"/>
                      <w:highlight w:val="none"/>
                      <w:vertAlign w:val="subscript"/>
                      <w:lang w:val="en-US" w:eastAsia="zh-CN"/>
                    </w:rPr>
                    <w:t>2</w:t>
                  </w:r>
                  <w:r>
                    <w:rPr>
                      <w:rFonts w:hint="eastAsia"/>
                      <w:color w:val="auto"/>
                      <w:highlight w:val="none"/>
                      <w:lang w:eastAsia="zh-CN"/>
                    </w:rPr>
                    <w:t>，</w:t>
                  </w:r>
                  <w:r>
                    <w:rPr>
                      <w:rFonts w:hint="eastAsia"/>
                      <w:color w:val="auto"/>
                      <w:highlight w:val="none"/>
                      <w:lang w:val="en-US" w:eastAsia="zh-CN"/>
                    </w:rPr>
                    <w:t>无色无味气体，</w:t>
                  </w:r>
                  <w:r>
                    <w:rPr>
                      <w:rFonts w:hint="default"/>
                      <w:color w:val="auto"/>
                      <w:highlight w:val="none"/>
                    </w:rPr>
                    <w:t>沸点</w:t>
                  </w:r>
                  <w:r>
                    <w:rPr>
                      <w:rFonts w:hint="eastAsia"/>
                      <w:color w:val="auto"/>
                      <w:highlight w:val="none"/>
                      <w:lang w:val="en-US" w:eastAsia="zh-CN"/>
                    </w:rPr>
                    <w:t>-196</w:t>
                  </w:r>
                  <w:r>
                    <w:rPr>
                      <w:rFonts w:hint="default"/>
                      <w:color w:val="auto"/>
                      <w:highlight w:val="none"/>
                    </w:rPr>
                    <w:t>℃</w:t>
                  </w:r>
                  <w:r>
                    <w:rPr>
                      <w:rFonts w:hint="eastAsia"/>
                      <w:color w:val="auto"/>
                      <w:highlight w:val="none"/>
                      <w:lang w:eastAsia="zh-CN"/>
                    </w:rPr>
                    <w:t>，</w:t>
                  </w:r>
                  <w:r>
                    <w:rPr>
                      <w:rFonts w:hint="default"/>
                      <w:color w:val="auto"/>
                      <w:highlight w:val="none"/>
                    </w:rPr>
                    <w:t>熔点</w:t>
                  </w:r>
                  <w:r>
                    <w:rPr>
                      <w:rFonts w:hint="eastAsia"/>
                      <w:color w:val="auto"/>
                      <w:highlight w:val="none"/>
                      <w:lang w:val="en-US" w:eastAsia="zh-CN"/>
                    </w:rPr>
                    <w:t>-209.86</w:t>
                  </w:r>
                  <w:r>
                    <w:rPr>
                      <w:rFonts w:hint="default"/>
                      <w:color w:val="auto"/>
                      <w:highlight w:val="none"/>
                    </w:rPr>
                    <w:t>℃</w:t>
                  </w:r>
                  <w:r>
                    <w:rPr>
                      <w:rFonts w:hint="eastAsia"/>
                      <w:color w:val="auto"/>
                      <w:highlight w:val="none"/>
                      <w:lang w:eastAsia="zh-CN"/>
                    </w:rPr>
                    <w:t>，</w:t>
                  </w:r>
                  <w:r>
                    <w:rPr>
                      <w:rFonts w:hint="eastAsia"/>
                      <w:color w:val="auto"/>
                      <w:highlight w:val="none"/>
                      <w:lang w:val="en-US" w:eastAsia="zh-CN"/>
                    </w:rPr>
                    <w:t>相对</w:t>
                  </w:r>
                  <w:r>
                    <w:rPr>
                      <w:rFonts w:hint="default"/>
                      <w:color w:val="auto"/>
                      <w:highlight w:val="none"/>
                    </w:rPr>
                    <w:t>密度</w:t>
                  </w:r>
                  <w:r>
                    <w:rPr>
                      <w:rFonts w:hint="eastAsia"/>
                      <w:color w:val="auto"/>
                      <w:highlight w:val="none"/>
                      <w:lang w:val="en-US" w:eastAsia="zh-CN"/>
                    </w:rPr>
                    <w:t>0.81</w:t>
                  </w:r>
                  <w:r>
                    <w:rPr>
                      <w:rFonts w:hint="default"/>
                      <w:color w:val="auto"/>
                      <w:highlight w:val="none"/>
                    </w:rPr>
                    <w:t>g/cm</w:t>
                  </w:r>
                  <w:r>
                    <w:rPr>
                      <w:rFonts w:hint="default"/>
                      <w:color w:val="auto"/>
                      <w:highlight w:val="none"/>
                      <w:vertAlign w:val="superscript"/>
                    </w:rPr>
                    <w:t>3</w:t>
                  </w:r>
                  <w:r>
                    <w:rPr>
                      <w:rFonts w:hint="eastAsia"/>
                      <w:color w:val="auto"/>
                      <w:highlight w:val="none"/>
                      <w:vertAlign w:val="baseline"/>
                      <w:lang w:eastAsia="zh-CN"/>
                    </w:rPr>
                    <w:t>（</w:t>
                  </w:r>
                  <w:r>
                    <w:rPr>
                      <w:rFonts w:hint="eastAsia"/>
                      <w:color w:val="auto"/>
                      <w:highlight w:val="none"/>
                      <w:vertAlign w:val="baseline"/>
                      <w:lang w:val="en-US" w:eastAsia="zh-CN"/>
                    </w:rPr>
                    <w:t>-196℃，水=1</w:t>
                  </w:r>
                  <w:r>
                    <w:rPr>
                      <w:rFonts w:hint="eastAsia"/>
                      <w:color w:val="auto"/>
                      <w:highlight w:val="none"/>
                      <w:vertAlign w:val="baseline"/>
                      <w:lang w:eastAsia="zh-CN"/>
                    </w:rPr>
                    <w:t>）</w:t>
                  </w:r>
                  <w:r>
                    <w:rPr>
                      <w:rFonts w:hint="eastAsia"/>
                      <w:color w:val="auto"/>
                      <w:highlight w:val="none"/>
                      <w:lang w:eastAsia="zh-CN"/>
                    </w:rPr>
                    <w:t>，</w:t>
                  </w:r>
                  <w:r>
                    <w:rPr>
                      <w:rFonts w:hint="eastAsia"/>
                      <w:color w:val="auto"/>
                      <w:highlight w:val="none"/>
                      <w:lang w:val="en-US" w:eastAsia="zh-CN"/>
                    </w:rPr>
                    <w:t>微溶于酒精和水。常用于惰性保护气、制冷剂、合成氨</w:t>
                  </w:r>
                </w:p>
              </w:tc>
              <w:tc>
                <w:tcPr>
                  <w:tcW w:w="573" w:type="pct"/>
                  <w:shd w:val="clear" w:color="auto" w:fill="auto"/>
                  <w:vAlign w:val="center"/>
                </w:tcPr>
                <w:p w14:paraId="10562B34">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不燃</w:t>
                  </w:r>
                </w:p>
              </w:tc>
              <w:tc>
                <w:tcPr>
                  <w:tcW w:w="941" w:type="pct"/>
                  <w:shd w:val="clear" w:color="auto" w:fill="auto"/>
                  <w:vAlign w:val="center"/>
                </w:tcPr>
                <w:p w14:paraId="10DF6CA9">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高浓度气体让人窒息</w:t>
                  </w:r>
                </w:p>
              </w:tc>
            </w:tr>
            <w:tr w14:paraId="7696C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240FBDC8">
                  <w:pPr>
                    <w:pStyle w:val="41"/>
                    <w:bidi w:val="0"/>
                    <w:jc w:val="center"/>
                    <w:rPr>
                      <w:rFonts w:hint="eastAsia" w:ascii="Times New Roman" w:hAnsi="Times New Roman" w:eastAsia="宋体" w:cs="Times New Roman"/>
                      <w:kern w:val="0"/>
                      <w:sz w:val="21"/>
                      <w:szCs w:val="24"/>
                      <w:lang w:val="en-US" w:eastAsia="zh-CN" w:bidi="ar-SA"/>
                    </w:rPr>
                  </w:pPr>
                  <w:r>
                    <w:rPr>
                      <w:rFonts w:hint="default"/>
                      <w:lang w:val="en-US" w:eastAsia="zh-CN"/>
                    </w:rPr>
                    <w:t>乙醇</w:t>
                  </w:r>
                </w:p>
              </w:tc>
              <w:tc>
                <w:tcPr>
                  <w:tcW w:w="1196" w:type="dxa"/>
                  <w:vAlign w:val="center"/>
                </w:tcPr>
                <w:p w14:paraId="42232A10">
                  <w:pPr>
                    <w:pStyle w:val="41"/>
                    <w:bidi w:val="0"/>
                    <w:jc w:val="center"/>
                    <w:rPr>
                      <w:rFonts w:hint="eastAsia"/>
                    </w:rPr>
                  </w:pPr>
                  <w:r>
                    <w:rPr>
                      <w:rFonts w:hint="eastAsia"/>
                    </w:rPr>
                    <w:t>64-17-5</w:t>
                  </w:r>
                </w:p>
              </w:tc>
              <w:tc>
                <w:tcPr>
                  <w:tcW w:w="2211" w:type="pct"/>
                  <w:shd w:val="clear" w:color="auto" w:fill="auto"/>
                  <w:vAlign w:val="center"/>
                </w:tcPr>
                <w:p w14:paraId="0DC2C116">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C</w:t>
                  </w:r>
                  <w:r>
                    <w:rPr>
                      <w:rFonts w:hint="eastAsia"/>
                      <w:vertAlign w:val="subscript"/>
                      <w:lang w:val="en-US" w:eastAsia="zh-CN"/>
                    </w:rPr>
                    <w:t>2</w:t>
                  </w:r>
                  <w:r>
                    <w:rPr>
                      <w:rFonts w:hint="eastAsia"/>
                      <w:lang w:val="en-US" w:eastAsia="zh-CN"/>
                    </w:rPr>
                    <w:t>H</w:t>
                  </w:r>
                  <w:r>
                    <w:rPr>
                      <w:rFonts w:hint="eastAsia"/>
                      <w:vertAlign w:val="subscript"/>
                      <w:lang w:val="en-US" w:eastAsia="zh-CN"/>
                    </w:rPr>
                    <w:t>6</w:t>
                  </w:r>
                  <w:r>
                    <w:rPr>
                      <w:rFonts w:hint="eastAsia"/>
                      <w:lang w:val="en-US" w:eastAsia="zh-CN"/>
                    </w:rPr>
                    <w:t>O，</w:t>
                  </w:r>
                  <w:r>
                    <w:rPr>
                      <w:rFonts w:hint="eastAsia"/>
                    </w:rPr>
                    <w:t>无色的液体</w:t>
                  </w:r>
                  <w:r>
                    <w:rPr>
                      <w:rFonts w:hint="eastAsia"/>
                      <w:lang w:eastAsia="zh-CN"/>
                    </w:rPr>
                    <w:t>，</w:t>
                  </w:r>
                  <w:r>
                    <w:rPr>
                      <w:rFonts w:hint="eastAsia"/>
                    </w:rPr>
                    <w:t>黏稠度低，相对密度0.789</w:t>
                  </w:r>
                  <w:r>
                    <w:rPr>
                      <w:rFonts w:hint="default"/>
                      <w:color w:val="auto"/>
                      <w:highlight w:val="none"/>
                    </w:rPr>
                    <w:t>g/cm</w:t>
                  </w:r>
                  <w:r>
                    <w:rPr>
                      <w:rFonts w:hint="default"/>
                      <w:color w:val="auto"/>
                      <w:highlight w:val="none"/>
                      <w:vertAlign w:val="superscript"/>
                    </w:rPr>
                    <w:t>3</w:t>
                  </w:r>
                  <w:r>
                    <w:rPr>
                      <w:rFonts w:hint="eastAsia"/>
                      <w:color w:val="auto"/>
                      <w:highlight w:val="none"/>
                      <w:vertAlign w:val="baseline"/>
                      <w:lang w:eastAsia="zh-CN"/>
                    </w:rPr>
                    <w:t>（</w:t>
                  </w:r>
                  <w:r>
                    <w:rPr>
                      <w:rFonts w:hint="eastAsia"/>
                      <w:color w:val="auto"/>
                      <w:highlight w:val="none"/>
                      <w:vertAlign w:val="baseline"/>
                      <w:lang w:val="en-US" w:eastAsia="zh-CN"/>
                    </w:rPr>
                    <w:t>水=1</w:t>
                  </w:r>
                  <w:r>
                    <w:rPr>
                      <w:rFonts w:hint="eastAsia"/>
                      <w:color w:val="auto"/>
                      <w:highlight w:val="none"/>
                      <w:vertAlign w:val="baseline"/>
                      <w:lang w:eastAsia="zh-CN"/>
                    </w:rPr>
                    <w:t>）</w:t>
                  </w:r>
                  <w:r>
                    <w:rPr>
                      <w:rFonts w:hint="eastAsia"/>
                    </w:rPr>
                    <w:t>，沸点</w:t>
                  </w:r>
                  <w:r>
                    <w:t>78.3℃</w:t>
                  </w:r>
                  <w:r>
                    <w:rPr>
                      <w:rFonts w:hint="eastAsia"/>
                    </w:rPr>
                    <w:t>，熔点</w:t>
                  </w:r>
                  <w:r>
                    <w:t>-114.1℃</w:t>
                  </w:r>
                  <w:r>
                    <w:rPr>
                      <w:rFonts w:hint="eastAsia"/>
                    </w:rPr>
                    <w:t>，能与水以任意比互溶</w:t>
                  </w:r>
                  <w:r>
                    <w:rPr>
                      <w:rFonts w:hint="eastAsia"/>
                      <w:lang w:eastAsia="zh-CN"/>
                    </w:rPr>
                    <w:t>，</w:t>
                  </w:r>
                  <w:r>
                    <w:rPr>
                      <w:rFonts w:hint="eastAsia"/>
                    </w:rPr>
                    <w:t>能与三氯甲烷、乙醚、甲醇、丙酮和其他多数有机溶剂混溶</w:t>
                  </w:r>
                  <w:r>
                    <w:rPr>
                      <w:rFonts w:hint="eastAsia"/>
                      <w:lang w:eastAsia="zh-CN"/>
                    </w:rPr>
                    <w:t>。</w:t>
                  </w:r>
                </w:p>
              </w:tc>
              <w:tc>
                <w:tcPr>
                  <w:tcW w:w="573" w:type="pct"/>
                  <w:shd w:val="clear" w:color="auto" w:fill="auto"/>
                  <w:vAlign w:val="center"/>
                </w:tcPr>
                <w:p w14:paraId="5D4223F0">
                  <w:pPr>
                    <w:pStyle w:val="41"/>
                    <w:bidi w:val="0"/>
                    <w:jc w:val="center"/>
                    <w:rPr>
                      <w:rFonts w:hint="eastAsia" w:ascii="Times New Roman" w:hAnsi="Times New Roman" w:eastAsia="宋体" w:cs="Times New Roman"/>
                      <w:kern w:val="0"/>
                      <w:sz w:val="21"/>
                      <w:szCs w:val="24"/>
                      <w:lang w:val="en-US" w:eastAsia="zh-CN" w:bidi="ar-SA"/>
                    </w:rPr>
                  </w:pPr>
                  <w:r>
                    <w:rPr>
                      <w:rFonts w:hint="eastAsia"/>
                    </w:rPr>
                    <w:t>易燃</w:t>
                  </w:r>
                </w:p>
              </w:tc>
              <w:tc>
                <w:tcPr>
                  <w:tcW w:w="941" w:type="pct"/>
                  <w:shd w:val="clear" w:color="auto" w:fill="auto"/>
                  <w:vAlign w:val="center"/>
                </w:tcPr>
                <w:p w14:paraId="34307BC2">
                  <w:pPr>
                    <w:pStyle w:val="41"/>
                    <w:bidi w:val="0"/>
                    <w:jc w:val="center"/>
                    <w:rPr>
                      <w:rFonts w:hint="eastAsia" w:ascii="Times New Roman" w:hAnsi="Times New Roman" w:eastAsia="宋体" w:cs="Times New Roman"/>
                      <w:kern w:val="0"/>
                      <w:sz w:val="21"/>
                      <w:szCs w:val="24"/>
                      <w:lang w:val="en-US" w:eastAsia="zh-CN" w:bidi="ar-SA"/>
                    </w:rPr>
                  </w:pPr>
                  <w:r>
                    <w:t>LD</w:t>
                  </w:r>
                  <w:r>
                    <w:rPr>
                      <w:vertAlign w:val="baseline"/>
                    </w:rPr>
                    <w:t>50</w:t>
                  </w:r>
                  <w:r>
                    <w:rPr>
                      <w:rFonts w:hint="eastAsia"/>
                    </w:rPr>
                    <w:t>：</w:t>
                  </w:r>
                  <w:r>
                    <w:t>7060mg/kg</w:t>
                  </w:r>
                  <w:r>
                    <w:rPr>
                      <w:rFonts w:hint="eastAsia"/>
                    </w:rPr>
                    <w:t>（大鼠经口</w:t>
                  </w:r>
                  <w:r>
                    <w:rPr>
                      <w:rFonts w:hint="eastAsia"/>
                      <w:lang w:eastAsia="zh-CN"/>
                    </w:rPr>
                    <w:t>）</w:t>
                  </w:r>
                </w:p>
              </w:tc>
            </w:tr>
            <w:tr w14:paraId="1BEC8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7ABD13DD">
                  <w:pPr>
                    <w:pStyle w:val="41"/>
                    <w:bidi w:val="0"/>
                    <w:jc w:val="center"/>
                    <w:rPr>
                      <w:rFonts w:hint="eastAsia" w:ascii="Times New Roman" w:hAnsi="Times New Roman" w:eastAsia="宋体" w:cs="Times New Roman"/>
                      <w:kern w:val="0"/>
                      <w:sz w:val="21"/>
                      <w:szCs w:val="24"/>
                      <w:lang w:val="en-US" w:eastAsia="zh-CN" w:bidi="ar-SA"/>
                    </w:rPr>
                  </w:pPr>
                  <w:r>
                    <w:rPr>
                      <w:rFonts w:hint="default"/>
                      <w:lang w:val="en-US" w:eastAsia="zh-CN"/>
                    </w:rPr>
                    <w:t>高碘酸钠</w:t>
                  </w:r>
                </w:p>
              </w:tc>
              <w:tc>
                <w:tcPr>
                  <w:tcW w:w="1196" w:type="dxa"/>
                  <w:vAlign w:val="center"/>
                </w:tcPr>
                <w:p w14:paraId="4662C764">
                  <w:pPr>
                    <w:pStyle w:val="41"/>
                    <w:bidi w:val="0"/>
                    <w:jc w:val="center"/>
                    <w:rPr>
                      <w:rFonts w:hint="eastAsia"/>
                    </w:rPr>
                  </w:pPr>
                  <w:r>
                    <w:rPr>
                      <w:rFonts w:hint="eastAsia"/>
                    </w:rPr>
                    <w:t>7790-28-5</w:t>
                  </w:r>
                </w:p>
              </w:tc>
              <w:tc>
                <w:tcPr>
                  <w:tcW w:w="2211" w:type="pct"/>
                  <w:shd w:val="clear" w:color="auto" w:fill="auto"/>
                  <w:vAlign w:val="center"/>
                </w:tcPr>
                <w:p w14:paraId="63CA04A7">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NaIO</w:t>
                  </w:r>
                  <w:r>
                    <w:rPr>
                      <w:rFonts w:hint="eastAsia"/>
                      <w:vertAlign w:val="subscript"/>
                      <w:lang w:val="en-US" w:eastAsia="zh-CN"/>
                    </w:rPr>
                    <w:t>4</w:t>
                  </w:r>
                  <w:r>
                    <w:rPr>
                      <w:rFonts w:hint="eastAsia"/>
                      <w:lang w:val="en-US" w:eastAsia="zh-CN"/>
                    </w:rPr>
                    <w:t>，</w:t>
                  </w:r>
                  <w:r>
                    <w:rPr>
                      <w:rFonts w:hint="eastAsia"/>
                    </w:rPr>
                    <w:t>白色结晶性粉末</w:t>
                  </w:r>
                  <w:r>
                    <w:rPr>
                      <w:rFonts w:hint="eastAsia"/>
                      <w:lang w:eastAsia="zh-CN"/>
                    </w:rPr>
                    <w:t>，</w:t>
                  </w:r>
                  <w:r>
                    <w:rPr>
                      <w:rFonts w:hint="eastAsia"/>
                    </w:rPr>
                    <w:t>密度</w:t>
                  </w:r>
                  <w:r>
                    <w:rPr>
                      <w:rFonts w:hint="eastAsia"/>
                      <w:lang w:val="en-US" w:eastAsia="zh-CN"/>
                    </w:rPr>
                    <w:t>3.865</w:t>
                  </w:r>
                  <w:r>
                    <w:rPr>
                      <w:rFonts w:hint="default"/>
                      <w:color w:val="auto"/>
                      <w:highlight w:val="none"/>
                    </w:rPr>
                    <w:t>g/cm</w:t>
                  </w:r>
                  <w:r>
                    <w:rPr>
                      <w:rFonts w:hint="default"/>
                      <w:color w:val="auto"/>
                      <w:highlight w:val="none"/>
                      <w:vertAlign w:val="superscript"/>
                    </w:rPr>
                    <w:t>3</w:t>
                  </w:r>
                  <w:r>
                    <w:rPr>
                      <w:rFonts w:hint="eastAsia"/>
                    </w:rPr>
                    <w:t>，熔点</w:t>
                  </w:r>
                  <w:r>
                    <w:rPr>
                      <w:rFonts w:hint="eastAsia"/>
                      <w:lang w:val="en-US" w:eastAsia="zh-CN"/>
                    </w:rPr>
                    <w:t>300</w:t>
                  </w:r>
                  <w:r>
                    <w:t>℃</w:t>
                  </w:r>
                  <w:r>
                    <w:rPr>
                      <w:rFonts w:hint="eastAsia"/>
                    </w:rPr>
                    <w:t>，易溶于水、乙酸、盐酸、硫酸、硝酸，不溶于乙醇</w:t>
                  </w:r>
                  <w:r>
                    <w:rPr>
                      <w:rFonts w:hint="eastAsia"/>
                      <w:lang w:eastAsia="zh-CN"/>
                    </w:rPr>
                    <w:t>。</w:t>
                  </w:r>
                </w:p>
              </w:tc>
              <w:tc>
                <w:tcPr>
                  <w:tcW w:w="573" w:type="pct"/>
                  <w:shd w:val="clear" w:color="auto" w:fill="auto"/>
                  <w:vAlign w:val="center"/>
                </w:tcPr>
                <w:p w14:paraId="45C5C07C">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不</w:t>
                  </w:r>
                  <w:r>
                    <w:rPr>
                      <w:rFonts w:hint="eastAsia"/>
                    </w:rPr>
                    <w:t>燃</w:t>
                  </w:r>
                </w:p>
              </w:tc>
              <w:tc>
                <w:tcPr>
                  <w:tcW w:w="941" w:type="pct"/>
                  <w:shd w:val="clear" w:color="auto" w:fill="auto"/>
                  <w:vAlign w:val="center"/>
                </w:tcPr>
                <w:p w14:paraId="52764C4C">
                  <w:pPr>
                    <w:pStyle w:val="41"/>
                    <w:bidi w:val="0"/>
                    <w:jc w:val="center"/>
                    <w:rPr>
                      <w:rFonts w:hint="eastAsia" w:ascii="Times New Roman" w:hAnsi="Times New Roman" w:eastAsia="宋体" w:cs="Times New Roman"/>
                      <w:kern w:val="0"/>
                      <w:sz w:val="21"/>
                      <w:szCs w:val="24"/>
                      <w:lang w:val="en-US" w:eastAsia="zh-CN" w:bidi="ar-SA"/>
                    </w:rPr>
                  </w:pPr>
                  <w:r>
                    <w:rPr>
                      <w:rFonts w:hint="eastAsia"/>
                    </w:rPr>
                    <w:t>LD</w:t>
                  </w:r>
                  <w:r>
                    <w:rPr>
                      <w:rFonts w:hint="eastAsia"/>
                      <w:vertAlign w:val="baseline"/>
                    </w:rPr>
                    <w:t>50</w:t>
                  </w:r>
                  <w:r>
                    <w:rPr>
                      <w:rFonts w:hint="eastAsia"/>
                    </w:rPr>
                    <w:t>：58mg/kg（小鼠腹腔）</w:t>
                  </w:r>
                </w:p>
              </w:tc>
            </w:tr>
            <w:tr w14:paraId="216A8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5CDA0715">
                  <w:pPr>
                    <w:pStyle w:val="41"/>
                    <w:bidi w:val="0"/>
                    <w:jc w:val="center"/>
                    <w:rPr>
                      <w:rFonts w:hint="eastAsia" w:ascii="Times New Roman" w:hAnsi="Times New Roman" w:eastAsia="宋体" w:cs="Times New Roman"/>
                      <w:kern w:val="0"/>
                      <w:sz w:val="21"/>
                      <w:szCs w:val="24"/>
                      <w:lang w:val="en-US" w:eastAsia="zh-CN" w:bidi="ar-SA"/>
                    </w:rPr>
                  </w:pPr>
                  <w:r>
                    <w:rPr>
                      <w:rFonts w:hint="default"/>
                      <w:lang w:val="en-US" w:eastAsia="zh-CN"/>
                    </w:rPr>
                    <w:t>三乙胺</w:t>
                  </w:r>
                </w:p>
              </w:tc>
              <w:tc>
                <w:tcPr>
                  <w:tcW w:w="1196" w:type="dxa"/>
                  <w:vAlign w:val="center"/>
                </w:tcPr>
                <w:p w14:paraId="5AFE18FA">
                  <w:pPr>
                    <w:pStyle w:val="41"/>
                    <w:bidi w:val="0"/>
                    <w:jc w:val="center"/>
                    <w:rPr>
                      <w:rFonts w:hint="eastAsia"/>
                    </w:rPr>
                  </w:pPr>
                  <w:r>
                    <w:rPr>
                      <w:rFonts w:hint="eastAsia"/>
                    </w:rPr>
                    <w:t>121-44-8</w:t>
                  </w:r>
                </w:p>
              </w:tc>
              <w:tc>
                <w:tcPr>
                  <w:tcW w:w="2211" w:type="pct"/>
                  <w:shd w:val="clear" w:color="auto" w:fill="auto"/>
                  <w:vAlign w:val="center"/>
                </w:tcPr>
                <w:p w14:paraId="6D2A1988">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C</w:t>
                  </w:r>
                  <w:r>
                    <w:rPr>
                      <w:rFonts w:hint="eastAsia"/>
                      <w:vertAlign w:val="subscript"/>
                      <w:lang w:val="en-US" w:eastAsia="zh-CN"/>
                    </w:rPr>
                    <w:t>6</w:t>
                  </w:r>
                  <w:r>
                    <w:rPr>
                      <w:rFonts w:hint="eastAsia"/>
                      <w:lang w:val="en-US" w:eastAsia="zh-CN"/>
                    </w:rPr>
                    <w:t>H</w:t>
                  </w:r>
                  <w:r>
                    <w:rPr>
                      <w:rFonts w:hint="eastAsia"/>
                      <w:vertAlign w:val="subscript"/>
                      <w:lang w:val="en-US" w:eastAsia="zh-CN"/>
                    </w:rPr>
                    <w:t>15</w:t>
                  </w:r>
                  <w:r>
                    <w:rPr>
                      <w:rFonts w:hint="eastAsia"/>
                      <w:lang w:val="en-US" w:eastAsia="zh-CN"/>
                    </w:rPr>
                    <w:t>N，</w:t>
                  </w:r>
                  <w:r>
                    <w:rPr>
                      <w:rFonts w:hint="eastAsia"/>
                    </w:rPr>
                    <w:t>无色油状液体</w:t>
                  </w:r>
                  <w:r>
                    <w:rPr>
                      <w:rFonts w:hint="eastAsia"/>
                      <w:lang w:eastAsia="zh-CN"/>
                    </w:rPr>
                    <w:t>，</w:t>
                  </w:r>
                  <w:r>
                    <w:rPr>
                      <w:rFonts w:hint="eastAsia"/>
                    </w:rPr>
                    <w:t>密度</w:t>
                  </w:r>
                  <w:r>
                    <w:rPr>
                      <w:rFonts w:hint="eastAsia"/>
                      <w:lang w:val="en-US" w:eastAsia="zh-CN"/>
                    </w:rPr>
                    <w:t>0.728</w:t>
                  </w:r>
                  <w:r>
                    <w:rPr>
                      <w:rFonts w:hint="default"/>
                      <w:color w:val="auto"/>
                      <w:highlight w:val="none"/>
                    </w:rPr>
                    <w:t>g/cm</w:t>
                  </w:r>
                  <w:r>
                    <w:rPr>
                      <w:rFonts w:hint="default"/>
                      <w:color w:val="auto"/>
                      <w:highlight w:val="none"/>
                      <w:vertAlign w:val="superscript"/>
                    </w:rPr>
                    <w:t>3</w:t>
                  </w:r>
                  <w:r>
                    <w:rPr>
                      <w:rFonts w:hint="eastAsia"/>
                    </w:rPr>
                    <w:t>，熔点</w:t>
                  </w:r>
                  <w:r>
                    <w:rPr>
                      <w:rFonts w:hint="eastAsia"/>
                      <w:lang w:val="en-US" w:eastAsia="zh-CN"/>
                    </w:rPr>
                    <w:t>-115</w:t>
                  </w:r>
                  <w:r>
                    <w:t>℃</w:t>
                  </w:r>
                  <w:r>
                    <w:rPr>
                      <w:rFonts w:hint="eastAsia"/>
                    </w:rPr>
                    <w:t>，</w:t>
                  </w:r>
                  <w:r>
                    <w:rPr>
                      <w:rFonts w:hint="eastAsia"/>
                      <w:lang w:val="en-US" w:eastAsia="zh-CN"/>
                    </w:rPr>
                    <w:t>闪点7℃，</w:t>
                  </w:r>
                  <w:r>
                    <w:rPr>
                      <w:rFonts w:hint="eastAsia"/>
                    </w:rPr>
                    <w:t>微溶于水，水溶液呈碱性</w:t>
                  </w:r>
                  <w:r>
                    <w:rPr>
                      <w:rFonts w:hint="eastAsia"/>
                      <w:lang w:eastAsia="zh-CN"/>
                    </w:rPr>
                    <w:t>。</w:t>
                  </w:r>
                </w:p>
              </w:tc>
              <w:tc>
                <w:tcPr>
                  <w:tcW w:w="573" w:type="pct"/>
                  <w:shd w:val="clear" w:color="auto" w:fill="auto"/>
                  <w:vAlign w:val="center"/>
                </w:tcPr>
                <w:p w14:paraId="4BBEE967">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易燃</w:t>
                  </w:r>
                </w:p>
              </w:tc>
              <w:tc>
                <w:tcPr>
                  <w:tcW w:w="941" w:type="pct"/>
                  <w:shd w:val="clear" w:color="auto" w:fill="auto"/>
                  <w:vAlign w:val="center"/>
                </w:tcPr>
                <w:p w14:paraId="304471E7">
                  <w:pPr>
                    <w:pStyle w:val="41"/>
                    <w:bidi w:val="0"/>
                    <w:jc w:val="center"/>
                    <w:rPr>
                      <w:rFonts w:hint="eastAsia" w:ascii="Times New Roman" w:hAnsi="Times New Roman" w:eastAsia="宋体" w:cs="Times New Roman"/>
                      <w:kern w:val="0"/>
                      <w:sz w:val="21"/>
                      <w:szCs w:val="24"/>
                      <w:lang w:val="en-US" w:eastAsia="zh-CN" w:bidi="ar-SA"/>
                    </w:rPr>
                  </w:pPr>
                  <w:r>
                    <w:rPr>
                      <w:rFonts w:hint="eastAsia"/>
                    </w:rPr>
                    <w:t>LD</w:t>
                  </w:r>
                  <w:r>
                    <w:rPr>
                      <w:rFonts w:hint="eastAsia"/>
                      <w:vertAlign w:val="baseline"/>
                    </w:rPr>
                    <w:t>50</w:t>
                  </w:r>
                  <w:r>
                    <w:rPr>
                      <w:rFonts w:hint="eastAsia"/>
                    </w:rPr>
                    <w:t>：460mg/kg（大鼠经口）</w:t>
                  </w:r>
                </w:p>
              </w:tc>
            </w:tr>
            <w:tr w14:paraId="7A0F5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6B1CB637">
                  <w:pPr>
                    <w:pStyle w:val="41"/>
                    <w:bidi w:val="0"/>
                    <w:jc w:val="center"/>
                    <w:rPr>
                      <w:rFonts w:hint="eastAsia" w:ascii="Times New Roman" w:hAnsi="Times New Roman" w:eastAsia="宋体" w:cs="Times New Roman"/>
                      <w:kern w:val="0"/>
                      <w:sz w:val="21"/>
                      <w:szCs w:val="24"/>
                      <w:lang w:val="en-US" w:eastAsia="zh-CN" w:bidi="ar-SA"/>
                    </w:rPr>
                  </w:pPr>
                  <w:r>
                    <w:rPr>
                      <w:rFonts w:hint="default"/>
                      <w:lang w:val="en-US" w:eastAsia="zh-CN"/>
                    </w:rPr>
                    <w:t>亚硫酸钠</w:t>
                  </w:r>
                </w:p>
              </w:tc>
              <w:tc>
                <w:tcPr>
                  <w:tcW w:w="1196" w:type="dxa"/>
                  <w:vAlign w:val="center"/>
                </w:tcPr>
                <w:p w14:paraId="0DFCD4C5">
                  <w:pPr>
                    <w:pStyle w:val="41"/>
                    <w:bidi w:val="0"/>
                    <w:jc w:val="center"/>
                    <w:rPr>
                      <w:rFonts w:hint="eastAsia"/>
                    </w:rPr>
                  </w:pPr>
                  <w:r>
                    <w:rPr>
                      <w:rFonts w:hint="eastAsia"/>
                    </w:rPr>
                    <w:t>7757-83-7</w:t>
                  </w:r>
                </w:p>
              </w:tc>
              <w:tc>
                <w:tcPr>
                  <w:tcW w:w="2211" w:type="pct"/>
                  <w:shd w:val="clear" w:color="auto" w:fill="auto"/>
                  <w:vAlign w:val="center"/>
                </w:tcPr>
                <w:p w14:paraId="26004281">
                  <w:pPr>
                    <w:pStyle w:val="41"/>
                    <w:bidi w:val="0"/>
                    <w:rPr>
                      <w:rFonts w:hint="eastAsia" w:ascii="Times New Roman" w:hAnsi="Times New Roman" w:eastAsia="宋体" w:cs="Times New Roman"/>
                      <w:kern w:val="0"/>
                      <w:sz w:val="21"/>
                      <w:szCs w:val="24"/>
                      <w:lang w:val="en-US" w:eastAsia="zh-CN" w:bidi="ar-SA"/>
                    </w:rPr>
                  </w:pPr>
                  <w:r>
                    <w:rPr>
                      <w:rFonts w:hint="eastAsia"/>
                    </w:rPr>
                    <w:t>Na</w:t>
                  </w:r>
                  <w:r>
                    <w:rPr>
                      <w:rFonts w:hint="eastAsia"/>
                      <w:vertAlign w:val="subscript"/>
                    </w:rPr>
                    <w:t>2</w:t>
                  </w:r>
                  <w:r>
                    <w:rPr>
                      <w:rFonts w:hint="eastAsia"/>
                    </w:rPr>
                    <w:t>SO</w:t>
                  </w:r>
                  <w:r>
                    <w:rPr>
                      <w:rFonts w:hint="eastAsia"/>
                      <w:vertAlign w:val="subscript"/>
                    </w:rPr>
                    <w:t>3</w:t>
                  </w:r>
                  <w:r>
                    <w:rPr>
                      <w:rFonts w:hint="eastAsia"/>
                      <w:lang w:eastAsia="zh-CN"/>
                    </w:rPr>
                    <w:t>，</w:t>
                  </w:r>
                  <w:r>
                    <w:rPr>
                      <w:rFonts w:hint="eastAsia"/>
                    </w:rPr>
                    <w:t>无色、单斜晶体或粉末，熔点150</w:t>
                  </w:r>
                  <w:r>
                    <w:t>℃</w:t>
                  </w:r>
                  <w:r>
                    <w:rPr>
                      <w:rFonts w:hint="eastAsia"/>
                    </w:rPr>
                    <w:t>，密度2.63</w:t>
                  </w:r>
                  <w:r>
                    <w:rPr>
                      <w:rFonts w:hint="default"/>
                      <w:color w:val="auto"/>
                      <w:highlight w:val="none"/>
                    </w:rPr>
                    <w:t>g/cm</w:t>
                  </w:r>
                  <w:r>
                    <w:rPr>
                      <w:rFonts w:hint="default"/>
                      <w:color w:val="auto"/>
                      <w:highlight w:val="none"/>
                      <w:vertAlign w:val="superscript"/>
                    </w:rPr>
                    <w:t>3</w:t>
                  </w:r>
                  <w:r>
                    <w:rPr>
                      <w:rFonts w:hint="eastAsia"/>
                    </w:rPr>
                    <w:t>，易溶于水，不溶于乙醇等</w:t>
                  </w:r>
                  <w:r>
                    <w:rPr>
                      <w:rFonts w:hint="eastAsia"/>
                      <w:lang w:eastAsia="zh-CN"/>
                    </w:rPr>
                    <w:t>。</w:t>
                  </w:r>
                </w:p>
              </w:tc>
              <w:tc>
                <w:tcPr>
                  <w:tcW w:w="573" w:type="pct"/>
                  <w:shd w:val="clear" w:color="auto" w:fill="auto"/>
                  <w:vAlign w:val="center"/>
                </w:tcPr>
                <w:p w14:paraId="63D919B8">
                  <w:pPr>
                    <w:pStyle w:val="41"/>
                    <w:bidi w:val="0"/>
                    <w:rPr>
                      <w:rFonts w:hint="eastAsia" w:ascii="Times New Roman" w:hAnsi="Times New Roman" w:eastAsia="宋体" w:cs="Times New Roman"/>
                      <w:kern w:val="0"/>
                      <w:sz w:val="21"/>
                      <w:szCs w:val="24"/>
                      <w:lang w:val="en-US" w:eastAsia="zh-CN" w:bidi="ar-SA"/>
                    </w:rPr>
                  </w:pPr>
                  <w:r>
                    <w:rPr>
                      <w:rFonts w:hint="eastAsia"/>
                    </w:rPr>
                    <w:t>不燃</w:t>
                  </w:r>
                </w:p>
              </w:tc>
              <w:tc>
                <w:tcPr>
                  <w:tcW w:w="941" w:type="pct"/>
                  <w:shd w:val="clear" w:color="auto" w:fill="auto"/>
                  <w:vAlign w:val="center"/>
                </w:tcPr>
                <w:p w14:paraId="33130117">
                  <w:pPr>
                    <w:pStyle w:val="41"/>
                    <w:bidi w:val="0"/>
                    <w:rPr>
                      <w:rFonts w:hint="eastAsia" w:ascii="Times New Roman" w:hAnsi="Times New Roman" w:eastAsia="宋体" w:cs="Times New Roman"/>
                      <w:kern w:val="0"/>
                      <w:sz w:val="21"/>
                      <w:szCs w:val="24"/>
                      <w:lang w:val="en-US" w:eastAsia="zh-CN" w:bidi="ar-SA"/>
                    </w:rPr>
                  </w:pPr>
                  <w:r>
                    <w:rPr>
                      <w:rFonts w:hint="eastAsia"/>
                    </w:rPr>
                    <w:t>无资料</w:t>
                  </w:r>
                </w:p>
              </w:tc>
            </w:tr>
            <w:tr w14:paraId="30623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2636A399">
                  <w:pPr>
                    <w:pStyle w:val="41"/>
                    <w:bidi w:val="0"/>
                    <w:jc w:val="center"/>
                    <w:rPr>
                      <w:rFonts w:hint="eastAsia" w:ascii="Times New Roman" w:hAnsi="Times New Roman" w:eastAsia="宋体" w:cs="Times New Roman"/>
                      <w:kern w:val="0"/>
                      <w:sz w:val="21"/>
                      <w:szCs w:val="24"/>
                      <w:lang w:val="en-US" w:eastAsia="zh-CN" w:bidi="ar-SA"/>
                    </w:rPr>
                  </w:pPr>
                  <w:r>
                    <w:rPr>
                      <w:rFonts w:hint="default"/>
                      <w:lang w:val="en-US" w:eastAsia="zh-CN"/>
                    </w:rPr>
                    <w:t>乙酸乙酯</w:t>
                  </w:r>
                </w:p>
              </w:tc>
              <w:tc>
                <w:tcPr>
                  <w:tcW w:w="1196" w:type="dxa"/>
                  <w:shd w:val="clear" w:color="auto" w:fill="auto"/>
                  <w:vAlign w:val="center"/>
                </w:tcPr>
                <w:p w14:paraId="338C139A">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141-78-6</w:t>
                  </w:r>
                </w:p>
              </w:tc>
              <w:tc>
                <w:tcPr>
                  <w:tcW w:w="2211" w:type="pct"/>
                  <w:shd w:val="clear" w:color="auto" w:fill="auto"/>
                  <w:vAlign w:val="center"/>
                </w:tcPr>
                <w:p w14:paraId="697D618F">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C</w:t>
                  </w:r>
                  <w:r>
                    <w:rPr>
                      <w:rFonts w:hint="eastAsia"/>
                      <w:color w:val="auto"/>
                      <w:highlight w:val="none"/>
                      <w:vertAlign w:val="subscript"/>
                    </w:rPr>
                    <w:t>4</w:t>
                  </w:r>
                  <w:r>
                    <w:rPr>
                      <w:rFonts w:hint="eastAsia"/>
                      <w:color w:val="auto"/>
                      <w:highlight w:val="none"/>
                    </w:rPr>
                    <w:t>H</w:t>
                  </w:r>
                  <w:r>
                    <w:rPr>
                      <w:rFonts w:hint="eastAsia"/>
                      <w:color w:val="auto"/>
                      <w:highlight w:val="none"/>
                      <w:vertAlign w:val="subscript"/>
                    </w:rPr>
                    <w:t>8</w:t>
                  </w:r>
                  <w:r>
                    <w:rPr>
                      <w:rFonts w:hint="eastAsia"/>
                      <w:color w:val="auto"/>
                      <w:highlight w:val="none"/>
                    </w:rPr>
                    <w:t>O</w:t>
                  </w:r>
                  <w:r>
                    <w:rPr>
                      <w:rFonts w:hint="eastAsia"/>
                      <w:color w:val="auto"/>
                      <w:highlight w:val="none"/>
                      <w:vertAlign w:val="subscript"/>
                    </w:rPr>
                    <w:t>2</w:t>
                  </w:r>
                  <w:r>
                    <w:rPr>
                      <w:rFonts w:hint="eastAsia"/>
                      <w:color w:val="auto"/>
                      <w:highlight w:val="none"/>
                      <w:lang w:eastAsia="zh-CN"/>
                    </w:rPr>
                    <w:t>，</w:t>
                  </w:r>
                  <w:r>
                    <w:rPr>
                      <w:rFonts w:hint="eastAsia"/>
                      <w:color w:val="auto"/>
                      <w:highlight w:val="none"/>
                    </w:rPr>
                    <w:t>密度：0.902g/cm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熔点：-84℃</w:t>
                  </w:r>
                  <w:r>
                    <w:rPr>
                      <w:rFonts w:hint="eastAsia"/>
                      <w:color w:val="auto"/>
                      <w:highlight w:val="none"/>
                      <w:lang w:eastAsia="zh-CN"/>
                    </w:rPr>
                    <w:t>，</w:t>
                  </w:r>
                  <w:r>
                    <w:rPr>
                      <w:rFonts w:hint="eastAsia"/>
                      <w:color w:val="auto"/>
                      <w:highlight w:val="none"/>
                    </w:rPr>
                    <w:t>沸点：76.6-77.5℃</w:t>
                  </w:r>
                  <w:r>
                    <w:rPr>
                      <w:rFonts w:hint="eastAsia"/>
                      <w:color w:val="auto"/>
                      <w:highlight w:val="none"/>
                      <w:lang w:eastAsia="zh-CN"/>
                    </w:rPr>
                    <w:t>，</w:t>
                  </w:r>
                  <w:r>
                    <w:rPr>
                      <w:rFonts w:hint="eastAsia"/>
                      <w:color w:val="auto"/>
                      <w:highlight w:val="none"/>
                    </w:rPr>
                    <w:t>闪点：-4℃</w:t>
                  </w:r>
                  <w:r>
                    <w:rPr>
                      <w:rFonts w:hint="eastAsia"/>
                      <w:color w:val="auto"/>
                      <w:highlight w:val="none"/>
                      <w:lang w:eastAsia="zh-CN"/>
                    </w:rPr>
                    <w:t>，</w:t>
                  </w:r>
                  <w:r>
                    <w:rPr>
                      <w:rFonts w:hint="eastAsia"/>
                      <w:color w:val="auto"/>
                      <w:highlight w:val="none"/>
                    </w:rPr>
                    <w:t>折射率：1.372（20℃）</w:t>
                  </w:r>
                  <w:r>
                    <w:rPr>
                      <w:rFonts w:hint="eastAsia"/>
                      <w:color w:val="auto"/>
                      <w:highlight w:val="none"/>
                      <w:lang w:eastAsia="zh-CN"/>
                    </w:rPr>
                    <w:t>，饱和蒸汽压</w:t>
                  </w:r>
                  <w:r>
                    <w:rPr>
                      <w:rFonts w:hint="eastAsia"/>
                      <w:color w:val="auto"/>
                      <w:highlight w:val="none"/>
                    </w:rPr>
                    <w:t>：10.1kPa（20℃）</w:t>
                  </w:r>
                  <w:r>
                    <w:rPr>
                      <w:rFonts w:hint="eastAsia"/>
                      <w:color w:val="auto"/>
                      <w:highlight w:val="none"/>
                      <w:lang w:eastAsia="zh-CN"/>
                    </w:rPr>
                    <w:t>，</w:t>
                  </w:r>
                  <w:r>
                    <w:rPr>
                      <w:rFonts w:hint="eastAsia"/>
                      <w:color w:val="auto"/>
                      <w:highlight w:val="none"/>
                    </w:rPr>
                    <w:t>临界温度：250.1℃</w:t>
                  </w:r>
                  <w:r>
                    <w:rPr>
                      <w:rFonts w:hint="eastAsia"/>
                      <w:color w:val="auto"/>
                      <w:highlight w:val="none"/>
                      <w:lang w:eastAsia="zh-CN"/>
                    </w:rPr>
                    <w:t>，</w:t>
                  </w:r>
                  <w:r>
                    <w:rPr>
                      <w:rFonts w:hint="eastAsia"/>
                      <w:color w:val="auto"/>
                      <w:highlight w:val="none"/>
                    </w:rPr>
                    <w:t>临界压力：3.83MPa</w:t>
                  </w:r>
                  <w:r>
                    <w:rPr>
                      <w:rFonts w:hint="eastAsia"/>
                      <w:color w:val="auto"/>
                      <w:highlight w:val="none"/>
                      <w:lang w:eastAsia="zh-CN"/>
                    </w:rPr>
                    <w:t>，</w:t>
                  </w:r>
                  <w:r>
                    <w:rPr>
                      <w:rFonts w:hint="eastAsia"/>
                      <w:color w:val="auto"/>
                      <w:highlight w:val="none"/>
                    </w:rPr>
                    <w:t>引燃温度：426.7℃</w:t>
                  </w:r>
                  <w:r>
                    <w:rPr>
                      <w:rFonts w:hint="eastAsia"/>
                      <w:color w:val="auto"/>
                      <w:highlight w:val="none"/>
                      <w:lang w:eastAsia="zh-CN"/>
                    </w:rPr>
                    <w:t>，</w:t>
                  </w:r>
                  <w:r>
                    <w:rPr>
                      <w:rFonts w:hint="eastAsia"/>
                      <w:color w:val="auto"/>
                      <w:highlight w:val="none"/>
                    </w:rPr>
                    <w:t>爆炸上限（V/V）：11.5%</w:t>
                  </w:r>
                  <w:r>
                    <w:rPr>
                      <w:rFonts w:hint="eastAsia"/>
                      <w:color w:val="auto"/>
                      <w:highlight w:val="none"/>
                      <w:lang w:eastAsia="zh-CN"/>
                    </w:rPr>
                    <w:t>，</w:t>
                  </w:r>
                  <w:r>
                    <w:rPr>
                      <w:rFonts w:hint="eastAsia"/>
                      <w:color w:val="auto"/>
                      <w:highlight w:val="none"/>
                    </w:rPr>
                    <w:t>外观：无色液体</w:t>
                  </w:r>
                  <w:r>
                    <w:rPr>
                      <w:rFonts w:hint="eastAsia"/>
                      <w:color w:val="auto"/>
                      <w:highlight w:val="none"/>
                      <w:lang w:eastAsia="zh-CN"/>
                    </w:rPr>
                    <w:t>，</w:t>
                  </w:r>
                  <w:r>
                    <w:rPr>
                      <w:rFonts w:hint="eastAsia"/>
                      <w:color w:val="auto"/>
                      <w:highlight w:val="none"/>
                    </w:rPr>
                    <w:t>溶解性：微溶于水，溶于乙醇、丙酮、乙醚、氯仿、苯等多数有机溶剂</w:t>
                  </w:r>
                  <w:r>
                    <w:rPr>
                      <w:rFonts w:hint="eastAsia"/>
                      <w:color w:val="auto"/>
                      <w:highlight w:val="none"/>
                      <w:lang w:eastAsia="zh-CN"/>
                    </w:rPr>
                    <w:t>。</w:t>
                  </w:r>
                </w:p>
              </w:tc>
              <w:tc>
                <w:tcPr>
                  <w:tcW w:w="573" w:type="pct"/>
                  <w:shd w:val="clear" w:color="auto" w:fill="auto"/>
                  <w:vAlign w:val="center"/>
                </w:tcPr>
                <w:p w14:paraId="7138E9FF">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易燃</w:t>
                  </w:r>
                </w:p>
              </w:tc>
              <w:tc>
                <w:tcPr>
                  <w:tcW w:w="941" w:type="pct"/>
                  <w:shd w:val="clear" w:color="auto" w:fill="auto"/>
                  <w:vAlign w:val="center"/>
                </w:tcPr>
                <w:p w14:paraId="031D7886">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LD</w:t>
                  </w:r>
                  <w:r>
                    <w:rPr>
                      <w:rFonts w:hint="eastAsia"/>
                      <w:color w:val="auto"/>
                      <w:highlight w:val="none"/>
                      <w:vertAlign w:val="baseline"/>
                    </w:rPr>
                    <w:t>50</w:t>
                  </w:r>
                  <w:r>
                    <w:rPr>
                      <w:rFonts w:hint="eastAsia"/>
                      <w:color w:val="auto"/>
                      <w:highlight w:val="none"/>
                      <w:lang w:eastAsia="zh-CN"/>
                    </w:rPr>
                    <w:t>：</w:t>
                  </w:r>
                  <w:r>
                    <w:rPr>
                      <w:rFonts w:hint="eastAsia"/>
                      <w:color w:val="auto"/>
                      <w:highlight w:val="none"/>
                    </w:rPr>
                    <w:t>5620mg/kg（大鼠经口）</w:t>
                  </w:r>
                </w:p>
              </w:tc>
            </w:tr>
            <w:tr w14:paraId="3E987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17FB2C04">
                  <w:pPr>
                    <w:pStyle w:val="41"/>
                    <w:bidi w:val="0"/>
                    <w:jc w:val="center"/>
                    <w:rPr>
                      <w:rFonts w:hint="eastAsia" w:ascii="Times New Roman" w:hAnsi="Times New Roman" w:eastAsia="宋体" w:cs="Times New Roman"/>
                      <w:kern w:val="0"/>
                      <w:sz w:val="21"/>
                      <w:szCs w:val="24"/>
                      <w:lang w:val="en-US" w:eastAsia="zh-CN" w:bidi="ar-SA"/>
                    </w:rPr>
                  </w:pPr>
                  <w:r>
                    <w:rPr>
                      <w:rFonts w:hint="default"/>
                      <w:lang w:val="en-US" w:eastAsia="zh-CN"/>
                    </w:rPr>
                    <w:t>甲醇</w:t>
                  </w:r>
                </w:p>
              </w:tc>
              <w:tc>
                <w:tcPr>
                  <w:tcW w:w="1196" w:type="dxa"/>
                  <w:shd w:val="clear" w:color="auto" w:fill="auto"/>
                  <w:vAlign w:val="center"/>
                </w:tcPr>
                <w:p w14:paraId="3A59346C">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67-56-1</w:t>
                  </w:r>
                </w:p>
              </w:tc>
              <w:tc>
                <w:tcPr>
                  <w:tcW w:w="2211" w:type="pct"/>
                  <w:shd w:val="clear" w:color="auto" w:fill="auto"/>
                  <w:vAlign w:val="center"/>
                </w:tcPr>
                <w:p w14:paraId="24E6D12B">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结构简式CH</w:t>
                  </w:r>
                  <w:r>
                    <w:rPr>
                      <w:rFonts w:hint="eastAsia"/>
                      <w:color w:val="auto"/>
                      <w:highlight w:val="none"/>
                      <w:vertAlign w:val="subscript"/>
                    </w:rPr>
                    <w:t>3</w:t>
                  </w:r>
                  <w:r>
                    <w:rPr>
                      <w:rFonts w:hint="eastAsia"/>
                      <w:color w:val="auto"/>
                      <w:highlight w:val="none"/>
                    </w:rPr>
                    <w:t>OH</w:t>
                  </w:r>
                  <w:r>
                    <w:rPr>
                      <w:rFonts w:hint="eastAsia"/>
                      <w:color w:val="auto"/>
                      <w:highlight w:val="none"/>
                      <w:lang w:eastAsia="zh-CN"/>
                    </w:rPr>
                    <w:t>，</w:t>
                  </w:r>
                  <w:r>
                    <w:rPr>
                      <w:rFonts w:hint="eastAsia"/>
                      <w:color w:val="auto"/>
                      <w:highlight w:val="none"/>
                    </w:rPr>
                    <w:t>分子式CH</w:t>
                  </w:r>
                  <w:r>
                    <w:rPr>
                      <w:rFonts w:hint="eastAsia"/>
                      <w:color w:val="auto"/>
                      <w:highlight w:val="none"/>
                      <w:vertAlign w:val="subscript"/>
                    </w:rPr>
                    <w:t>4</w:t>
                  </w:r>
                  <w:r>
                    <w:rPr>
                      <w:rFonts w:hint="eastAsia"/>
                      <w:color w:val="auto"/>
                      <w:highlight w:val="none"/>
                    </w:rPr>
                    <w:t>O</w:t>
                  </w:r>
                  <w:r>
                    <w:rPr>
                      <w:rFonts w:hint="eastAsia"/>
                      <w:color w:val="auto"/>
                      <w:highlight w:val="none"/>
                      <w:lang w:val="en-US" w:eastAsia="zh-CN"/>
                    </w:rPr>
                    <w:t>，无色液体，熔点-97.8℃，沸点64.7℃，密度0.791g/cm</w:t>
                  </w:r>
                  <w:r>
                    <w:rPr>
                      <w:rFonts w:hint="eastAsia"/>
                      <w:color w:val="auto"/>
                      <w:highlight w:val="none"/>
                      <w:vertAlign w:val="superscript"/>
                      <w:lang w:val="en-US" w:eastAsia="zh-CN"/>
                    </w:rPr>
                    <w:t>3</w:t>
                  </w:r>
                  <w:r>
                    <w:rPr>
                      <w:rFonts w:hint="eastAsia"/>
                      <w:color w:val="auto"/>
                      <w:highlight w:val="none"/>
                      <w:lang w:val="en-US" w:eastAsia="zh-CN"/>
                    </w:rPr>
                    <w:t>，闪点11.1℃，溶解性：</w:t>
                  </w:r>
                  <w:r>
                    <w:rPr>
                      <w:rFonts w:hint="eastAsia"/>
                      <w:color w:val="auto"/>
                      <w:highlight w:val="none"/>
                      <w:lang w:eastAsia="zh-CN"/>
                    </w:rPr>
                    <w:t>溶于水，可混溶于醇类、乙醚等多数有机溶剂。</w:t>
                  </w:r>
                </w:p>
              </w:tc>
              <w:tc>
                <w:tcPr>
                  <w:tcW w:w="573" w:type="pct"/>
                  <w:shd w:val="clear" w:color="auto" w:fill="auto"/>
                  <w:vAlign w:val="center"/>
                </w:tcPr>
                <w:p w14:paraId="212CFACF">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易燃</w:t>
                  </w:r>
                </w:p>
              </w:tc>
              <w:tc>
                <w:tcPr>
                  <w:tcW w:w="941" w:type="pct"/>
                  <w:shd w:val="clear" w:color="auto" w:fill="auto"/>
                  <w:vAlign w:val="center"/>
                </w:tcPr>
                <w:p w14:paraId="0A2388AC">
                  <w:pPr>
                    <w:pStyle w:val="41"/>
                    <w:bidi w:val="0"/>
                    <w:rPr>
                      <w:rFonts w:hint="eastAsia"/>
                      <w:color w:val="auto"/>
                      <w:highlight w:val="none"/>
                    </w:rPr>
                  </w:pPr>
                  <w:r>
                    <w:rPr>
                      <w:rFonts w:hint="eastAsia"/>
                      <w:color w:val="auto"/>
                      <w:highlight w:val="none"/>
                    </w:rPr>
                    <w:t>LD</w:t>
                  </w:r>
                  <w:r>
                    <w:rPr>
                      <w:rFonts w:hint="eastAsia"/>
                      <w:color w:val="auto"/>
                      <w:highlight w:val="none"/>
                      <w:vertAlign w:val="baseline"/>
                    </w:rPr>
                    <w:t>50</w:t>
                  </w:r>
                  <w:r>
                    <w:rPr>
                      <w:rFonts w:hint="eastAsia"/>
                      <w:color w:val="auto"/>
                      <w:highlight w:val="none"/>
                    </w:rPr>
                    <w:t>：7300mg/kg（小鼠经口）；</w:t>
                  </w:r>
                </w:p>
                <w:p w14:paraId="611D17A9">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LC</w:t>
                  </w:r>
                  <w:r>
                    <w:rPr>
                      <w:rFonts w:hint="eastAsia"/>
                      <w:color w:val="auto"/>
                      <w:highlight w:val="none"/>
                      <w:vertAlign w:val="baseline"/>
                    </w:rPr>
                    <w:t>50</w:t>
                  </w:r>
                  <w:r>
                    <w:rPr>
                      <w:rFonts w:hint="eastAsia"/>
                      <w:color w:val="auto"/>
                      <w:highlight w:val="none"/>
                    </w:rPr>
                    <w:t>：64000ppm（大鼠吸入，4h）</w:t>
                  </w:r>
                </w:p>
              </w:tc>
            </w:tr>
            <w:tr w14:paraId="26036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1F99C58D">
                  <w:pPr>
                    <w:pStyle w:val="41"/>
                    <w:bidi w:val="0"/>
                    <w:jc w:val="center"/>
                    <w:rPr>
                      <w:rFonts w:hint="eastAsia" w:ascii="Times New Roman" w:hAnsi="Times New Roman" w:eastAsia="宋体" w:cs="Times New Roman"/>
                      <w:kern w:val="0"/>
                      <w:sz w:val="21"/>
                      <w:szCs w:val="24"/>
                      <w:lang w:val="en-US" w:eastAsia="zh-CN" w:bidi="ar-SA"/>
                    </w:rPr>
                  </w:pPr>
                  <w:r>
                    <w:rPr>
                      <w:rFonts w:hint="default"/>
                      <w:lang w:val="en-US" w:eastAsia="zh-CN"/>
                    </w:rPr>
                    <w:t>二氯甲烷</w:t>
                  </w:r>
                </w:p>
              </w:tc>
              <w:tc>
                <w:tcPr>
                  <w:tcW w:w="1196" w:type="dxa"/>
                  <w:vAlign w:val="center"/>
                </w:tcPr>
                <w:p w14:paraId="530D361D">
                  <w:pPr>
                    <w:pStyle w:val="41"/>
                    <w:bidi w:val="0"/>
                    <w:jc w:val="center"/>
                    <w:rPr>
                      <w:rFonts w:hint="eastAsia"/>
                    </w:rPr>
                  </w:pPr>
                  <w:r>
                    <w:rPr>
                      <w:rFonts w:hint="eastAsia"/>
                    </w:rPr>
                    <w:t>75-09-2</w:t>
                  </w:r>
                </w:p>
              </w:tc>
              <w:tc>
                <w:tcPr>
                  <w:tcW w:w="2211" w:type="pct"/>
                  <w:shd w:val="clear" w:color="auto" w:fill="auto"/>
                  <w:vAlign w:val="center"/>
                </w:tcPr>
                <w:p w14:paraId="6957FD0B">
                  <w:pPr>
                    <w:pStyle w:val="41"/>
                    <w:bidi w:val="0"/>
                    <w:jc w:val="center"/>
                    <w:rPr>
                      <w:rFonts w:hint="eastAsia" w:ascii="Times New Roman" w:hAnsi="Times New Roman" w:eastAsia="宋体" w:cs="Times New Roman"/>
                      <w:kern w:val="0"/>
                      <w:sz w:val="21"/>
                      <w:szCs w:val="24"/>
                      <w:lang w:val="en-US" w:eastAsia="zh-CN" w:bidi="ar-SA"/>
                    </w:rPr>
                  </w:pPr>
                  <w:r>
                    <w:rPr>
                      <w:rFonts w:hint="eastAsia"/>
                    </w:rPr>
                    <w:t>CH</w:t>
                  </w:r>
                  <w:r>
                    <w:rPr>
                      <w:rFonts w:hint="eastAsia"/>
                      <w:vertAlign w:val="subscript"/>
                    </w:rPr>
                    <w:t>2</w:t>
                  </w:r>
                  <w:r>
                    <w:rPr>
                      <w:rFonts w:hint="eastAsia"/>
                    </w:rPr>
                    <w:t>Cl</w:t>
                  </w:r>
                  <w:r>
                    <w:rPr>
                      <w:rFonts w:hint="eastAsia"/>
                      <w:vertAlign w:val="subscript"/>
                    </w:rPr>
                    <w:t>2</w:t>
                  </w:r>
                  <w:r>
                    <w:rPr>
                      <w:rFonts w:hint="eastAsia"/>
                      <w:lang w:eastAsia="zh-CN"/>
                    </w:rPr>
                    <w:t>，</w:t>
                  </w:r>
                  <w:r>
                    <w:rPr>
                      <w:rFonts w:hint="eastAsia"/>
                    </w:rPr>
                    <w:t>无色透明液体，有芳香气味，熔点-96.7</w:t>
                  </w:r>
                  <w:r>
                    <w:t>℃</w:t>
                  </w:r>
                  <w:r>
                    <w:rPr>
                      <w:rFonts w:hint="eastAsia"/>
                    </w:rPr>
                    <w:t>、沸点39.8</w:t>
                  </w:r>
                  <w:r>
                    <w:t>℃</w:t>
                  </w:r>
                  <w:r>
                    <w:rPr>
                      <w:rFonts w:hint="eastAsia"/>
                    </w:rPr>
                    <w:t>，相对密度1.33</w:t>
                  </w:r>
                  <w:r>
                    <w:rPr>
                      <w:rFonts w:hint="eastAsia"/>
                      <w:color w:val="auto"/>
                      <w:highlight w:val="none"/>
                      <w:lang w:val="en-US" w:eastAsia="zh-CN"/>
                    </w:rPr>
                    <w:t>g/cm</w:t>
                  </w:r>
                  <w:r>
                    <w:rPr>
                      <w:rFonts w:hint="eastAsia"/>
                      <w:color w:val="auto"/>
                      <w:highlight w:val="none"/>
                      <w:vertAlign w:val="superscript"/>
                      <w:lang w:val="en-US" w:eastAsia="zh-CN"/>
                    </w:rPr>
                    <w:t>3</w:t>
                  </w:r>
                  <w:r>
                    <w:rPr>
                      <w:rFonts w:hint="eastAsia"/>
                    </w:rPr>
                    <w:t>（水=1），微溶于水，溶于乙醇、乙醚。</w:t>
                  </w:r>
                </w:p>
              </w:tc>
              <w:tc>
                <w:tcPr>
                  <w:tcW w:w="573" w:type="pct"/>
                  <w:shd w:val="clear" w:color="auto" w:fill="auto"/>
                  <w:vAlign w:val="center"/>
                </w:tcPr>
                <w:p w14:paraId="7BE61C39">
                  <w:pPr>
                    <w:pStyle w:val="41"/>
                    <w:bidi w:val="0"/>
                    <w:jc w:val="center"/>
                    <w:rPr>
                      <w:rFonts w:hint="eastAsia" w:ascii="Times New Roman" w:hAnsi="Times New Roman" w:eastAsia="宋体" w:cs="Times New Roman"/>
                      <w:kern w:val="0"/>
                      <w:sz w:val="21"/>
                      <w:szCs w:val="24"/>
                      <w:lang w:val="en-US" w:eastAsia="zh-CN" w:bidi="ar-SA"/>
                    </w:rPr>
                  </w:pPr>
                  <w:r>
                    <w:rPr>
                      <w:rFonts w:hint="eastAsia"/>
                    </w:rPr>
                    <w:t>可燃</w:t>
                  </w:r>
                </w:p>
              </w:tc>
              <w:tc>
                <w:tcPr>
                  <w:tcW w:w="941" w:type="pct"/>
                  <w:shd w:val="clear" w:color="auto" w:fill="auto"/>
                  <w:vAlign w:val="center"/>
                </w:tcPr>
                <w:p w14:paraId="7AB19023">
                  <w:pPr>
                    <w:pStyle w:val="41"/>
                    <w:bidi w:val="0"/>
                    <w:jc w:val="center"/>
                    <w:rPr>
                      <w:rFonts w:hint="eastAsia" w:ascii="Times New Roman" w:hAnsi="Times New Roman" w:eastAsia="宋体" w:cs="Times New Roman"/>
                      <w:kern w:val="0"/>
                      <w:sz w:val="21"/>
                      <w:szCs w:val="24"/>
                      <w:lang w:val="en-US" w:eastAsia="zh-CN" w:bidi="ar-SA"/>
                    </w:rPr>
                  </w:pPr>
                  <w:r>
                    <w:t>LD50</w:t>
                  </w:r>
                  <w:r>
                    <w:rPr>
                      <w:rFonts w:hint="eastAsia"/>
                      <w:lang w:eastAsia="zh-CN"/>
                    </w:rPr>
                    <w:t>：</w:t>
                  </w:r>
                  <w:r>
                    <w:rPr>
                      <w:rFonts w:hint="eastAsia"/>
                    </w:rPr>
                    <w:t>1600-2000</w:t>
                  </w:r>
                  <w:r>
                    <w:t>mg/kg</w:t>
                  </w:r>
                  <w:r>
                    <w:rPr>
                      <w:rFonts w:hint="eastAsia"/>
                      <w:lang w:eastAsia="zh-CN"/>
                    </w:rPr>
                    <w:t>（</w:t>
                  </w:r>
                  <w:r>
                    <w:rPr>
                      <w:rFonts w:hint="eastAsia"/>
                    </w:rPr>
                    <w:t>大鼠经口</w:t>
                  </w:r>
                  <w:r>
                    <w:rPr>
                      <w:rFonts w:hint="eastAsia"/>
                      <w:lang w:eastAsia="zh-CN"/>
                    </w:rPr>
                    <w:t>）</w:t>
                  </w:r>
                </w:p>
              </w:tc>
            </w:tr>
            <w:tr w14:paraId="58A13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19787403">
                  <w:pPr>
                    <w:pStyle w:val="41"/>
                    <w:bidi w:val="0"/>
                    <w:jc w:val="center"/>
                    <w:rPr>
                      <w:rFonts w:hint="default" w:ascii="Times New Roman" w:hAnsi="Times New Roman" w:eastAsia="宋体" w:cs="Times New Roman"/>
                      <w:kern w:val="0"/>
                      <w:sz w:val="21"/>
                      <w:szCs w:val="24"/>
                      <w:lang w:val="en-US" w:eastAsia="zh-CN" w:bidi="ar-SA"/>
                    </w:rPr>
                  </w:pPr>
                  <w:r>
                    <w:rPr>
                      <w:rFonts w:hint="default"/>
                      <w:lang w:val="en-US" w:eastAsia="zh-CN"/>
                    </w:rPr>
                    <w:t>卡波姆</w:t>
                  </w:r>
                </w:p>
              </w:tc>
              <w:tc>
                <w:tcPr>
                  <w:tcW w:w="1196" w:type="dxa"/>
                  <w:vAlign w:val="center"/>
                </w:tcPr>
                <w:p w14:paraId="0A3F0DF9">
                  <w:pPr>
                    <w:pStyle w:val="41"/>
                    <w:bidi w:val="0"/>
                    <w:jc w:val="center"/>
                    <w:rPr>
                      <w:rFonts w:hint="eastAsia"/>
                    </w:rPr>
                  </w:pPr>
                  <w:r>
                    <w:rPr>
                      <w:rFonts w:hint="eastAsia"/>
                    </w:rPr>
                    <w:t>9007-20-9</w:t>
                  </w:r>
                </w:p>
              </w:tc>
              <w:tc>
                <w:tcPr>
                  <w:tcW w:w="2211" w:type="pct"/>
                  <w:shd w:val="clear" w:color="auto" w:fill="auto"/>
                  <w:vAlign w:val="center"/>
                </w:tcPr>
                <w:p w14:paraId="657434B3">
                  <w:pPr>
                    <w:pStyle w:val="41"/>
                    <w:bidi w:val="0"/>
                    <w:jc w:val="center"/>
                    <w:rPr>
                      <w:rFonts w:hint="eastAsia" w:eastAsia="宋体"/>
                      <w:lang w:eastAsia="zh-CN"/>
                    </w:rPr>
                  </w:pPr>
                  <w:r>
                    <w:rPr>
                      <w:rFonts w:hint="eastAsia"/>
                    </w:rPr>
                    <w:t>C</w:t>
                  </w:r>
                  <w:r>
                    <w:rPr>
                      <w:rFonts w:hint="eastAsia"/>
                      <w:vertAlign w:val="subscript"/>
                    </w:rPr>
                    <w:t>3</w:t>
                  </w:r>
                  <w:r>
                    <w:rPr>
                      <w:rFonts w:hint="eastAsia"/>
                    </w:rPr>
                    <w:t>H</w:t>
                  </w:r>
                  <w:r>
                    <w:rPr>
                      <w:rFonts w:hint="eastAsia"/>
                      <w:vertAlign w:val="subscript"/>
                    </w:rPr>
                    <w:t>4</w:t>
                  </w:r>
                  <w:r>
                    <w:rPr>
                      <w:rFonts w:hint="eastAsia"/>
                    </w:rPr>
                    <w:t>O</w:t>
                  </w:r>
                  <w:r>
                    <w:rPr>
                      <w:rFonts w:hint="eastAsia"/>
                      <w:vertAlign w:val="subscript"/>
                    </w:rPr>
                    <w:t>2</w:t>
                  </w:r>
                  <w:r>
                    <w:rPr>
                      <w:rFonts w:hint="eastAsia"/>
                      <w:lang w:eastAsia="zh-CN"/>
                    </w:rPr>
                    <w:t>，</w:t>
                  </w:r>
                  <w:r>
                    <w:rPr>
                      <w:rFonts w:hint="eastAsia"/>
                    </w:rPr>
                    <w:t>白色疏松状粉末</w:t>
                  </w:r>
                  <w:r>
                    <w:rPr>
                      <w:rFonts w:hint="eastAsia"/>
                      <w:lang w:eastAsia="zh-CN"/>
                    </w:rPr>
                    <w:t>，</w:t>
                  </w:r>
                  <w:r>
                    <w:rPr>
                      <w:rFonts w:hint="eastAsia"/>
                    </w:rPr>
                    <w:t>有特征性微臭</w:t>
                  </w:r>
                  <w:r>
                    <w:rPr>
                      <w:rFonts w:hint="eastAsia"/>
                      <w:lang w:eastAsia="zh-CN"/>
                    </w:rPr>
                    <w:t>，</w:t>
                  </w:r>
                  <w:r>
                    <w:rPr>
                      <w:rFonts w:hint="eastAsia"/>
                    </w:rPr>
                    <w:t>有引湿性</w:t>
                  </w:r>
                  <w:r>
                    <w:rPr>
                      <w:rFonts w:hint="eastAsia"/>
                      <w:lang w:eastAsia="zh-CN"/>
                    </w:rPr>
                    <w:t>，熔点12.5ºC，沸点141ºC，闪点61.6ºC，密度1.063g/cm</w:t>
                  </w:r>
                  <w:r>
                    <w:rPr>
                      <w:rFonts w:hint="eastAsia"/>
                      <w:vertAlign w:val="superscript"/>
                      <w:lang w:eastAsia="zh-CN"/>
                    </w:rPr>
                    <w:t>3</w:t>
                  </w:r>
                  <w:r>
                    <w:rPr>
                      <w:rFonts w:hint="eastAsia"/>
                      <w:lang w:eastAsia="zh-CN"/>
                    </w:rPr>
                    <w:t>，</w:t>
                  </w:r>
                  <w:r>
                    <w:rPr>
                      <w:rFonts w:hint="eastAsia"/>
                      <w:lang w:val="en-US" w:eastAsia="zh-CN"/>
                    </w:rPr>
                    <w:t>易溶于水。</w:t>
                  </w:r>
                </w:p>
              </w:tc>
              <w:tc>
                <w:tcPr>
                  <w:tcW w:w="573" w:type="pct"/>
                  <w:shd w:val="clear" w:color="auto" w:fill="auto"/>
                  <w:vAlign w:val="center"/>
                </w:tcPr>
                <w:p w14:paraId="51E071F6">
                  <w:pPr>
                    <w:pStyle w:val="41"/>
                    <w:bidi w:val="0"/>
                    <w:jc w:val="center"/>
                    <w:rPr>
                      <w:rFonts w:hint="eastAsia" w:eastAsia="宋体"/>
                      <w:lang w:val="en-US" w:eastAsia="zh-CN"/>
                    </w:rPr>
                  </w:pPr>
                  <w:r>
                    <w:rPr>
                      <w:rFonts w:hint="eastAsia"/>
                      <w:lang w:val="en-US" w:eastAsia="zh-CN"/>
                    </w:rPr>
                    <w:t>可燃</w:t>
                  </w:r>
                </w:p>
              </w:tc>
              <w:tc>
                <w:tcPr>
                  <w:tcW w:w="941" w:type="pct"/>
                  <w:shd w:val="clear" w:color="auto" w:fill="auto"/>
                  <w:vAlign w:val="center"/>
                </w:tcPr>
                <w:p w14:paraId="2574EB5A">
                  <w:pPr>
                    <w:pStyle w:val="41"/>
                    <w:bidi w:val="0"/>
                    <w:jc w:val="center"/>
                  </w:pPr>
                  <w:r>
                    <w:rPr>
                      <w:rFonts w:hint="eastAsia"/>
                    </w:rPr>
                    <w:t>急性口服：LD50鼠&gt;2</w:t>
                  </w:r>
                  <w:r>
                    <w:rPr>
                      <w:rFonts w:hint="eastAsia"/>
                      <w:lang w:val="en-US" w:eastAsia="zh-CN"/>
                    </w:rPr>
                    <w:t>.</w:t>
                  </w:r>
                  <w:r>
                    <w:rPr>
                      <w:rFonts w:hint="eastAsia"/>
                    </w:rPr>
                    <w:t>5g/kg</w:t>
                  </w:r>
                </w:p>
              </w:tc>
            </w:tr>
            <w:tr w14:paraId="281F8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998" w:type="dxa"/>
                  <w:shd w:val="clear" w:color="auto" w:fill="auto"/>
                  <w:vAlign w:val="center"/>
                </w:tcPr>
                <w:p w14:paraId="5A45ED01">
                  <w:pPr>
                    <w:pStyle w:val="41"/>
                    <w:bidi w:val="0"/>
                    <w:jc w:val="center"/>
                    <w:rPr>
                      <w:rFonts w:hint="default" w:ascii="Times New Roman" w:hAnsi="Times New Roman" w:eastAsia="宋体" w:cs="Times New Roman"/>
                      <w:kern w:val="0"/>
                      <w:sz w:val="21"/>
                      <w:szCs w:val="24"/>
                      <w:lang w:val="en-US" w:eastAsia="zh-CN" w:bidi="ar-SA"/>
                    </w:rPr>
                  </w:pPr>
                  <w:r>
                    <w:rPr>
                      <w:rFonts w:hint="default"/>
                      <w:lang w:val="en-US" w:eastAsia="zh-CN"/>
                    </w:rPr>
                    <w:t>甘油</w:t>
                  </w:r>
                </w:p>
              </w:tc>
              <w:tc>
                <w:tcPr>
                  <w:tcW w:w="1196" w:type="dxa"/>
                  <w:vAlign w:val="center"/>
                </w:tcPr>
                <w:p w14:paraId="71822605">
                  <w:pPr>
                    <w:pStyle w:val="41"/>
                    <w:bidi w:val="0"/>
                    <w:jc w:val="center"/>
                    <w:rPr>
                      <w:rFonts w:hint="eastAsia"/>
                    </w:rPr>
                  </w:pPr>
                  <w:r>
                    <w:rPr>
                      <w:rFonts w:hint="eastAsia"/>
                    </w:rPr>
                    <w:t>56-81-5</w:t>
                  </w:r>
                </w:p>
              </w:tc>
              <w:tc>
                <w:tcPr>
                  <w:tcW w:w="2211" w:type="pct"/>
                  <w:shd w:val="clear" w:color="auto" w:fill="auto"/>
                  <w:vAlign w:val="center"/>
                </w:tcPr>
                <w:p w14:paraId="6B8EA249">
                  <w:pPr>
                    <w:pStyle w:val="41"/>
                    <w:bidi w:val="0"/>
                    <w:jc w:val="center"/>
                    <w:rPr>
                      <w:rFonts w:hint="eastAsia" w:ascii="Times New Roman" w:hAnsi="Times New Roman" w:eastAsia="宋体" w:cs="Times New Roman"/>
                      <w:kern w:val="0"/>
                      <w:sz w:val="21"/>
                      <w:szCs w:val="24"/>
                      <w:lang w:val="en-US" w:eastAsia="zh-CN" w:bidi="ar-SA"/>
                    </w:rPr>
                  </w:pPr>
                  <w:r>
                    <w:rPr>
                      <w:rFonts w:hint="eastAsia"/>
                    </w:rPr>
                    <w:t>C</w:t>
                  </w:r>
                  <w:r>
                    <w:rPr>
                      <w:rFonts w:hint="eastAsia"/>
                      <w:vertAlign w:val="subscript"/>
                    </w:rPr>
                    <w:t>3</w:t>
                  </w:r>
                  <w:r>
                    <w:rPr>
                      <w:rFonts w:hint="eastAsia"/>
                    </w:rPr>
                    <w:t>H</w:t>
                  </w:r>
                  <w:r>
                    <w:rPr>
                      <w:rFonts w:hint="eastAsia"/>
                      <w:vertAlign w:val="subscript"/>
                    </w:rPr>
                    <w:t>8</w:t>
                  </w:r>
                  <w:r>
                    <w:rPr>
                      <w:rFonts w:hint="eastAsia"/>
                    </w:rPr>
                    <w:t>O</w:t>
                  </w:r>
                  <w:r>
                    <w:rPr>
                      <w:rFonts w:hint="eastAsia"/>
                      <w:vertAlign w:val="subscript"/>
                    </w:rPr>
                    <w:t>3</w:t>
                  </w:r>
                  <w:r>
                    <w:rPr>
                      <w:rFonts w:hint="eastAsia"/>
                      <w:lang w:eastAsia="zh-CN"/>
                    </w:rPr>
                    <w:t>，</w:t>
                  </w:r>
                  <w:r>
                    <w:t>又名丙三醇，无色粘稠液体，无气味，有暖甜味，能吸潮。熔点18.18℃</w:t>
                  </w:r>
                  <w:r>
                    <w:rPr>
                      <w:rFonts w:hint="eastAsia"/>
                      <w:lang w:eastAsia="zh-CN"/>
                    </w:rPr>
                    <w:t>，</w:t>
                  </w:r>
                  <w:r>
                    <w:t>沸点290.9℃</w:t>
                  </w:r>
                  <w:r>
                    <w:rPr>
                      <w:rFonts w:hint="eastAsia"/>
                      <w:lang w:eastAsia="zh-CN"/>
                    </w:rPr>
                    <w:t>，</w:t>
                  </w:r>
                  <w:r>
                    <w:t>可溶于乙醇，与水混溶，不溶于氯仿、醚、二硫化碳、苯，油类，可溶解某些无机物。</w:t>
                  </w:r>
                </w:p>
              </w:tc>
              <w:tc>
                <w:tcPr>
                  <w:tcW w:w="573" w:type="pct"/>
                  <w:shd w:val="clear" w:color="auto" w:fill="auto"/>
                  <w:vAlign w:val="center"/>
                </w:tcPr>
                <w:p w14:paraId="0F383DDE">
                  <w:pPr>
                    <w:pStyle w:val="41"/>
                    <w:bidi w:val="0"/>
                    <w:jc w:val="center"/>
                    <w:rPr>
                      <w:rFonts w:hint="eastAsia" w:ascii="Times New Roman" w:hAnsi="Times New Roman" w:eastAsia="宋体" w:cs="Times New Roman"/>
                      <w:kern w:val="0"/>
                      <w:sz w:val="21"/>
                      <w:szCs w:val="24"/>
                      <w:lang w:val="en-US" w:eastAsia="zh-CN" w:bidi="ar-SA"/>
                    </w:rPr>
                  </w:pPr>
                  <w:r>
                    <w:t>可燃</w:t>
                  </w:r>
                </w:p>
              </w:tc>
              <w:tc>
                <w:tcPr>
                  <w:tcW w:w="941" w:type="pct"/>
                  <w:shd w:val="clear" w:color="auto" w:fill="auto"/>
                  <w:vAlign w:val="center"/>
                </w:tcPr>
                <w:p w14:paraId="608157A2">
                  <w:pPr>
                    <w:pStyle w:val="41"/>
                    <w:bidi w:val="0"/>
                    <w:jc w:val="center"/>
                    <w:rPr>
                      <w:rFonts w:ascii="Times New Roman" w:hAnsi="Times New Roman" w:eastAsia="宋体" w:cs="Times New Roman"/>
                      <w:kern w:val="0"/>
                      <w:sz w:val="21"/>
                      <w:szCs w:val="24"/>
                      <w:lang w:val="en-US" w:eastAsia="zh-CN" w:bidi="ar-SA"/>
                    </w:rPr>
                  </w:pPr>
                  <w:r>
                    <w:rPr>
                      <w:rFonts w:hint="eastAsia"/>
                    </w:rPr>
                    <w:t>无资料</w:t>
                  </w:r>
                </w:p>
              </w:tc>
            </w:tr>
            <w:tr w14:paraId="35C8A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4C9F5DC5">
                  <w:pPr>
                    <w:pStyle w:val="41"/>
                    <w:bidi w:val="0"/>
                    <w:jc w:val="center"/>
                    <w:rPr>
                      <w:rFonts w:hint="default" w:ascii="Times New Roman" w:hAnsi="Times New Roman" w:eastAsia="宋体" w:cs="Times New Roman"/>
                      <w:kern w:val="0"/>
                      <w:sz w:val="21"/>
                      <w:szCs w:val="24"/>
                      <w:lang w:val="en-US" w:eastAsia="zh-CN" w:bidi="ar-SA"/>
                    </w:rPr>
                  </w:pPr>
                  <w:r>
                    <w:rPr>
                      <w:rFonts w:hint="default"/>
                      <w:lang w:val="en-US" w:eastAsia="zh-CN"/>
                    </w:rPr>
                    <w:t>尼泊金乙酯</w:t>
                  </w:r>
                </w:p>
              </w:tc>
              <w:tc>
                <w:tcPr>
                  <w:tcW w:w="1196" w:type="dxa"/>
                  <w:vAlign w:val="center"/>
                </w:tcPr>
                <w:p w14:paraId="7DA92868">
                  <w:pPr>
                    <w:pStyle w:val="41"/>
                    <w:bidi w:val="0"/>
                    <w:jc w:val="center"/>
                    <w:rPr>
                      <w:rFonts w:hint="eastAsia"/>
                    </w:rPr>
                  </w:pPr>
                  <w:r>
                    <w:rPr>
                      <w:rFonts w:hint="eastAsia"/>
                    </w:rPr>
                    <w:t>120-47-8</w:t>
                  </w:r>
                </w:p>
              </w:tc>
              <w:tc>
                <w:tcPr>
                  <w:tcW w:w="2211" w:type="pct"/>
                  <w:vAlign w:val="center"/>
                </w:tcPr>
                <w:p w14:paraId="623CEC17">
                  <w:pPr>
                    <w:pStyle w:val="41"/>
                    <w:bidi w:val="0"/>
                    <w:jc w:val="center"/>
                    <w:rPr>
                      <w:rFonts w:hint="default" w:eastAsia="宋体"/>
                      <w:lang w:val="en-US" w:eastAsia="zh-CN"/>
                    </w:rPr>
                  </w:pPr>
                  <w:r>
                    <w:rPr>
                      <w:rFonts w:hint="eastAsia"/>
                    </w:rPr>
                    <w:t>C</w:t>
                  </w:r>
                  <w:r>
                    <w:rPr>
                      <w:rFonts w:hint="eastAsia"/>
                      <w:vertAlign w:val="subscript"/>
                    </w:rPr>
                    <w:t>9</w:t>
                  </w:r>
                  <w:r>
                    <w:rPr>
                      <w:rFonts w:hint="eastAsia"/>
                    </w:rPr>
                    <w:t>H</w:t>
                  </w:r>
                  <w:r>
                    <w:rPr>
                      <w:rFonts w:hint="eastAsia"/>
                      <w:vertAlign w:val="subscript"/>
                    </w:rPr>
                    <w:t>10</w:t>
                  </w:r>
                  <w:r>
                    <w:rPr>
                      <w:rFonts w:hint="eastAsia"/>
                    </w:rPr>
                    <w:t>O</w:t>
                  </w:r>
                  <w:r>
                    <w:rPr>
                      <w:rFonts w:hint="eastAsia"/>
                      <w:vertAlign w:val="subscript"/>
                    </w:rPr>
                    <w:t>3</w:t>
                  </w:r>
                  <w:r>
                    <w:rPr>
                      <w:rFonts w:hint="eastAsia"/>
                      <w:lang w:eastAsia="zh-CN"/>
                    </w:rPr>
                    <w:t>，</w:t>
                  </w:r>
                  <w:r>
                    <w:rPr>
                      <w:rFonts w:hint="eastAsia"/>
                      <w:lang w:val="en-US" w:eastAsia="zh-CN"/>
                    </w:rPr>
                    <w:t>别名对羟基苯甲酸乙酯、羟苯乙酯，无色结晶或白色结晶性粉末，有轻微香味，稍有涩味，</w:t>
                  </w:r>
                  <w:r>
                    <w:t>熔点</w:t>
                  </w:r>
                  <w:r>
                    <w:rPr>
                      <w:rFonts w:hint="eastAsia"/>
                      <w:lang w:val="en-US" w:eastAsia="zh-CN"/>
                    </w:rPr>
                    <w:t>116-118</w:t>
                  </w:r>
                  <w:r>
                    <w:t>℃</w:t>
                  </w:r>
                  <w:r>
                    <w:rPr>
                      <w:rFonts w:hint="eastAsia"/>
                      <w:lang w:eastAsia="zh-CN"/>
                    </w:rPr>
                    <w:t>，</w:t>
                  </w:r>
                  <w:r>
                    <w:t>沸点</w:t>
                  </w:r>
                  <w:r>
                    <w:rPr>
                      <w:rFonts w:hint="eastAsia"/>
                      <w:lang w:val="en-US" w:eastAsia="zh-CN"/>
                    </w:rPr>
                    <w:t>297.5</w:t>
                  </w:r>
                  <w:r>
                    <w:t>℃</w:t>
                  </w:r>
                  <w:r>
                    <w:rPr>
                      <w:rFonts w:hint="eastAsia"/>
                      <w:lang w:eastAsia="zh-CN"/>
                    </w:rPr>
                    <w:t>，密度1.0</w:t>
                  </w:r>
                  <w:r>
                    <w:rPr>
                      <w:rFonts w:hint="eastAsia"/>
                      <w:lang w:val="en-US" w:eastAsia="zh-CN"/>
                    </w:rPr>
                    <w:t>78</w:t>
                  </w:r>
                  <w:r>
                    <w:rPr>
                      <w:rFonts w:hint="eastAsia"/>
                      <w:lang w:eastAsia="zh-CN"/>
                    </w:rPr>
                    <w:t>g/cm</w:t>
                  </w:r>
                  <w:r>
                    <w:rPr>
                      <w:rFonts w:hint="eastAsia"/>
                      <w:vertAlign w:val="superscript"/>
                      <w:lang w:eastAsia="zh-CN"/>
                    </w:rPr>
                    <w:t>3</w:t>
                  </w:r>
                  <w:r>
                    <w:rPr>
                      <w:rFonts w:hint="eastAsia"/>
                      <w:lang w:eastAsia="zh-CN"/>
                    </w:rPr>
                    <w:t>，</w:t>
                  </w:r>
                  <w:r>
                    <w:rPr>
                      <w:rFonts w:hint="eastAsia"/>
                      <w:lang w:val="en-US" w:eastAsia="zh-CN"/>
                    </w:rPr>
                    <w:t>易溶于醇、醚和丙酮、在水中几乎不溶。主要用作食品、化妆品、医药的杀菌防腐剂，也用于饲料防腐剂。</w:t>
                  </w:r>
                </w:p>
              </w:tc>
              <w:tc>
                <w:tcPr>
                  <w:tcW w:w="573" w:type="pct"/>
                  <w:vAlign w:val="center"/>
                </w:tcPr>
                <w:p w14:paraId="404C7996">
                  <w:pPr>
                    <w:pStyle w:val="41"/>
                    <w:bidi w:val="0"/>
                    <w:jc w:val="center"/>
                    <w:rPr>
                      <w:rFonts w:hint="eastAsia" w:eastAsia="宋体"/>
                      <w:lang w:val="en-US" w:eastAsia="zh-CN"/>
                    </w:rPr>
                  </w:pPr>
                  <w:r>
                    <w:rPr>
                      <w:rFonts w:hint="eastAsia"/>
                      <w:lang w:val="en-US" w:eastAsia="zh-CN"/>
                    </w:rPr>
                    <w:t>易燃</w:t>
                  </w:r>
                </w:p>
              </w:tc>
              <w:tc>
                <w:tcPr>
                  <w:tcW w:w="941" w:type="pct"/>
                  <w:vAlign w:val="center"/>
                </w:tcPr>
                <w:p w14:paraId="733FCC73">
                  <w:pPr>
                    <w:pStyle w:val="41"/>
                    <w:bidi w:val="0"/>
                    <w:jc w:val="center"/>
                  </w:pPr>
                  <w:r>
                    <w:rPr>
                      <w:rFonts w:hint="eastAsia"/>
                    </w:rPr>
                    <w:t>急性口服毒性</w:t>
                  </w:r>
                  <w:r>
                    <w:rPr>
                      <w:rFonts w:hint="eastAsia"/>
                      <w:lang w:eastAsia="zh-CN"/>
                    </w:rPr>
                    <w:t>（</w:t>
                  </w:r>
                  <w:r>
                    <w:rPr>
                      <w:rFonts w:hint="eastAsia"/>
                    </w:rPr>
                    <w:t>小白鼠</w:t>
                  </w:r>
                  <w:r>
                    <w:rPr>
                      <w:rFonts w:hint="eastAsia"/>
                      <w:lang w:eastAsia="zh-CN"/>
                    </w:rPr>
                    <w:t>）</w:t>
                  </w:r>
                  <w:r>
                    <w:rPr>
                      <w:rFonts w:hint="eastAsia"/>
                    </w:rPr>
                    <w:t>LD50</w:t>
                  </w:r>
                  <w:r>
                    <w:rPr>
                      <w:rFonts w:hint="eastAsia"/>
                      <w:lang w:eastAsia="zh-CN"/>
                    </w:rPr>
                    <w:t>：</w:t>
                  </w:r>
                  <w:r>
                    <w:rPr>
                      <w:rFonts w:hint="eastAsia"/>
                    </w:rPr>
                    <w:t>5000mg/kg</w:t>
                  </w:r>
                </w:p>
              </w:tc>
            </w:tr>
            <w:tr w14:paraId="7422F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2C45517B">
                  <w:pPr>
                    <w:pStyle w:val="41"/>
                    <w:bidi w:val="0"/>
                    <w:jc w:val="center"/>
                    <w:rPr>
                      <w:rFonts w:hint="default" w:ascii="Times New Roman" w:hAnsi="Times New Roman" w:eastAsia="宋体" w:cs="Times New Roman"/>
                      <w:kern w:val="0"/>
                      <w:sz w:val="21"/>
                      <w:szCs w:val="24"/>
                      <w:lang w:val="en-US" w:eastAsia="zh-CN" w:bidi="ar-SA"/>
                    </w:rPr>
                  </w:pPr>
                  <w:r>
                    <w:rPr>
                      <w:rFonts w:hint="default"/>
                      <w:lang w:val="en-US" w:eastAsia="zh-CN"/>
                    </w:rPr>
                    <w:t>三乙醇胺</w:t>
                  </w:r>
                </w:p>
              </w:tc>
              <w:tc>
                <w:tcPr>
                  <w:tcW w:w="1196" w:type="dxa"/>
                  <w:vAlign w:val="center"/>
                </w:tcPr>
                <w:p w14:paraId="121B5F66">
                  <w:pPr>
                    <w:pStyle w:val="41"/>
                    <w:bidi w:val="0"/>
                    <w:jc w:val="center"/>
                    <w:rPr>
                      <w:rFonts w:hint="default" w:eastAsia="宋体"/>
                      <w:lang w:val="en-US" w:eastAsia="zh-CN"/>
                    </w:rPr>
                  </w:pPr>
                  <w:r>
                    <w:rPr>
                      <w:rFonts w:hint="eastAsia"/>
                      <w:lang w:val="en-US" w:eastAsia="zh-CN"/>
                    </w:rPr>
                    <w:t>102-71-6</w:t>
                  </w:r>
                </w:p>
              </w:tc>
              <w:tc>
                <w:tcPr>
                  <w:tcW w:w="2211" w:type="pct"/>
                  <w:shd w:val="clear" w:color="auto" w:fill="auto"/>
                  <w:vAlign w:val="center"/>
                </w:tcPr>
                <w:p w14:paraId="65633956">
                  <w:pPr>
                    <w:pStyle w:val="41"/>
                    <w:bidi w:val="0"/>
                    <w:rPr>
                      <w:rFonts w:hint="eastAsia" w:ascii="Times New Roman" w:hAnsi="Times New Roman" w:eastAsia="宋体" w:cs="Times New Roman"/>
                      <w:kern w:val="0"/>
                      <w:sz w:val="21"/>
                      <w:szCs w:val="24"/>
                      <w:lang w:val="en-US" w:eastAsia="zh-CN" w:bidi="ar-SA"/>
                    </w:rPr>
                  </w:pPr>
                  <w:r>
                    <w:rPr>
                      <w:rFonts w:hint="eastAsia"/>
                    </w:rPr>
                    <w:t>C</w:t>
                  </w:r>
                  <w:r>
                    <w:rPr>
                      <w:rFonts w:hint="eastAsia"/>
                      <w:vertAlign w:val="subscript"/>
                    </w:rPr>
                    <w:t>6</w:t>
                  </w:r>
                  <w:r>
                    <w:rPr>
                      <w:rFonts w:hint="eastAsia"/>
                    </w:rPr>
                    <w:t>H</w:t>
                  </w:r>
                  <w:r>
                    <w:rPr>
                      <w:rFonts w:hint="eastAsia"/>
                      <w:vertAlign w:val="subscript"/>
                    </w:rPr>
                    <w:t>15</w:t>
                  </w:r>
                  <w:r>
                    <w:rPr>
                      <w:rFonts w:hint="eastAsia"/>
                    </w:rPr>
                    <w:t>NO</w:t>
                  </w:r>
                  <w:r>
                    <w:rPr>
                      <w:rFonts w:hint="eastAsia"/>
                      <w:vertAlign w:val="subscript"/>
                    </w:rPr>
                    <w:t>3</w:t>
                  </w:r>
                  <w:r>
                    <w:rPr>
                      <w:rFonts w:hint="eastAsia"/>
                      <w:lang w:eastAsia="zh-CN"/>
                    </w:rPr>
                    <w:t>，</w:t>
                  </w:r>
                  <w:r>
                    <w:rPr>
                      <w:rFonts w:hint="eastAsia"/>
                    </w:rPr>
                    <w:t>无色油状液体或白色固体，稍有氨的气味。熔点20</w:t>
                  </w:r>
                  <w:r>
                    <w:t>℃</w:t>
                  </w:r>
                  <w:r>
                    <w:rPr>
                      <w:rFonts w:hint="eastAsia"/>
                      <w:lang w:eastAsia="zh-CN"/>
                    </w:rPr>
                    <w:t>，</w:t>
                  </w:r>
                  <w:r>
                    <w:rPr>
                      <w:rFonts w:hint="eastAsia"/>
                    </w:rPr>
                    <w:t>沸点335</w:t>
                  </w:r>
                  <w:r>
                    <w:t>℃</w:t>
                  </w:r>
                  <w:r>
                    <w:rPr>
                      <w:rFonts w:hint="eastAsia"/>
                    </w:rPr>
                    <w:t>，相对密度1.12</w:t>
                  </w:r>
                  <w:r>
                    <w:rPr>
                      <w:rFonts w:hint="eastAsia"/>
                      <w:lang w:eastAsia="zh-CN"/>
                    </w:rPr>
                    <w:t>g/cm</w:t>
                  </w:r>
                  <w:r>
                    <w:rPr>
                      <w:rFonts w:hint="eastAsia"/>
                      <w:vertAlign w:val="superscript"/>
                      <w:lang w:eastAsia="zh-CN"/>
                    </w:rPr>
                    <w:t>3</w:t>
                  </w:r>
                  <w:r>
                    <w:rPr>
                      <w:rFonts w:hint="eastAsia"/>
                    </w:rPr>
                    <w:t>（水=1），溶于水，甲醇、丙酮、氯仿等，微溶于乙醚和苯，在非极性溶剂中几乎不溶。</w:t>
                  </w:r>
                </w:p>
              </w:tc>
              <w:tc>
                <w:tcPr>
                  <w:tcW w:w="573" w:type="pct"/>
                  <w:shd w:val="clear" w:color="auto" w:fill="auto"/>
                  <w:vAlign w:val="center"/>
                </w:tcPr>
                <w:p w14:paraId="2034C5B8">
                  <w:pPr>
                    <w:pStyle w:val="41"/>
                    <w:bidi w:val="0"/>
                    <w:rPr>
                      <w:rFonts w:hint="eastAsia" w:ascii="Times New Roman" w:hAnsi="Times New Roman" w:eastAsia="宋体" w:cs="Times New Roman"/>
                      <w:kern w:val="0"/>
                      <w:sz w:val="21"/>
                      <w:szCs w:val="24"/>
                      <w:lang w:val="en-US" w:eastAsia="zh-CN" w:bidi="ar-SA"/>
                    </w:rPr>
                  </w:pPr>
                  <w:r>
                    <w:rPr>
                      <w:rFonts w:hint="eastAsia"/>
                    </w:rPr>
                    <w:t>可燃</w:t>
                  </w:r>
                </w:p>
              </w:tc>
              <w:tc>
                <w:tcPr>
                  <w:tcW w:w="941" w:type="pct"/>
                  <w:shd w:val="clear" w:color="auto" w:fill="auto"/>
                  <w:vAlign w:val="center"/>
                </w:tcPr>
                <w:p w14:paraId="5212CF4A">
                  <w:pPr>
                    <w:pStyle w:val="41"/>
                    <w:bidi w:val="0"/>
                    <w:rPr>
                      <w:rFonts w:hint="eastAsia" w:ascii="Times New Roman" w:hAnsi="Times New Roman" w:eastAsia="宋体" w:cs="Times New Roman"/>
                      <w:kern w:val="0"/>
                      <w:sz w:val="21"/>
                      <w:szCs w:val="24"/>
                      <w:lang w:val="en-US" w:eastAsia="zh-CN" w:bidi="ar-SA"/>
                    </w:rPr>
                  </w:pPr>
                  <w:r>
                    <w:rPr>
                      <w:rFonts w:hint="eastAsia"/>
                    </w:rPr>
                    <w:t>LD50：9110mg/kg</w:t>
                  </w:r>
                  <w:r>
                    <w:rPr>
                      <w:rFonts w:hint="eastAsia"/>
                      <w:lang w:eastAsia="zh-CN"/>
                    </w:rPr>
                    <w:t>（</w:t>
                  </w:r>
                  <w:r>
                    <w:rPr>
                      <w:rFonts w:hint="eastAsia"/>
                    </w:rPr>
                    <w:t>大鼠经口</w:t>
                  </w:r>
                  <w:r>
                    <w:rPr>
                      <w:rFonts w:hint="eastAsia"/>
                      <w:lang w:eastAsia="zh-CN"/>
                    </w:rPr>
                    <w:t>）</w:t>
                  </w:r>
                  <w:r>
                    <w:rPr>
                      <w:rFonts w:hint="eastAsia"/>
                    </w:rPr>
                    <w:t>；LC50：8680mg/kg</w:t>
                  </w:r>
                  <w:r>
                    <w:rPr>
                      <w:rFonts w:hint="eastAsia"/>
                      <w:lang w:eastAsia="zh-CN"/>
                    </w:rPr>
                    <w:t>（</w:t>
                  </w:r>
                  <w:r>
                    <w:rPr>
                      <w:rFonts w:hint="eastAsia"/>
                    </w:rPr>
                    <w:t>小鼠经口</w:t>
                  </w:r>
                  <w:r>
                    <w:rPr>
                      <w:rFonts w:hint="eastAsia"/>
                      <w:lang w:eastAsia="zh-CN"/>
                    </w:rPr>
                    <w:t>）</w:t>
                  </w:r>
                </w:p>
              </w:tc>
            </w:tr>
            <w:tr w14:paraId="7F90D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0F162F31">
                  <w:pPr>
                    <w:pStyle w:val="41"/>
                    <w:bidi w:val="0"/>
                    <w:rPr>
                      <w:rFonts w:hint="default" w:ascii="Times New Roman" w:hAnsi="Times New Roman" w:eastAsia="宋体" w:cs="Times New Roman"/>
                      <w:kern w:val="0"/>
                      <w:sz w:val="21"/>
                      <w:szCs w:val="24"/>
                      <w:lang w:val="en-US" w:eastAsia="zh-CN" w:bidi="ar-SA"/>
                    </w:rPr>
                  </w:pPr>
                  <w:r>
                    <w:t>氢氧化钠</w:t>
                  </w:r>
                </w:p>
              </w:tc>
              <w:tc>
                <w:tcPr>
                  <w:tcW w:w="1196" w:type="dxa"/>
                  <w:shd w:val="clear" w:color="auto" w:fill="auto"/>
                  <w:vAlign w:val="center"/>
                </w:tcPr>
                <w:p w14:paraId="3636CB9D">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1310-73-2</w:t>
                  </w:r>
                </w:p>
              </w:tc>
              <w:tc>
                <w:tcPr>
                  <w:tcW w:w="2211" w:type="pct"/>
                  <w:shd w:val="clear" w:color="auto" w:fill="auto"/>
                  <w:vAlign w:val="center"/>
                </w:tcPr>
                <w:p w14:paraId="7DF2BCAB">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NaOH，无色透明晶体，吸湿性强，具有腐蚀性，易溶于水、乙醇、甘油，不溶于丙酮，熔点318.4℃，蒸汽压0.13kPa（739℃）。</w:t>
                  </w:r>
                </w:p>
              </w:tc>
              <w:tc>
                <w:tcPr>
                  <w:tcW w:w="573" w:type="pct"/>
                  <w:shd w:val="clear" w:color="auto" w:fill="auto"/>
                  <w:vAlign w:val="center"/>
                </w:tcPr>
                <w:p w14:paraId="2650DA16">
                  <w:pPr>
                    <w:pStyle w:val="41"/>
                    <w:bidi w:val="0"/>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color w:val="auto"/>
                      <w:highlight w:val="none"/>
                    </w:rPr>
                    <w:t>不燃</w:t>
                  </w:r>
                </w:p>
              </w:tc>
              <w:tc>
                <w:tcPr>
                  <w:tcW w:w="941" w:type="pct"/>
                  <w:shd w:val="clear" w:color="auto" w:fill="auto"/>
                  <w:vAlign w:val="center"/>
                </w:tcPr>
                <w:p w14:paraId="02F4E026">
                  <w:pPr>
                    <w:pStyle w:val="41"/>
                    <w:bidi w:val="0"/>
                    <w:rPr>
                      <w:rFonts w:hint="eastAsia" w:ascii="Times New Roman" w:hAnsi="Times New Roman" w:eastAsia="宋体" w:cs="Times New Roman"/>
                      <w:color w:val="auto"/>
                      <w:kern w:val="0"/>
                      <w:sz w:val="21"/>
                      <w:szCs w:val="24"/>
                      <w:highlight w:val="none"/>
                      <w:lang w:val="en-US" w:eastAsia="zh-CN" w:bidi="ar-SA"/>
                    </w:rPr>
                  </w:pPr>
                  <w:r>
                    <w:rPr>
                      <w:color w:val="auto"/>
                      <w:highlight w:val="none"/>
                    </w:rPr>
                    <w:t>具有强烈腐蚀性以及刺激性，可致人体灼伤。</w:t>
                  </w:r>
                </w:p>
              </w:tc>
            </w:tr>
            <w:tr w14:paraId="73215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5EDFADF0">
                  <w:pPr>
                    <w:pStyle w:val="41"/>
                    <w:bidi w:val="0"/>
                    <w:rPr>
                      <w:rFonts w:hint="default" w:ascii="Times New Roman" w:hAnsi="Times New Roman" w:eastAsia="宋体" w:cs="Times New Roman"/>
                      <w:kern w:val="0"/>
                      <w:sz w:val="21"/>
                      <w:szCs w:val="24"/>
                      <w:lang w:val="en-US" w:eastAsia="zh-CN" w:bidi="ar-SA"/>
                    </w:rPr>
                  </w:pPr>
                  <w:r>
                    <w:rPr>
                      <w:rFonts w:hint="eastAsia"/>
                      <w:lang w:eastAsia="zh-CN"/>
                    </w:rPr>
                    <w:t>磷酸二氢钠</w:t>
                  </w:r>
                </w:p>
              </w:tc>
              <w:tc>
                <w:tcPr>
                  <w:tcW w:w="1196" w:type="dxa"/>
                  <w:shd w:val="clear" w:color="auto" w:fill="auto"/>
                  <w:vAlign w:val="center"/>
                </w:tcPr>
                <w:p w14:paraId="6B31D7B7">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7558-80-7</w:t>
                  </w:r>
                </w:p>
              </w:tc>
              <w:tc>
                <w:tcPr>
                  <w:tcW w:w="2211" w:type="pct"/>
                  <w:shd w:val="clear" w:color="auto" w:fill="auto"/>
                  <w:vAlign w:val="center"/>
                </w:tcPr>
                <w:p w14:paraId="20A78F30">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NaH</w:t>
                  </w:r>
                  <w:r>
                    <w:rPr>
                      <w:rFonts w:hint="eastAsia"/>
                      <w:color w:val="auto"/>
                      <w:highlight w:val="none"/>
                      <w:vertAlign w:val="subscript"/>
                    </w:rPr>
                    <w:t>2</w:t>
                  </w:r>
                  <w:r>
                    <w:rPr>
                      <w:rFonts w:hint="eastAsia"/>
                      <w:color w:val="auto"/>
                      <w:highlight w:val="none"/>
                    </w:rPr>
                    <w:t>PO</w:t>
                  </w:r>
                  <w:r>
                    <w:rPr>
                      <w:rFonts w:hint="eastAsia"/>
                      <w:color w:val="auto"/>
                      <w:highlight w:val="none"/>
                      <w:vertAlign w:val="subscript"/>
                    </w:rPr>
                    <w:t>4</w:t>
                  </w:r>
                  <w:r>
                    <w:rPr>
                      <w:rFonts w:hint="eastAsia"/>
                      <w:color w:val="auto"/>
                      <w:highlight w:val="none"/>
                      <w:lang w:eastAsia="zh-CN"/>
                    </w:rPr>
                    <w:t>，</w:t>
                  </w:r>
                  <w:r>
                    <w:rPr>
                      <w:rFonts w:hint="eastAsia"/>
                      <w:color w:val="auto"/>
                      <w:highlight w:val="none"/>
                    </w:rPr>
                    <w:t>熔点60℃</w:t>
                  </w:r>
                  <w:r>
                    <w:rPr>
                      <w:rFonts w:hint="eastAsia"/>
                      <w:color w:val="auto"/>
                      <w:highlight w:val="none"/>
                      <w:lang w:eastAsia="zh-CN"/>
                    </w:rPr>
                    <w:t>，</w:t>
                  </w:r>
                  <w:r>
                    <w:rPr>
                      <w:rFonts w:hint="eastAsia"/>
                      <w:color w:val="auto"/>
                      <w:highlight w:val="none"/>
                    </w:rPr>
                    <w:t>沸点100℃</w:t>
                  </w:r>
                  <w:r>
                    <w:rPr>
                      <w:rFonts w:hint="eastAsia"/>
                      <w:color w:val="auto"/>
                      <w:highlight w:val="none"/>
                      <w:lang w:eastAsia="zh-CN"/>
                    </w:rPr>
                    <w:t>，</w:t>
                  </w:r>
                  <w:r>
                    <w:rPr>
                      <w:rFonts w:hint="eastAsia"/>
                      <w:color w:val="auto"/>
                      <w:highlight w:val="none"/>
                    </w:rPr>
                    <w:t>密度1.40g/cm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外观白色结晶性粉末</w:t>
                  </w:r>
                  <w:r>
                    <w:rPr>
                      <w:rFonts w:hint="eastAsia"/>
                      <w:color w:val="auto"/>
                      <w:highlight w:val="none"/>
                      <w:lang w:eastAsia="zh-CN"/>
                    </w:rPr>
                    <w:t>，</w:t>
                  </w:r>
                  <w:r>
                    <w:rPr>
                      <w:rFonts w:hint="eastAsia"/>
                      <w:color w:val="auto"/>
                      <w:highlight w:val="none"/>
                    </w:rPr>
                    <w:t>溶解性易溶于水，不溶于乙醇</w:t>
                  </w:r>
                  <w:r>
                    <w:rPr>
                      <w:rFonts w:hint="eastAsia"/>
                      <w:color w:val="auto"/>
                      <w:highlight w:val="none"/>
                      <w:lang w:eastAsia="zh-CN"/>
                    </w:rPr>
                    <w:t>。</w:t>
                  </w:r>
                </w:p>
              </w:tc>
              <w:tc>
                <w:tcPr>
                  <w:tcW w:w="573" w:type="pct"/>
                  <w:shd w:val="clear" w:color="auto" w:fill="auto"/>
                  <w:vAlign w:val="center"/>
                </w:tcPr>
                <w:p w14:paraId="4481E2CD">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不燃</w:t>
                  </w:r>
                </w:p>
              </w:tc>
              <w:tc>
                <w:tcPr>
                  <w:tcW w:w="941" w:type="pct"/>
                  <w:shd w:val="clear" w:color="auto" w:fill="auto"/>
                  <w:vAlign w:val="center"/>
                </w:tcPr>
                <w:p w14:paraId="6A95EE0B">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微毒</w:t>
                  </w:r>
                </w:p>
              </w:tc>
            </w:tr>
            <w:tr w14:paraId="45147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37CF5628">
                  <w:pPr>
                    <w:pStyle w:val="41"/>
                    <w:bidi w:val="0"/>
                    <w:rPr>
                      <w:rFonts w:hint="default" w:ascii="Times New Roman" w:hAnsi="Times New Roman" w:eastAsia="宋体" w:cs="Times New Roman"/>
                      <w:kern w:val="0"/>
                      <w:sz w:val="21"/>
                      <w:szCs w:val="24"/>
                      <w:lang w:val="en-US" w:eastAsia="zh-CN" w:bidi="ar-SA"/>
                    </w:rPr>
                  </w:pPr>
                  <w:r>
                    <w:t>磷酸氢二钠</w:t>
                  </w:r>
                </w:p>
              </w:tc>
              <w:tc>
                <w:tcPr>
                  <w:tcW w:w="1196" w:type="dxa"/>
                  <w:vAlign w:val="center"/>
                </w:tcPr>
                <w:p w14:paraId="614279A2">
                  <w:pPr>
                    <w:pStyle w:val="41"/>
                    <w:bidi w:val="0"/>
                    <w:jc w:val="center"/>
                    <w:rPr>
                      <w:rFonts w:hint="eastAsia"/>
                    </w:rPr>
                  </w:pPr>
                  <w:r>
                    <w:rPr>
                      <w:rFonts w:hint="eastAsia"/>
                    </w:rPr>
                    <w:t>7558-79-4</w:t>
                  </w:r>
                </w:p>
              </w:tc>
              <w:tc>
                <w:tcPr>
                  <w:tcW w:w="2211" w:type="pct"/>
                  <w:shd w:val="clear" w:color="auto" w:fill="auto"/>
                  <w:vAlign w:val="center"/>
                </w:tcPr>
                <w:p w14:paraId="03BF1DE1">
                  <w:pPr>
                    <w:pStyle w:val="41"/>
                    <w:bidi w:val="0"/>
                    <w:rPr>
                      <w:rFonts w:hint="eastAsia" w:ascii="Times New Roman" w:hAnsi="Times New Roman" w:eastAsia="宋体" w:cs="Times New Roman"/>
                      <w:kern w:val="0"/>
                      <w:sz w:val="21"/>
                      <w:szCs w:val="24"/>
                      <w:lang w:val="en-US" w:eastAsia="zh-CN" w:bidi="ar-SA"/>
                    </w:rPr>
                  </w:pPr>
                  <w:r>
                    <w:rPr>
                      <w:rFonts w:hint="eastAsia"/>
                    </w:rPr>
                    <w:t>Na</w:t>
                  </w:r>
                  <w:r>
                    <w:rPr>
                      <w:rFonts w:hint="eastAsia"/>
                      <w:vertAlign w:val="subscript"/>
                    </w:rPr>
                    <w:t>2</w:t>
                  </w:r>
                  <w:r>
                    <w:rPr>
                      <w:rFonts w:hint="eastAsia"/>
                    </w:rPr>
                    <w:t>HPO</w:t>
                  </w:r>
                  <w:r>
                    <w:rPr>
                      <w:rFonts w:hint="eastAsia"/>
                      <w:vertAlign w:val="subscript"/>
                    </w:rPr>
                    <w:t>4</w:t>
                  </w:r>
                  <w:r>
                    <w:rPr>
                      <w:rFonts w:hint="eastAsia"/>
                      <w:lang w:eastAsia="zh-CN"/>
                    </w:rPr>
                    <w:t>，</w:t>
                  </w:r>
                  <w:r>
                    <w:rPr>
                      <w:rFonts w:hint="eastAsia"/>
                    </w:rPr>
                    <w:t>无色单斜晶系结晶或白色粉末</w:t>
                  </w:r>
                  <w:r>
                    <w:rPr>
                      <w:rFonts w:hint="eastAsia"/>
                      <w:lang w:eastAsia="zh-CN"/>
                    </w:rPr>
                    <w:t>，</w:t>
                  </w:r>
                  <w:r>
                    <w:rPr>
                      <w:rFonts w:hint="eastAsia"/>
                      <w:color w:val="auto"/>
                      <w:highlight w:val="none"/>
                    </w:rPr>
                    <w:t>熔点</w:t>
                  </w:r>
                  <w:r>
                    <w:rPr>
                      <w:rFonts w:hint="eastAsia"/>
                      <w:color w:val="auto"/>
                      <w:highlight w:val="none"/>
                      <w:lang w:val="en-US" w:eastAsia="zh-CN"/>
                    </w:rPr>
                    <w:t>243-245</w:t>
                  </w:r>
                  <w:r>
                    <w:rPr>
                      <w:rFonts w:hint="eastAsia"/>
                      <w:color w:val="auto"/>
                      <w:highlight w:val="none"/>
                    </w:rPr>
                    <w:t>℃</w:t>
                  </w:r>
                  <w:r>
                    <w:rPr>
                      <w:rFonts w:hint="eastAsia"/>
                      <w:color w:val="auto"/>
                      <w:highlight w:val="none"/>
                      <w:lang w:eastAsia="zh-CN"/>
                    </w:rPr>
                    <w:t>，</w:t>
                  </w:r>
                  <w:r>
                    <w:rPr>
                      <w:rFonts w:hint="eastAsia"/>
                      <w:color w:val="auto"/>
                      <w:highlight w:val="none"/>
                    </w:rPr>
                    <w:t>密度</w:t>
                  </w:r>
                  <w:r>
                    <w:rPr>
                      <w:rFonts w:hint="eastAsia"/>
                      <w:color w:val="auto"/>
                      <w:highlight w:val="none"/>
                      <w:lang w:val="en-US" w:eastAsia="zh-CN"/>
                    </w:rPr>
                    <w:t>1.064</w:t>
                  </w:r>
                  <w:r>
                    <w:rPr>
                      <w:rFonts w:hint="eastAsia"/>
                      <w:color w:val="auto"/>
                      <w:highlight w:val="none"/>
                    </w:rPr>
                    <w:t>g/cm</w:t>
                  </w:r>
                  <w:r>
                    <w:rPr>
                      <w:rFonts w:hint="eastAsia"/>
                      <w:color w:val="auto"/>
                      <w:highlight w:val="none"/>
                      <w:vertAlign w:val="superscript"/>
                    </w:rPr>
                    <w:t>3</w:t>
                  </w:r>
                  <w:r>
                    <w:rPr>
                      <w:rFonts w:hint="eastAsia"/>
                      <w:color w:val="auto"/>
                      <w:highlight w:val="none"/>
                      <w:lang w:eastAsia="zh-CN"/>
                    </w:rPr>
                    <w:t>，</w:t>
                  </w:r>
                  <w:r>
                    <w:rPr>
                      <w:rFonts w:hint="eastAsia"/>
                      <w:lang w:val="en-US" w:eastAsia="zh-CN"/>
                    </w:rPr>
                    <w:t>易</w:t>
                  </w:r>
                  <w:r>
                    <w:rPr>
                      <w:rFonts w:hint="eastAsia"/>
                    </w:rPr>
                    <w:t>溶于水、不溶于醇。</w:t>
                  </w:r>
                </w:p>
              </w:tc>
              <w:tc>
                <w:tcPr>
                  <w:tcW w:w="573" w:type="pct"/>
                  <w:shd w:val="clear" w:color="auto" w:fill="auto"/>
                  <w:vAlign w:val="center"/>
                </w:tcPr>
                <w:p w14:paraId="08DC81CB">
                  <w:pPr>
                    <w:pStyle w:val="41"/>
                    <w:bidi w:val="0"/>
                    <w:rPr>
                      <w:rFonts w:hint="eastAsia" w:ascii="Times New Roman" w:hAnsi="Times New Roman" w:eastAsia="宋体" w:cs="Times New Roman"/>
                      <w:kern w:val="0"/>
                      <w:sz w:val="21"/>
                      <w:szCs w:val="24"/>
                      <w:lang w:val="en-US" w:eastAsia="zh-CN" w:bidi="ar-SA"/>
                    </w:rPr>
                  </w:pPr>
                  <w:r>
                    <w:t>不燃</w:t>
                  </w:r>
                </w:p>
              </w:tc>
              <w:tc>
                <w:tcPr>
                  <w:tcW w:w="941" w:type="pct"/>
                  <w:shd w:val="clear" w:color="auto" w:fill="auto"/>
                  <w:vAlign w:val="center"/>
                </w:tcPr>
                <w:p w14:paraId="6597AF9E">
                  <w:pPr>
                    <w:pStyle w:val="41"/>
                    <w:bidi w:val="0"/>
                    <w:rPr>
                      <w:rFonts w:hint="eastAsia" w:ascii="Times New Roman" w:hAnsi="Times New Roman" w:eastAsia="宋体" w:cs="Times New Roman"/>
                      <w:kern w:val="0"/>
                      <w:sz w:val="21"/>
                      <w:szCs w:val="24"/>
                      <w:lang w:val="en-US" w:eastAsia="zh-CN" w:bidi="ar-SA"/>
                    </w:rPr>
                  </w:pPr>
                  <w:r>
                    <w:rPr>
                      <w:rFonts w:hint="eastAsia"/>
                    </w:rPr>
                    <w:t>无资料</w:t>
                  </w:r>
                </w:p>
              </w:tc>
            </w:tr>
            <w:tr w14:paraId="6DB52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7DC5EC86">
                  <w:pPr>
                    <w:pStyle w:val="41"/>
                    <w:bidi w:val="0"/>
                    <w:rPr>
                      <w:rFonts w:hint="default" w:ascii="Times New Roman" w:hAnsi="Times New Roman" w:eastAsia="宋体" w:cs="Times New Roman"/>
                      <w:kern w:val="0"/>
                      <w:sz w:val="21"/>
                      <w:szCs w:val="24"/>
                      <w:lang w:val="en-US" w:eastAsia="zh-CN" w:bidi="ar-SA"/>
                    </w:rPr>
                  </w:pPr>
                  <w:r>
                    <w:t>氯化钠</w:t>
                  </w:r>
                </w:p>
              </w:tc>
              <w:tc>
                <w:tcPr>
                  <w:tcW w:w="1196" w:type="dxa"/>
                  <w:shd w:val="clear" w:color="auto" w:fill="auto"/>
                  <w:vAlign w:val="center"/>
                </w:tcPr>
                <w:p w14:paraId="561EA7AD">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7647-14-5</w:t>
                  </w:r>
                </w:p>
              </w:tc>
              <w:tc>
                <w:tcPr>
                  <w:tcW w:w="2211" w:type="pct"/>
                  <w:shd w:val="clear" w:color="auto" w:fill="auto"/>
                  <w:vAlign w:val="center"/>
                </w:tcPr>
                <w:p w14:paraId="213E2E10">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NaCl，白色晶状颗粒，密度2.165g/cm</w:t>
                  </w:r>
                  <w:r>
                    <w:rPr>
                      <w:rFonts w:hint="eastAsia"/>
                      <w:color w:val="auto"/>
                      <w:highlight w:val="none"/>
                      <w:vertAlign w:val="superscript"/>
                      <w:lang w:val="en-US" w:eastAsia="zh-CN"/>
                    </w:rPr>
                    <w:t>3</w:t>
                  </w:r>
                  <w:r>
                    <w:rPr>
                      <w:rFonts w:hint="eastAsia"/>
                      <w:color w:val="auto"/>
                      <w:highlight w:val="none"/>
                      <w:lang w:val="en-US" w:eastAsia="zh-CN"/>
                    </w:rPr>
                    <w:t>，熔点801℃，沸点1465℃，微溶于乙醇、丙醇、丁烷，在和丁烷互溶后变为等离子体，易溶于水，水中溶解度为35.9g（室温）。</w:t>
                  </w:r>
                </w:p>
              </w:tc>
              <w:tc>
                <w:tcPr>
                  <w:tcW w:w="573" w:type="pct"/>
                  <w:shd w:val="clear" w:color="auto" w:fill="auto"/>
                  <w:vAlign w:val="center"/>
                </w:tcPr>
                <w:p w14:paraId="4CA6573A">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不燃</w:t>
                  </w:r>
                </w:p>
              </w:tc>
              <w:tc>
                <w:tcPr>
                  <w:tcW w:w="941" w:type="pct"/>
                  <w:shd w:val="clear" w:color="auto" w:fill="auto"/>
                  <w:vAlign w:val="center"/>
                </w:tcPr>
                <w:p w14:paraId="2338F727">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无毒</w:t>
                  </w:r>
                </w:p>
              </w:tc>
            </w:tr>
            <w:tr w14:paraId="64E45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1B4BA5D4">
                  <w:pPr>
                    <w:pStyle w:val="41"/>
                    <w:bidi w:val="0"/>
                    <w:rPr>
                      <w:rFonts w:hint="default" w:ascii="Times New Roman" w:hAnsi="Times New Roman" w:eastAsia="宋体" w:cs="Times New Roman"/>
                      <w:kern w:val="0"/>
                      <w:sz w:val="21"/>
                      <w:szCs w:val="24"/>
                      <w:lang w:val="en-US" w:eastAsia="zh-CN" w:bidi="ar-SA"/>
                    </w:rPr>
                  </w:pPr>
                  <w:r>
                    <w:t>柠檬酸</w:t>
                  </w:r>
                </w:p>
              </w:tc>
              <w:tc>
                <w:tcPr>
                  <w:tcW w:w="1196" w:type="dxa"/>
                  <w:vAlign w:val="center"/>
                </w:tcPr>
                <w:p w14:paraId="0F41F850">
                  <w:pPr>
                    <w:pStyle w:val="41"/>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77-92-9</w:t>
                  </w:r>
                </w:p>
              </w:tc>
              <w:tc>
                <w:tcPr>
                  <w:tcW w:w="2211" w:type="pct"/>
                  <w:vAlign w:val="center"/>
                </w:tcPr>
                <w:p w14:paraId="4A622A6C">
                  <w:pPr>
                    <w:pStyle w:val="41"/>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C</w:t>
                  </w:r>
                  <w:r>
                    <w:rPr>
                      <w:rFonts w:hint="eastAsia" w:ascii="Times New Roman" w:hAnsi="Times New Roman" w:eastAsia="宋体" w:cs="Times New Roman"/>
                      <w:color w:val="auto"/>
                      <w:highlight w:val="none"/>
                      <w:vertAlign w:val="subscript"/>
                      <w:lang w:val="en-US" w:eastAsia="zh-CN"/>
                    </w:rPr>
                    <w:t>6</w:t>
                  </w:r>
                  <w:r>
                    <w:rPr>
                      <w:rFonts w:hint="eastAsia" w:ascii="Times New Roman" w:hAnsi="Times New Roman" w:eastAsia="宋体" w:cs="Times New Roman"/>
                      <w:color w:val="auto"/>
                      <w:highlight w:val="none"/>
                      <w:lang w:val="en-US" w:eastAsia="zh-CN"/>
                    </w:rPr>
                    <w:t>H</w:t>
                  </w:r>
                  <w:r>
                    <w:rPr>
                      <w:rFonts w:hint="eastAsia" w:ascii="Times New Roman" w:hAnsi="Times New Roman" w:eastAsia="宋体" w:cs="Times New Roman"/>
                      <w:color w:val="auto"/>
                      <w:highlight w:val="none"/>
                      <w:vertAlign w:val="subscript"/>
                      <w:lang w:val="en-US" w:eastAsia="zh-CN"/>
                    </w:rPr>
                    <w:t>8</w:t>
                  </w:r>
                  <w:r>
                    <w:rPr>
                      <w:rFonts w:hint="eastAsia" w:ascii="Times New Roman" w:hAnsi="Times New Roman" w:eastAsia="宋体" w:cs="Times New Roman"/>
                      <w:color w:val="auto"/>
                      <w:highlight w:val="none"/>
                      <w:lang w:val="en-US" w:eastAsia="zh-CN"/>
                    </w:rPr>
                    <w:t>O</w:t>
                  </w:r>
                  <w:r>
                    <w:rPr>
                      <w:rFonts w:hint="eastAsia" w:ascii="Times New Roman" w:hAnsi="Times New Roman" w:eastAsia="宋体" w:cs="Times New Roman"/>
                      <w:color w:val="auto"/>
                      <w:highlight w:val="none"/>
                      <w:vertAlign w:val="subscript"/>
                      <w:lang w:val="en-US" w:eastAsia="zh-CN"/>
                    </w:rPr>
                    <w:t>7</w:t>
                  </w:r>
                  <w:r>
                    <w:rPr>
                      <w:rFonts w:hint="eastAsia" w:ascii="Times New Roman" w:hAnsi="Times New Roman" w:eastAsia="宋体" w:cs="Times New Roman"/>
                      <w:color w:val="auto"/>
                      <w:highlight w:val="none"/>
                      <w:lang w:val="en-US" w:eastAsia="zh-CN"/>
                    </w:rPr>
                    <w:t>，白色结晶粉末，密度1.542g/cm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，熔点153-159℃，沸点175℃，闪点155.2℃，易溶于水。</w:t>
                  </w:r>
                </w:p>
              </w:tc>
              <w:tc>
                <w:tcPr>
                  <w:tcW w:w="573" w:type="pct"/>
                  <w:vAlign w:val="center"/>
                </w:tcPr>
                <w:p w14:paraId="53452C39">
                  <w:pPr>
                    <w:pStyle w:val="41"/>
                    <w:bidi w:val="0"/>
                    <w:jc w:val="center"/>
                    <w:rPr>
                      <w:rFonts w:hint="eastAsia" w:eastAsia="宋体"/>
                      <w:lang w:val="en-US" w:eastAsia="zh-CN"/>
                    </w:rPr>
                  </w:pPr>
                  <w:r>
                    <w:rPr>
                      <w:rFonts w:hint="eastAsia"/>
                      <w:lang w:val="en-US" w:eastAsia="zh-CN"/>
                    </w:rPr>
                    <w:t>不燃</w:t>
                  </w:r>
                </w:p>
              </w:tc>
              <w:tc>
                <w:tcPr>
                  <w:tcW w:w="941" w:type="pct"/>
                  <w:vAlign w:val="center"/>
                </w:tcPr>
                <w:p w14:paraId="2FB3F872">
                  <w:pPr>
                    <w:pStyle w:val="41"/>
                    <w:bidi w:val="0"/>
                    <w:jc w:val="center"/>
                    <w:rPr>
                      <w:rFonts w:hint="default" w:eastAsia="宋体"/>
                      <w:lang w:val="en-US" w:eastAsia="zh-CN"/>
                    </w:rPr>
                  </w:pPr>
                  <w:r>
                    <w:rPr>
                      <w:rFonts w:hint="eastAsia"/>
                      <w:lang w:val="en-US" w:eastAsia="zh-CN"/>
                    </w:rPr>
                    <w:t>无毒</w:t>
                  </w:r>
                </w:p>
              </w:tc>
            </w:tr>
            <w:tr w14:paraId="4698E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7B4E945C">
                  <w:pPr>
                    <w:pStyle w:val="41"/>
                    <w:bidi w:val="0"/>
                    <w:jc w:val="center"/>
                  </w:pPr>
                  <w:r>
                    <w:rPr>
                      <w:rFonts w:hint="eastAsia"/>
                    </w:rPr>
                    <w:t>Tris-base（三羟甲基氨基甲烷）</w:t>
                  </w:r>
                </w:p>
              </w:tc>
              <w:tc>
                <w:tcPr>
                  <w:tcW w:w="1196" w:type="dxa"/>
                  <w:vAlign w:val="center"/>
                </w:tcPr>
                <w:p w14:paraId="0AB08275">
                  <w:pPr>
                    <w:pStyle w:val="41"/>
                    <w:bidi w:val="0"/>
                    <w:jc w:val="center"/>
                    <w:rPr>
                      <w:rFonts w:hint="eastAsia"/>
                    </w:rPr>
                  </w:pPr>
                  <w:r>
                    <w:rPr>
                      <w:rFonts w:hint="eastAsia"/>
                    </w:rPr>
                    <w:t>77-86-1</w:t>
                  </w:r>
                </w:p>
              </w:tc>
              <w:tc>
                <w:tcPr>
                  <w:tcW w:w="2211" w:type="pct"/>
                  <w:vAlign w:val="center"/>
                </w:tcPr>
                <w:p w14:paraId="6A5B9F78">
                  <w:pPr>
                    <w:pStyle w:val="41"/>
                    <w:bidi w:val="0"/>
                    <w:jc w:val="center"/>
                    <w:rPr>
                      <w:rFonts w:hint="eastAsia" w:eastAsia="宋体"/>
                      <w:lang w:eastAsia="zh-CN"/>
                    </w:rPr>
                  </w:pPr>
                  <w:r>
                    <w:rPr>
                      <w:rFonts w:hint="eastAsia"/>
                    </w:rPr>
                    <w:t>C</w:t>
                  </w:r>
                  <w:r>
                    <w:rPr>
                      <w:rFonts w:hint="eastAsia"/>
                      <w:vertAlign w:val="subscript"/>
                    </w:rPr>
                    <w:t>4</w:t>
                  </w:r>
                  <w:r>
                    <w:rPr>
                      <w:rFonts w:hint="eastAsia"/>
                    </w:rPr>
                    <w:t>H</w:t>
                  </w:r>
                  <w:r>
                    <w:rPr>
                      <w:rFonts w:hint="eastAsia"/>
                      <w:vertAlign w:val="subscript"/>
                    </w:rPr>
                    <w:t>11</w:t>
                  </w:r>
                  <w:r>
                    <w:rPr>
                      <w:rFonts w:hint="eastAsia"/>
                    </w:rPr>
                    <w:t>NO</w:t>
                  </w:r>
                  <w:r>
                    <w:rPr>
                      <w:rFonts w:hint="eastAsia"/>
                      <w:vertAlign w:val="subscript"/>
                    </w:rPr>
                    <w:t>3</w:t>
                  </w:r>
                  <w:r>
                    <w:rPr>
                      <w:rFonts w:hint="eastAsia"/>
                      <w:lang w:eastAsia="zh-CN"/>
                    </w:rPr>
                    <w:t>，白色结晶颗粒，广泛应用于生物化学和分子生物学实验中的缓冲液的制备，熔点168-172</w:t>
                  </w:r>
                  <w:r>
                    <w:rPr>
                      <w:rFonts w:hint="eastAsia"/>
                      <w:lang w:val="en-US" w:eastAsia="zh-CN"/>
                    </w:rPr>
                    <w:t>℃</w:t>
                  </w:r>
                  <w:r>
                    <w:rPr>
                      <w:rFonts w:hint="eastAsia"/>
                      <w:lang w:eastAsia="zh-CN"/>
                    </w:rPr>
                    <w:t>，沸点219-220</w:t>
                  </w:r>
                  <w:r>
                    <w:rPr>
                      <w:rFonts w:hint="eastAsia"/>
                      <w:lang w:val="en-US" w:eastAsia="zh-CN"/>
                    </w:rPr>
                    <w:t>℃。</w:t>
                  </w:r>
                </w:p>
              </w:tc>
              <w:tc>
                <w:tcPr>
                  <w:tcW w:w="573" w:type="pct"/>
                  <w:vAlign w:val="center"/>
                </w:tcPr>
                <w:p w14:paraId="428DFA16">
                  <w:pPr>
                    <w:pStyle w:val="41"/>
                    <w:bidi w:val="0"/>
                    <w:jc w:val="center"/>
                    <w:rPr>
                      <w:rFonts w:hint="eastAsia" w:eastAsia="宋体"/>
                      <w:lang w:val="en-US" w:eastAsia="zh-CN"/>
                    </w:rPr>
                  </w:pPr>
                  <w:r>
                    <w:rPr>
                      <w:rFonts w:hint="eastAsia"/>
                      <w:lang w:val="en-US" w:eastAsia="zh-CN"/>
                    </w:rPr>
                    <w:t>可燃</w:t>
                  </w:r>
                </w:p>
              </w:tc>
              <w:tc>
                <w:tcPr>
                  <w:tcW w:w="941" w:type="pct"/>
                  <w:vAlign w:val="center"/>
                </w:tcPr>
                <w:p w14:paraId="5A158582">
                  <w:pPr>
                    <w:pStyle w:val="41"/>
                    <w:bidi w:val="0"/>
                    <w:jc w:val="center"/>
                    <w:rPr>
                      <w:rFonts w:hint="eastAsia" w:eastAsia="宋体"/>
                      <w:lang w:val="en-US" w:eastAsia="zh-CN"/>
                    </w:rPr>
                  </w:pPr>
                  <w:r>
                    <w:rPr>
                      <w:rFonts w:hint="eastAsia"/>
                      <w:lang w:val="en-US" w:eastAsia="zh-CN"/>
                    </w:rPr>
                    <w:t>无资料</w:t>
                  </w:r>
                </w:p>
              </w:tc>
            </w:tr>
            <w:tr w14:paraId="5FA17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182FE183">
                  <w:pPr>
                    <w:pStyle w:val="41"/>
                    <w:bidi w:val="0"/>
                    <w:jc w:val="center"/>
                  </w:pPr>
                  <w:r>
                    <w:rPr>
                      <w:rFonts w:hint="eastAsia"/>
                      <w:lang w:val="en-US" w:eastAsia="zh-CN"/>
                    </w:rPr>
                    <w:t>石油醚</w:t>
                  </w:r>
                </w:p>
              </w:tc>
              <w:tc>
                <w:tcPr>
                  <w:tcW w:w="1196" w:type="dxa"/>
                  <w:shd w:val="clear" w:color="auto" w:fill="auto"/>
                  <w:vAlign w:val="center"/>
                </w:tcPr>
                <w:p w14:paraId="745D07C5">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8032-32-4</w:t>
                  </w:r>
                </w:p>
              </w:tc>
              <w:tc>
                <w:tcPr>
                  <w:tcW w:w="2211" w:type="pct"/>
                  <w:shd w:val="clear" w:color="auto" w:fill="auto"/>
                  <w:vAlign w:val="center"/>
                </w:tcPr>
                <w:p w14:paraId="7F7B213F">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C</w:t>
                  </w:r>
                  <w:r>
                    <w:rPr>
                      <w:rFonts w:hint="eastAsia"/>
                      <w:color w:val="auto"/>
                      <w:highlight w:val="none"/>
                      <w:vertAlign w:val="subscript"/>
                      <w:lang w:val="en-US" w:eastAsia="zh-CN"/>
                    </w:rPr>
                    <w:t>n</w:t>
                  </w:r>
                  <w:r>
                    <w:rPr>
                      <w:rFonts w:hint="eastAsia"/>
                      <w:color w:val="auto"/>
                      <w:highlight w:val="none"/>
                      <w:lang w:val="en-US" w:eastAsia="zh-CN"/>
                    </w:rPr>
                    <w:t>H</w:t>
                  </w:r>
                  <w:r>
                    <w:rPr>
                      <w:rFonts w:hint="eastAsia"/>
                      <w:color w:val="auto"/>
                      <w:highlight w:val="none"/>
                      <w:vertAlign w:val="subscript"/>
                      <w:lang w:val="en-US" w:eastAsia="zh-CN"/>
                    </w:rPr>
                    <w:t>2n+2</w:t>
                  </w:r>
                  <w:r>
                    <w:rPr>
                      <w:rFonts w:hint="eastAsia"/>
                      <w:color w:val="auto"/>
                      <w:highlight w:val="none"/>
                      <w:lang w:val="en-US" w:eastAsia="zh-CN"/>
                    </w:rPr>
                    <w:t>，</w:t>
                  </w:r>
                  <w:r>
                    <w:rPr>
                      <w:color w:val="auto"/>
                      <w:highlight w:val="none"/>
                    </w:rPr>
                    <w:t>无色透明液体，有煤油气味。主要为戊烷和己烷的混合物。不溶于水，溶于无水乙醇、苯、氯仿、油类等多数有机溶剂。主要用作溶剂和油脂处理。通常用铂重整抽余油或直馏汽油经分馏、加氢或其他方法制得。</w:t>
                  </w:r>
                </w:p>
              </w:tc>
              <w:tc>
                <w:tcPr>
                  <w:tcW w:w="573" w:type="pct"/>
                  <w:shd w:val="clear" w:color="auto" w:fill="auto"/>
                  <w:vAlign w:val="center"/>
                </w:tcPr>
                <w:p w14:paraId="2E69B6EF">
                  <w:pPr>
                    <w:pStyle w:val="41"/>
                    <w:bidi w:val="0"/>
                    <w:rPr>
                      <w:rFonts w:hint="eastAsia" w:ascii="Times New Roman" w:hAnsi="Times New Roman" w:eastAsia="宋体" w:cs="Times New Roman"/>
                      <w:color w:val="auto"/>
                      <w:kern w:val="0"/>
                      <w:sz w:val="21"/>
                      <w:szCs w:val="24"/>
                      <w:highlight w:val="none"/>
                      <w:lang w:val="en-US" w:eastAsia="zh-CN" w:bidi="ar-SA"/>
                    </w:rPr>
                  </w:pPr>
                  <w:r>
                    <w:rPr>
                      <w:color w:val="auto"/>
                      <w:highlight w:val="none"/>
                    </w:rPr>
                    <w:t>易燃易爆，与氧化剂可强烈反应</w:t>
                  </w:r>
                  <w:r>
                    <w:rPr>
                      <w:rFonts w:hint="eastAsia"/>
                      <w:color w:val="auto"/>
                      <w:highlight w:val="none"/>
                      <w:lang w:eastAsia="zh-CN"/>
                    </w:rPr>
                    <w:t>，</w:t>
                  </w:r>
                  <w:r>
                    <w:rPr>
                      <w:rFonts w:hint="eastAsia"/>
                      <w:color w:val="auto"/>
                      <w:highlight w:val="none"/>
                      <w:lang w:val="en-US" w:eastAsia="zh-CN"/>
                    </w:rPr>
                    <w:t>爆炸下限1.1%，爆炸上限8.7%</w:t>
                  </w:r>
                </w:p>
              </w:tc>
              <w:tc>
                <w:tcPr>
                  <w:tcW w:w="941" w:type="pct"/>
                  <w:shd w:val="clear" w:color="auto" w:fill="auto"/>
                  <w:vAlign w:val="center"/>
                </w:tcPr>
                <w:p w14:paraId="01201F62">
                  <w:pPr>
                    <w:pStyle w:val="41"/>
                    <w:bidi w:val="0"/>
                    <w:rPr>
                      <w:color w:val="auto"/>
                      <w:highlight w:val="none"/>
                    </w:rPr>
                  </w:pPr>
                  <w:r>
                    <w:rPr>
                      <w:color w:val="auto"/>
                      <w:highlight w:val="none"/>
                    </w:rPr>
                    <w:t>LD50</w:t>
                  </w:r>
                  <w:r>
                    <w:rPr>
                      <w:rFonts w:hint="eastAsia"/>
                      <w:color w:val="auto"/>
                      <w:highlight w:val="none"/>
                    </w:rPr>
                    <w:t>：</w:t>
                  </w:r>
                  <w:r>
                    <w:rPr>
                      <w:color w:val="auto"/>
                      <w:highlight w:val="none"/>
                    </w:rPr>
                    <w:t>40mg/kg（小</w:t>
                  </w:r>
                </w:p>
                <w:p w14:paraId="1219B75E">
                  <w:pPr>
                    <w:pStyle w:val="41"/>
                    <w:bidi w:val="0"/>
                    <w:rPr>
                      <w:color w:val="auto"/>
                      <w:highlight w:val="none"/>
                    </w:rPr>
                  </w:pPr>
                  <w:r>
                    <w:rPr>
                      <w:color w:val="auto"/>
                      <w:highlight w:val="none"/>
                    </w:rPr>
                    <w:t>鼠静脉）</w:t>
                  </w:r>
                </w:p>
                <w:p w14:paraId="6AB0D6E6">
                  <w:pPr>
                    <w:pStyle w:val="41"/>
                    <w:bidi w:val="0"/>
                    <w:rPr>
                      <w:color w:val="auto"/>
                      <w:highlight w:val="none"/>
                    </w:rPr>
                  </w:pPr>
                  <w:r>
                    <w:rPr>
                      <w:color w:val="auto"/>
                      <w:highlight w:val="none"/>
                    </w:rPr>
                    <w:t>LC50：3400ppm</w:t>
                  </w:r>
                </w:p>
                <w:p w14:paraId="5093E5C0">
                  <w:pPr>
                    <w:pStyle w:val="41"/>
                    <w:bidi w:val="0"/>
                    <w:rPr>
                      <w:rFonts w:hint="eastAsia" w:ascii="Times New Roman" w:hAnsi="Times New Roman" w:eastAsia="宋体" w:cs="Times New Roman"/>
                      <w:color w:val="auto"/>
                      <w:kern w:val="0"/>
                      <w:sz w:val="21"/>
                      <w:szCs w:val="24"/>
                      <w:highlight w:val="none"/>
                      <w:lang w:val="en-US" w:eastAsia="zh-CN" w:bidi="ar-SA"/>
                    </w:rPr>
                  </w:pPr>
                  <w:r>
                    <w:rPr>
                      <w:color w:val="auto"/>
                      <w:highlight w:val="none"/>
                    </w:rPr>
                    <w:t>4小时（大鼠吸入</w:t>
                  </w:r>
                  <w:r>
                    <w:rPr>
                      <w:rFonts w:hint="eastAsia"/>
                      <w:color w:val="auto"/>
                      <w:highlight w:val="none"/>
                    </w:rPr>
                    <w:t>）</w:t>
                  </w:r>
                </w:p>
              </w:tc>
            </w:tr>
            <w:tr w14:paraId="41788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79CE9904">
                  <w:pPr>
                    <w:pStyle w:val="41"/>
                    <w:bidi w:val="0"/>
                    <w:jc w:val="center"/>
                  </w:pPr>
                  <w:r>
                    <w:rPr>
                      <w:rFonts w:hint="eastAsia"/>
                      <w:lang w:val="en-US" w:eastAsia="zh-CN"/>
                    </w:rPr>
                    <w:t>四氢呋喃</w:t>
                  </w:r>
                </w:p>
              </w:tc>
              <w:tc>
                <w:tcPr>
                  <w:tcW w:w="1196" w:type="dxa"/>
                  <w:vAlign w:val="center"/>
                </w:tcPr>
                <w:p w14:paraId="40D5CDF4">
                  <w:pPr>
                    <w:pStyle w:val="41"/>
                    <w:bidi w:val="0"/>
                    <w:jc w:val="center"/>
                    <w:rPr>
                      <w:rFonts w:hint="eastAsia"/>
                    </w:rPr>
                  </w:pPr>
                  <w:r>
                    <w:rPr>
                      <w:rFonts w:hint="eastAsia"/>
                    </w:rPr>
                    <w:t>109-99-9</w:t>
                  </w:r>
                </w:p>
              </w:tc>
              <w:tc>
                <w:tcPr>
                  <w:tcW w:w="2211" w:type="pct"/>
                  <w:vAlign w:val="center"/>
                </w:tcPr>
                <w:p w14:paraId="14424FDA">
                  <w:pPr>
                    <w:pStyle w:val="41"/>
                    <w:bidi w:val="0"/>
                    <w:jc w:val="center"/>
                    <w:rPr>
                      <w:rFonts w:hint="default" w:eastAsia="宋体"/>
                      <w:lang w:val="en-US" w:eastAsia="zh-CN"/>
                    </w:rPr>
                  </w:pPr>
                  <w:r>
                    <w:rPr>
                      <w:rFonts w:hint="eastAsia"/>
                    </w:rPr>
                    <w:t>C</w:t>
                  </w:r>
                  <w:r>
                    <w:rPr>
                      <w:rFonts w:hint="eastAsia"/>
                      <w:vertAlign w:val="subscript"/>
                    </w:rPr>
                    <w:t>4</w:t>
                  </w:r>
                  <w:r>
                    <w:rPr>
                      <w:rFonts w:hint="eastAsia"/>
                    </w:rPr>
                    <w:t>H</w:t>
                  </w:r>
                  <w:r>
                    <w:rPr>
                      <w:rFonts w:hint="eastAsia"/>
                      <w:vertAlign w:val="subscript"/>
                    </w:rPr>
                    <w:t>8</w:t>
                  </w:r>
                  <w:r>
                    <w:rPr>
                      <w:rFonts w:hint="eastAsia"/>
                    </w:rPr>
                    <w:t>O</w:t>
                  </w:r>
                  <w:r>
                    <w:rPr>
                      <w:rFonts w:hint="eastAsia"/>
                      <w:lang w:eastAsia="zh-CN"/>
                    </w:rPr>
                    <w:t>，</w:t>
                  </w:r>
                  <w:r>
                    <w:rPr>
                      <w:color w:val="auto"/>
                      <w:highlight w:val="none"/>
                    </w:rPr>
                    <w:t>无色透明液体，</w:t>
                  </w:r>
                  <w:r>
                    <w:rPr>
                      <w:rFonts w:hint="eastAsia"/>
                      <w:color w:val="auto"/>
                      <w:highlight w:val="none"/>
                    </w:rPr>
                    <w:t>熔点</w:t>
                  </w:r>
                  <w:r>
                    <w:rPr>
                      <w:rFonts w:hint="eastAsia"/>
                      <w:color w:val="auto"/>
                      <w:highlight w:val="none"/>
                      <w:lang w:val="en-US" w:eastAsia="zh-CN"/>
                    </w:rPr>
                    <w:t>-108.5</w:t>
                  </w:r>
                  <w:r>
                    <w:rPr>
                      <w:rFonts w:hint="eastAsia"/>
                      <w:color w:val="auto"/>
                      <w:highlight w:val="none"/>
                    </w:rPr>
                    <w:t>℃</w:t>
                  </w:r>
                  <w:r>
                    <w:rPr>
                      <w:rFonts w:hint="eastAsia"/>
                      <w:color w:val="auto"/>
                      <w:highlight w:val="none"/>
                      <w:lang w:eastAsia="zh-CN"/>
                    </w:rPr>
                    <w:t>，</w:t>
                  </w:r>
                  <w:r>
                    <w:rPr>
                      <w:rFonts w:hint="eastAsia"/>
                      <w:color w:val="auto"/>
                      <w:highlight w:val="none"/>
                    </w:rPr>
                    <w:t>沸点</w:t>
                  </w:r>
                  <w:r>
                    <w:rPr>
                      <w:rFonts w:hint="eastAsia"/>
                      <w:color w:val="auto"/>
                      <w:highlight w:val="none"/>
                      <w:lang w:val="en-US" w:eastAsia="zh-CN"/>
                    </w:rPr>
                    <w:t>66</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闪点-14</w:t>
                  </w:r>
                  <w:r>
                    <w:rPr>
                      <w:rFonts w:hint="eastAsia"/>
                      <w:color w:val="auto"/>
                      <w:highlight w:val="none"/>
                    </w:rPr>
                    <w:t>℃</w:t>
                  </w:r>
                  <w:r>
                    <w:rPr>
                      <w:rFonts w:hint="eastAsia"/>
                      <w:color w:val="auto"/>
                      <w:highlight w:val="none"/>
                      <w:lang w:eastAsia="zh-CN"/>
                    </w:rPr>
                    <w:t>，</w:t>
                  </w:r>
                  <w:r>
                    <w:rPr>
                      <w:rFonts w:hint="eastAsia"/>
                      <w:color w:val="auto"/>
                      <w:highlight w:val="none"/>
                    </w:rPr>
                    <w:t>密度</w:t>
                  </w:r>
                  <w:r>
                    <w:rPr>
                      <w:rFonts w:hint="eastAsia"/>
                      <w:color w:val="auto"/>
                      <w:highlight w:val="none"/>
                      <w:lang w:val="en-US" w:eastAsia="zh-CN"/>
                    </w:rPr>
                    <w:t>0.89</w:t>
                  </w:r>
                  <w:r>
                    <w:rPr>
                      <w:rFonts w:hint="eastAsia"/>
                      <w:color w:val="auto"/>
                      <w:highlight w:val="none"/>
                    </w:rPr>
                    <w:t>g/cm</w:t>
                  </w:r>
                  <w:r>
                    <w:rPr>
                      <w:rFonts w:hint="eastAsia"/>
                      <w:color w:val="auto"/>
                      <w:highlight w:val="none"/>
                      <w:vertAlign w:val="superscript"/>
                    </w:rPr>
                    <w:t>3</w:t>
                  </w:r>
                  <w:r>
                    <w:rPr>
                      <w:rFonts w:hint="eastAsia"/>
                      <w:color w:val="auto"/>
                      <w:highlight w:val="none"/>
                      <w:lang w:eastAsia="zh-CN"/>
                    </w:rPr>
                    <w:t>，溶于水、乙醇、乙醚、丙酮、苯等多数有机溶剂。</w:t>
                  </w:r>
                </w:p>
              </w:tc>
              <w:tc>
                <w:tcPr>
                  <w:tcW w:w="573" w:type="pct"/>
                  <w:vAlign w:val="center"/>
                </w:tcPr>
                <w:p w14:paraId="340CE9B2">
                  <w:pPr>
                    <w:pStyle w:val="41"/>
                    <w:bidi w:val="0"/>
                    <w:jc w:val="center"/>
                    <w:rPr>
                      <w:rFonts w:hint="eastAsia" w:eastAsia="宋体"/>
                      <w:lang w:val="en-US" w:eastAsia="zh-CN"/>
                    </w:rPr>
                  </w:pPr>
                  <w:r>
                    <w:rPr>
                      <w:rFonts w:hint="eastAsia"/>
                      <w:lang w:val="en-US" w:eastAsia="zh-CN"/>
                    </w:rPr>
                    <w:t>易燃</w:t>
                  </w:r>
                </w:p>
              </w:tc>
              <w:tc>
                <w:tcPr>
                  <w:tcW w:w="941" w:type="pct"/>
                  <w:vAlign w:val="center"/>
                </w:tcPr>
                <w:p w14:paraId="5380820E">
                  <w:pPr>
                    <w:pStyle w:val="41"/>
                    <w:bidi w:val="0"/>
                    <w:jc w:val="center"/>
                    <w:rPr>
                      <w:rFonts w:hint="eastAsia" w:eastAsia="宋体"/>
                      <w:lang w:eastAsia="zh-CN"/>
                    </w:rPr>
                  </w:pPr>
                  <w:r>
                    <w:rPr>
                      <w:rFonts w:hint="eastAsia"/>
                    </w:rPr>
                    <w:t>LD50</w:t>
                  </w:r>
                  <w:r>
                    <w:rPr>
                      <w:rFonts w:hint="eastAsia"/>
                      <w:lang w:eastAsia="zh-CN"/>
                    </w:rPr>
                    <w:t>：</w:t>
                  </w:r>
                  <w:r>
                    <w:rPr>
                      <w:rFonts w:hint="eastAsia"/>
                    </w:rPr>
                    <w:t>1650mg/kg</w:t>
                  </w:r>
                  <w:r>
                    <w:rPr>
                      <w:rFonts w:hint="eastAsia"/>
                      <w:lang w:eastAsia="zh-CN"/>
                    </w:rPr>
                    <w:t>（</w:t>
                  </w:r>
                  <w:r>
                    <w:rPr>
                      <w:rFonts w:hint="eastAsia"/>
                    </w:rPr>
                    <w:t>大鼠经口</w:t>
                  </w:r>
                  <w:r>
                    <w:rPr>
                      <w:rFonts w:hint="eastAsia"/>
                      <w:lang w:eastAsia="zh-CN"/>
                    </w:rPr>
                    <w:t>）</w:t>
                  </w:r>
                </w:p>
              </w:tc>
            </w:tr>
            <w:tr w14:paraId="0DED5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475942F2">
                  <w:pPr>
                    <w:pStyle w:val="41"/>
                    <w:bidi w:val="0"/>
                    <w:jc w:val="center"/>
                  </w:pPr>
                  <w:r>
                    <w:rPr>
                      <w:rFonts w:hint="eastAsia"/>
                    </w:rPr>
                    <w:t>1,4-二氧六环</w:t>
                  </w:r>
                </w:p>
              </w:tc>
              <w:tc>
                <w:tcPr>
                  <w:tcW w:w="1196" w:type="dxa"/>
                  <w:vAlign w:val="center"/>
                </w:tcPr>
                <w:p w14:paraId="13797023">
                  <w:pPr>
                    <w:pStyle w:val="41"/>
                    <w:bidi w:val="0"/>
                    <w:jc w:val="center"/>
                    <w:rPr>
                      <w:rFonts w:hint="eastAsia"/>
                    </w:rPr>
                  </w:pPr>
                  <w:r>
                    <w:rPr>
                      <w:rFonts w:hint="eastAsia"/>
                    </w:rPr>
                    <w:t>123-91-1</w:t>
                  </w:r>
                </w:p>
              </w:tc>
              <w:tc>
                <w:tcPr>
                  <w:tcW w:w="2211" w:type="pct"/>
                  <w:vAlign w:val="center"/>
                </w:tcPr>
                <w:p w14:paraId="0989E825">
                  <w:pPr>
                    <w:pStyle w:val="41"/>
                    <w:bidi w:val="0"/>
                    <w:jc w:val="center"/>
                    <w:rPr>
                      <w:rFonts w:hint="eastAsia" w:eastAsia="宋体"/>
                      <w:lang w:eastAsia="zh-CN"/>
                    </w:rPr>
                  </w:pPr>
                  <w:r>
                    <w:rPr>
                      <w:rFonts w:hint="eastAsia"/>
                    </w:rPr>
                    <w:t>C</w:t>
                  </w:r>
                  <w:r>
                    <w:rPr>
                      <w:rFonts w:hint="eastAsia"/>
                      <w:vertAlign w:val="subscript"/>
                    </w:rPr>
                    <w:t>4</w:t>
                  </w:r>
                  <w:r>
                    <w:rPr>
                      <w:rFonts w:hint="eastAsia"/>
                    </w:rPr>
                    <w:t>H</w:t>
                  </w:r>
                  <w:r>
                    <w:rPr>
                      <w:rFonts w:hint="eastAsia"/>
                      <w:vertAlign w:val="subscript"/>
                    </w:rPr>
                    <w:t>8</w:t>
                  </w:r>
                  <w:r>
                    <w:rPr>
                      <w:rFonts w:hint="eastAsia"/>
                    </w:rPr>
                    <w:t>O</w:t>
                  </w:r>
                  <w:r>
                    <w:rPr>
                      <w:rFonts w:hint="eastAsia"/>
                      <w:vertAlign w:val="subscript"/>
                    </w:rPr>
                    <w:t>2</w:t>
                  </w:r>
                  <w:r>
                    <w:rPr>
                      <w:rFonts w:hint="eastAsia"/>
                      <w:lang w:eastAsia="zh-CN"/>
                    </w:rPr>
                    <w:t>，</w:t>
                  </w:r>
                  <w:r>
                    <w:rPr>
                      <w:color w:val="auto"/>
                      <w:highlight w:val="none"/>
                    </w:rPr>
                    <w:t>无色透明液体，</w:t>
                  </w:r>
                  <w:r>
                    <w:rPr>
                      <w:rFonts w:hint="eastAsia"/>
                      <w:color w:val="auto"/>
                      <w:highlight w:val="none"/>
                    </w:rPr>
                    <w:t>熔点</w:t>
                  </w:r>
                  <w:r>
                    <w:rPr>
                      <w:rFonts w:hint="eastAsia"/>
                      <w:color w:val="auto"/>
                      <w:highlight w:val="none"/>
                      <w:lang w:val="en-US" w:eastAsia="zh-CN"/>
                    </w:rPr>
                    <w:t>12</w:t>
                  </w:r>
                  <w:r>
                    <w:rPr>
                      <w:rFonts w:hint="eastAsia"/>
                      <w:color w:val="auto"/>
                      <w:highlight w:val="none"/>
                    </w:rPr>
                    <w:t>℃</w:t>
                  </w:r>
                  <w:r>
                    <w:rPr>
                      <w:rFonts w:hint="eastAsia"/>
                      <w:color w:val="auto"/>
                      <w:highlight w:val="none"/>
                      <w:lang w:eastAsia="zh-CN"/>
                    </w:rPr>
                    <w:t>，</w:t>
                  </w:r>
                  <w:r>
                    <w:rPr>
                      <w:rFonts w:hint="eastAsia"/>
                      <w:color w:val="auto"/>
                      <w:highlight w:val="none"/>
                    </w:rPr>
                    <w:t>沸点</w:t>
                  </w:r>
                  <w:r>
                    <w:rPr>
                      <w:rFonts w:hint="eastAsia"/>
                      <w:color w:val="auto"/>
                      <w:highlight w:val="none"/>
                      <w:lang w:val="en-US" w:eastAsia="zh-CN"/>
                    </w:rPr>
                    <w:t>101</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闪点12</w:t>
                  </w:r>
                  <w:r>
                    <w:rPr>
                      <w:rFonts w:hint="eastAsia"/>
                      <w:color w:val="auto"/>
                      <w:highlight w:val="none"/>
                    </w:rPr>
                    <w:t>℃</w:t>
                  </w:r>
                  <w:r>
                    <w:rPr>
                      <w:rFonts w:hint="eastAsia"/>
                      <w:color w:val="auto"/>
                      <w:highlight w:val="none"/>
                      <w:lang w:eastAsia="zh-CN"/>
                    </w:rPr>
                    <w:t>，</w:t>
                  </w:r>
                  <w:r>
                    <w:rPr>
                      <w:rFonts w:hint="eastAsia"/>
                      <w:color w:val="auto"/>
                      <w:highlight w:val="none"/>
                    </w:rPr>
                    <w:t>密度</w:t>
                  </w:r>
                  <w:r>
                    <w:rPr>
                      <w:rFonts w:hint="eastAsia"/>
                      <w:color w:val="auto"/>
                      <w:highlight w:val="none"/>
                      <w:lang w:val="en-US" w:eastAsia="zh-CN"/>
                    </w:rPr>
                    <w:t>1.034</w:t>
                  </w:r>
                  <w:r>
                    <w:rPr>
                      <w:rFonts w:hint="eastAsia"/>
                      <w:color w:val="auto"/>
                      <w:highlight w:val="none"/>
                    </w:rPr>
                    <w:t>g/cm</w:t>
                  </w:r>
                  <w:r>
                    <w:rPr>
                      <w:rFonts w:hint="eastAsia"/>
                      <w:color w:val="auto"/>
                      <w:highlight w:val="none"/>
                      <w:vertAlign w:val="superscript"/>
                    </w:rPr>
                    <w:t>3</w:t>
                  </w:r>
                  <w:r>
                    <w:rPr>
                      <w:rFonts w:hint="eastAsia"/>
                      <w:color w:val="auto"/>
                      <w:highlight w:val="none"/>
                      <w:lang w:eastAsia="zh-CN"/>
                    </w:rPr>
                    <w:t>，与水混溶，可混溶于多数有机溶剂。</w:t>
                  </w:r>
                </w:p>
              </w:tc>
              <w:tc>
                <w:tcPr>
                  <w:tcW w:w="573" w:type="pct"/>
                  <w:vAlign w:val="center"/>
                </w:tcPr>
                <w:p w14:paraId="6D1D27D8">
                  <w:pPr>
                    <w:pStyle w:val="41"/>
                    <w:bidi w:val="0"/>
                    <w:jc w:val="center"/>
                    <w:rPr>
                      <w:rFonts w:hint="eastAsia" w:eastAsia="宋体"/>
                      <w:lang w:val="en-US" w:eastAsia="zh-CN"/>
                    </w:rPr>
                  </w:pPr>
                  <w:r>
                    <w:rPr>
                      <w:rFonts w:hint="eastAsia"/>
                      <w:lang w:val="en-US" w:eastAsia="zh-CN"/>
                    </w:rPr>
                    <w:t>易燃</w:t>
                  </w:r>
                </w:p>
              </w:tc>
              <w:tc>
                <w:tcPr>
                  <w:tcW w:w="941" w:type="pct"/>
                  <w:vAlign w:val="center"/>
                </w:tcPr>
                <w:p w14:paraId="07D71EE5">
                  <w:pPr>
                    <w:pStyle w:val="41"/>
                    <w:bidi w:val="0"/>
                    <w:jc w:val="center"/>
                    <w:rPr>
                      <w:rFonts w:hint="eastAsia"/>
                    </w:rPr>
                  </w:pPr>
                  <w:r>
                    <w:rPr>
                      <w:rFonts w:hint="eastAsia"/>
                    </w:rPr>
                    <w:t>LD50：5170mg/kg（大鼠经口）</w:t>
                  </w:r>
                </w:p>
                <w:p w14:paraId="4D0C0B2F">
                  <w:pPr>
                    <w:pStyle w:val="41"/>
                    <w:bidi w:val="0"/>
                    <w:jc w:val="center"/>
                    <w:rPr>
                      <w:rFonts w:hint="eastAsia"/>
                    </w:rPr>
                  </w:pPr>
                  <w:r>
                    <w:rPr>
                      <w:rFonts w:hint="eastAsia"/>
                    </w:rPr>
                    <w:t>LC50：46000mg/m3（大鼠吸入，2h）</w:t>
                  </w:r>
                </w:p>
              </w:tc>
            </w:tr>
            <w:tr w14:paraId="45168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3B27FB16">
                  <w:pPr>
                    <w:pStyle w:val="41"/>
                    <w:bidi w:val="0"/>
                    <w:jc w:val="center"/>
                    <w:rPr>
                      <w:rFonts w:hint="eastAsia"/>
                    </w:rPr>
                  </w:pPr>
                  <w:r>
                    <w:rPr>
                      <w:rFonts w:hint="eastAsia"/>
                      <w:lang w:val="en-US" w:eastAsia="zh-CN"/>
                    </w:rPr>
                    <w:t>N,N-二甲基甲酰胺</w:t>
                  </w:r>
                </w:p>
              </w:tc>
              <w:tc>
                <w:tcPr>
                  <w:tcW w:w="1196" w:type="dxa"/>
                  <w:vAlign w:val="center"/>
                </w:tcPr>
                <w:p w14:paraId="43443953">
                  <w:pPr>
                    <w:pStyle w:val="41"/>
                    <w:bidi w:val="0"/>
                    <w:jc w:val="center"/>
                    <w:rPr>
                      <w:rFonts w:hint="eastAsia"/>
                    </w:rPr>
                  </w:pPr>
                  <w:r>
                    <w:rPr>
                      <w:rFonts w:hint="eastAsia"/>
                    </w:rPr>
                    <w:t>68-12-2</w:t>
                  </w:r>
                </w:p>
              </w:tc>
              <w:tc>
                <w:tcPr>
                  <w:tcW w:w="2211" w:type="pct"/>
                  <w:shd w:val="clear" w:color="auto" w:fill="auto"/>
                  <w:vAlign w:val="center"/>
                </w:tcPr>
                <w:p w14:paraId="102F08DF">
                  <w:pPr>
                    <w:pStyle w:val="41"/>
                    <w:bidi w:val="0"/>
                    <w:rPr>
                      <w:rFonts w:hint="eastAsia" w:ascii="Times New Roman" w:hAnsi="Times New Roman" w:eastAsia="宋体" w:cs="Times New Roman"/>
                      <w:kern w:val="0"/>
                      <w:sz w:val="21"/>
                      <w:szCs w:val="24"/>
                      <w:lang w:val="en-US" w:eastAsia="zh-CN" w:bidi="ar-SA"/>
                    </w:rPr>
                  </w:pPr>
                  <w:r>
                    <w:rPr>
                      <w:rFonts w:hint="eastAsia"/>
                    </w:rPr>
                    <w:t>C</w:t>
                  </w:r>
                  <w:r>
                    <w:rPr>
                      <w:rFonts w:hint="eastAsia"/>
                      <w:vertAlign w:val="subscript"/>
                    </w:rPr>
                    <w:t>3</w:t>
                  </w:r>
                  <w:r>
                    <w:rPr>
                      <w:rFonts w:hint="eastAsia"/>
                    </w:rPr>
                    <w:t>H</w:t>
                  </w:r>
                  <w:r>
                    <w:rPr>
                      <w:rFonts w:hint="eastAsia"/>
                      <w:vertAlign w:val="subscript"/>
                    </w:rPr>
                    <w:t>7</w:t>
                  </w:r>
                  <w:r>
                    <w:rPr>
                      <w:rFonts w:hint="eastAsia"/>
                    </w:rPr>
                    <w:t>NO</w:t>
                  </w:r>
                  <w:r>
                    <w:rPr>
                      <w:rFonts w:hint="eastAsia"/>
                      <w:lang w:eastAsia="zh-CN"/>
                    </w:rPr>
                    <w:t>，</w:t>
                  </w:r>
                  <w:r>
                    <w:rPr>
                      <w:rFonts w:hint="eastAsia"/>
                    </w:rPr>
                    <w:t>无色液体，有微弱的特殊臭味，熔点-61</w:t>
                  </w:r>
                  <w:r>
                    <w:t>℃</w:t>
                  </w:r>
                  <w:r>
                    <w:rPr>
                      <w:rFonts w:hint="eastAsia"/>
                    </w:rPr>
                    <w:t>、沸点152.8</w:t>
                  </w:r>
                  <w:r>
                    <w:t>℃</w:t>
                  </w:r>
                  <w:r>
                    <w:rPr>
                      <w:rFonts w:hint="eastAsia"/>
                    </w:rPr>
                    <w:t>，相对密度0.94</w:t>
                  </w:r>
                  <w:r>
                    <w:rPr>
                      <w:rFonts w:hint="eastAsia"/>
                      <w:color w:val="auto"/>
                      <w:highlight w:val="none"/>
                    </w:rPr>
                    <w:t>g/cm</w:t>
                  </w:r>
                  <w:r>
                    <w:rPr>
                      <w:rFonts w:hint="eastAsia"/>
                      <w:color w:val="auto"/>
                      <w:highlight w:val="none"/>
                      <w:vertAlign w:val="superscript"/>
                    </w:rPr>
                    <w:t>3</w:t>
                  </w:r>
                  <w:r>
                    <w:rPr>
                      <w:rFonts w:hint="eastAsia"/>
                    </w:rPr>
                    <w:t>（水=1），与水互溶，可混溶于多数有机溶剂</w:t>
                  </w:r>
                  <w:r>
                    <w:rPr>
                      <w:rFonts w:hint="eastAsia"/>
                      <w:lang w:eastAsia="zh-CN"/>
                    </w:rPr>
                    <w:t>。</w:t>
                  </w:r>
                </w:p>
              </w:tc>
              <w:tc>
                <w:tcPr>
                  <w:tcW w:w="573" w:type="pct"/>
                  <w:shd w:val="clear" w:color="auto" w:fill="auto"/>
                  <w:vAlign w:val="center"/>
                </w:tcPr>
                <w:p w14:paraId="3098BB6B">
                  <w:pPr>
                    <w:pStyle w:val="41"/>
                    <w:bidi w:val="0"/>
                    <w:rPr>
                      <w:rFonts w:hint="eastAsia" w:ascii="Times New Roman" w:hAnsi="Times New Roman" w:eastAsia="宋体" w:cs="Times New Roman"/>
                      <w:kern w:val="0"/>
                      <w:sz w:val="21"/>
                      <w:szCs w:val="24"/>
                      <w:lang w:val="en-US" w:eastAsia="zh-CN" w:bidi="ar-SA"/>
                    </w:rPr>
                  </w:pPr>
                  <w:r>
                    <w:rPr>
                      <w:rFonts w:hint="eastAsia"/>
                    </w:rPr>
                    <w:t>易燃</w:t>
                  </w:r>
                </w:p>
              </w:tc>
              <w:tc>
                <w:tcPr>
                  <w:tcW w:w="941" w:type="pct"/>
                  <w:shd w:val="clear" w:color="auto" w:fill="auto"/>
                  <w:vAlign w:val="center"/>
                </w:tcPr>
                <w:p w14:paraId="55ECD8D3">
                  <w:pPr>
                    <w:pStyle w:val="41"/>
                    <w:bidi w:val="0"/>
                    <w:rPr>
                      <w:rFonts w:hint="eastAsia" w:ascii="Times New Roman" w:hAnsi="Times New Roman" w:eastAsia="宋体" w:cs="Times New Roman"/>
                      <w:kern w:val="0"/>
                      <w:sz w:val="21"/>
                      <w:szCs w:val="24"/>
                      <w:lang w:val="en-US" w:eastAsia="zh-CN" w:bidi="ar-SA"/>
                    </w:rPr>
                  </w:pPr>
                  <w:r>
                    <w:t>LD50：</w:t>
                  </w:r>
                  <w:r>
                    <w:rPr>
                      <w:rFonts w:hint="eastAsia"/>
                    </w:rPr>
                    <w:t>4000</w:t>
                  </w:r>
                  <w:r>
                    <w:t>mg/kg（大鼠经口）</w:t>
                  </w:r>
                </w:p>
              </w:tc>
            </w:tr>
            <w:tr w14:paraId="35087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1B30C76C">
                  <w:pPr>
                    <w:pStyle w:val="41"/>
                    <w:bidi w:val="0"/>
                    <w:jc w:val="center"/>
                    <w:rPr>
                      <w:rFonts w:hint="eastAsia"/>
                      <w:lang w:val="en-US" w:eastAsia="zh-CN"/>
                    </w:rPr>
                  </w:pPr>
                  <w:r>
                    <w:rPr>
                      <w:rFonts w:hint="eastAsia"/>
                      <w:lang w:val="en-US" w:eastAsia="zh-CN"/>
                    </w:rPr>
                    <w:t>二甲基亚砜</w:t>
                  </w:r>
                </w:p>
              </w:tc>
              <w:tc>
                <w:tcPr>
                  <w:tcW w:w="1196" w:type="dxa"/>
                  <w:vAlign w:val="center"/>
                </w:tcPr>
                <w:p w14:paraId="4C68E6A0">
                  <w:pPr>
                    <w:pStyle w:val="41"/>
                    <w:bidi w:val="0"/>
                    <w:jc w:val="center"/>
                    <w:rPr>
                      <w:rFonts w:hint="eastAsia"/>
                    </w:rPr>
                  </w:pPr>
                  <w:r>
                    <w:rPr>
                      <w:rFonts w:hint="eastAsia"/>
                    </w:rPr>
                    <w:t>67-68-5</w:t>
                  </w:r>
                </w:p>
              </w:tc>
              <w:tc>
                <w:tcPr>
                  <w:tcW w:w="2211" w:type="pct"/>
                  <w:vAlign w:val="center"/>
                </w:tcPr>
                <w:p w14:paraId="5244FD2F">
                  <w:pPr>
                    <w:pStyle w:val="41"/>
                    <w:bidi w:val="0"/>
                    <w:jc w:val="center"/>
                    <w:rPr>
                      <w:rFonts w:hint="eastAsia" w:eastAsia="宋体"/>
                      <w:lang w:eastAsia="zh-CN"/>
                    </w:rPr>
                  </w:pPr>
                  <w:r>
                    <w:rPr>
                      <w:rFonts w:hint="eastAsia"/>
                    </w:rPr>
                    <w:t>C</w:t>
                  </w:r>
                  <w:r>
                    <w:rPr>
                      <w:rFonts w:hint="eastAsia"/>
                      <w:vertAlign w:val="subscript"/>
                    </w:rPr>
                    <w:t>2</w:t>
                  </w:r>
                  <w:r>
                    <w:rPr>
                      <w:rFonts w:hint="eastAsia"/>
                    </w:rPr>
                    <w:t>H</w:t>
                  </w:r>
                  <w:r>
                    <w:rPr>
                      <w:rFonts w:hint="eastAsia"/>
                      <w:vertAlign w:val="subscript"/>
                    </w:rPr>
                    <w:t>6</w:t>
                  </w:r>
                  <w:r>
                    <w:rPr>
                      <w:rFonts w:hint="eastAsia"/>
                    </w:rPr>
                    <w:t>OS</w:t>
                  </w:r>
                  <w:r>
                    <w:rPr>
                      <w:rFonts w:hint="eastAsia"/>
                      <w:lang w:eastAsia="zh-CN"/>
                    </w:rPr>
                    <w:t>，</w:t>
                  </w:r>
                  <w:r>
                    <w:rPr>
                      <w:rFonts w:hint="eastAsia"/>
                    </w:rPr>
                    <w:t>无色液体，熔点</w:t>
                  </w:r>
                  <w:r>
                    <w:rPr>
                      <w:rFonts w:hint="eastAsia"/>
                      <w:lang w:val="en-US" w:eastAsia="zh-CN"/>
                    </w:rPr>
                    <w:t>18.55</w:t>
                  </w:r>
                  <w:r>
                    <w:t>℃</w:t>
                  </w:r>
                  <w:r>
                    <w:rPr>
                      <w:rFonts w:hint="eastAsia"/>
                    </w:rPr>
                    <w:t>、沸点</w:t>
                  </w:r>
                  <w:r>
                    <w:rPr>
                      <w:rFonts w:hint="eastAsia"/>
                      <w:lang w:val="en-US" w:eastAsia="zh-CN"/>
                    </w:rPr>
                    <w:t>189</w:t>
                  </w:r>
                  <w:r>
                    <w:t>℃</w:t>
                  </w:r>
                  <w:r>
                    <w:rPr>
                      <w:rFonts w:hint="eastAsia"/>
                    </w:rPr>
                    <w:t>，</w:t>
                  </w:r>
                  <w:r>
                    <w:rPr>
                      <w:rFonts w:hint="eastAsia"/>
                      <w:lang w:val="en-US" w:eastAsia="zh-CN"/>
                    </w:rPr>
                    <w:t>闪点95℃，</w:t>
                  </w:r>
                  <w:r>
                    <w:rPr>
                      <w:rFonts w:hint="eastAsia"/>
                    </w:rPr>
                    <w:t>密度</w:t>
                  </w:r>
                  <w:r>
                    <w:rPr>
                      <w:rFonts w:hint="eastAsia"/>
                      <w:lang w:val="en-US" w:eastAsia="zh-CN"/>
                    </w:rPr>
                    <w:t>1.1</w:t>
                  </w:r>
                  <w:r>
                    <w:rPr>
                      <w:rFonts w:hint="eastAsia"/>
                      <w:color w:val="auto"/>
                      <w:highlight w:val="none"/>
                    </w:rPr>
                    <w:t>g/cm</w:t>
                  </w:r>
                  <w:r>
                    <w:rPr>
                      <w:rFonts w:hint="eastAsia"/>
                      <w:color w:val="auto"/>
                      <w:highlight w:val="none"/>
                      <w:vertAlign w:val="superscript"/>
                    </w:rPr>
                    <w:t>3</w:t>
                  </w:r>
                  <w:r>
                    <w:rPr>
                      <w:rFonts w:hint="eastAsia"/>
                      <w:lang w:eastAsia="zh-CN"/>
                    </w:rPr>
                    <w:t>。</w:t>
                  </w:r>
                </w:p>
              </w:tc>
              <w:tc>
                <w:tcPr>
                  <w:tcW w:w="573" w:type="pct"/>
                  <w:vAlign w:val="center"/>
                </w:tcPr>
                <w:p w14:paraId="4EA02601">
                  <w:pPr>
                    <w:pStyle w:val="41"/>
                    <w:bidi w:val="0"/>
                    <w:jc w:val="center"/>
                    <w:rPr>
                      <w:rFonts w:hint="eastAsia" w:eastAsia="宋体"/>
                      <w:lang w:val="en-US" w:eastAsia="zh-CN"/>
                    </w:rPr>
                  </w:pPr>
                  <w:r>
                    <w:rPr>
                      <w:rFonts w:hint="eastAsia"/>
                      <w:lang w:val="en-US" w:eastAsia="zh-CN"/>
                    </w:rPr>
                    <w:t>可燃</w:t>
                  </w:r>
                </w:p>
              </w:tc>
              <w:tc>
                <w:tcPr>
                  <w:tcW w:w="941" w:type="pct"/>
                  <w:vAlign w:val="center"/>
                </w:tcPr>
                <w:p w14:paraId="38115A2F">
                  <w:pPr>
                    <w:pStyle w:val="41"/>
                    <w:bidi w:val="0"/>
                    <w:jc w:val="center"/>
                    <w:rPr>
                      <w:rFonts w:hint="eastAsia" w:eastAsia="宋体"/>
                      <w:lang w:eastAsia="zh-CN"/>
                    </w:rPr>
                  </w:pPr>
                  <w:r>
                    <w:rPr>
                      <w:rFonts w:hint="eastAsia"/>
                    </w:rPr>
                    <w:t>大LD50</w:t>
                  </w:r>
                  <w:r>
                    <w:rPr>
                      <w:rFonts w:hint="eastAsia"/>
                      <w:lang w:eastAsia="zh-CN"/>
                    </w:rPr>
                    <w:t>：</w:t>
                  </w:r>
                  <w:r>
                    <w:rPr>
                      <w:rFonts w:hint="eastAsia"/>
                    </w:rPr>
                    <w:t>18.9g/kg</w:t>
                  </w:r>
                  <w:r>
                    <w:rPr>
                      <w:rFonts w:hint="eastAsia"/>
                      <w:lang w:eastAsia="zh-CN"/>
                    </w:rPr>
                    <w:t>（</w:t>
                  </w:r>
                  <w:r>
                    <w:rPr>
                      <w:rFonts w:hint="eastAsia"/>
                    </w:rPr>
                    <w:t>鼠经口</w:t>
                  </w:r>
                  <w:r>
                    <w:rPr>
                      <w:rFonts w:hint="eastAsia"/>
                      <w:lang w:eastAsia="zh-CN"/>
                    </w:rPr>
                    <w:t>）</w:t>
                  </w:r>
                </w:p>
              </w:tc>
            </w:tr>
            <w:tr w14:paraId="20EBC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3C18C6DA">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碳酸钠</w:t>
                  </w:r>
                </w:p>
              </w:tc>
              <w:tc>
                <w:tcPr>
                  <w:tcW w:w="1196" w:type="dxa"/>
                  <w:vAlign w:val="center"/>
                </w:tcPr>
                <w:p w14:paraId="0C73FA69">
                  <w:pPr>
                    <w:pStyle w:val="41"/>
                    <w:bidi w:val="0"/>
                    <w:jc w:val="center"/>
                    <w:rPr>
                      <w:rFonts w:hint="eastAsia"/>
                    </w:rPr>
                  </w:pPr>
                  <w:r>
                    <w:rPr>
                      <w:rFonts w:hint="eastAsia"/>
                    </w:rPr>
                    <w:t>497-19-8</w:t>
                  </w:r>
                </w:p>
              </w:tc>
              <w:tc>
                <w:tcPr>
                  <w:tcW w:w="2211" w:type="pct"/>
                  <w:shd w:val="clear" w:color="auto" w:fill="auto"/>
                  <w:vAlign w:val="center"/>
                </w:tcPr>
                <w:p w14:paraId="461B8637">
                  <w:pPr>
                    <w:pStyle w:val="41"/>
                    <w:bidi w:val="0"/>
                    <w:rPr>
                      <w:rFonts w:hint="eastAsia" w:ascii="Times New Roman" w:hAnsi="Times New Roman" w:eastAsia="宋体" w:cs="Times New Roman"/>
                      <w:kern w:val="0"/>
                      <w:sz w:val="21"/>
                      <w:szCs w:val="24"/>
                      <w:lang w:val="en-US" w:eastAsia="zh-CN" w:bidi="ar-SA"/>
                    </w:rPr>
                  </w:pPr>
                  <w:r>
                    <w:rPr>
                      <w:rFonts w:hint="eastAsia"/>
                    </w:rPr>
                    <w:t>Na</w:t>
                  </w:r>
                  <w:r>
                    <w:rPr>
                      <w:rFonts w:hint="eastAsia"/>
                      <w:vertAlign w:val="subscript"/>
                    </w:rPr>
                    <w:t>2</w:t>
                  </w:r>
                  <w:r>
                    <w:rPr>
                      <w:rFonts w:hint="eastAsia"/>
                    </w:rPr>
                    <w:t>CO</w:t>
                  </w:r>
                  <w:r>
                    <w:rPr>
                      <w:rFonts w:hint="eastAsia"/>
                      <w:vertAlign w:val="subscript"/>
                    </w:rPr>
                    <w:t>3</w:t>
                  </w:r>
                  <w:r>
                    <w:rPr>
                      <w:rFonts w:hint="eastAsia"/>
                      <w:lang w:eastAsia="zh-CN"/>
                    </w:rPr>
                    <w:t>，</w:t>
                  </w:r>
                  <w:r>
                    <w:rPr>
                      <w:rFonts w:hint="eastAsia"/>
                    </w:rPr>
                    <w:t>白色</w:t>
                  </w:r>
                  <w:r>
                    <w:rPr>
                      <w:rFonts w:hint="eastAsia"/>
                      <w:lang w:val="en-US" w:eastAsia="zh-CN"/>
                    </w:rPr>
                    <w:t>粉末</w:t>
                  </w:r>
                  <w:r>
                    <w:rPr>
                      <w:rFonts w:hint="eastAsia"/>
                    </w:rPr>
                    <w:t>，熔点</w:t>
                  </w:r>
                  <w:r>
                    <w:rPr>
                      <w:rFonts w:hint="eastAsia"/>
                      <w:lang w:val="en-US" w:eastAsia="zh-CN"/>
                    </w:rPr>
                    <w:t>851</w:t>
                  </w:r>
                  <w:r>
                    <w:t>℃</w:t>
                  </w:r>
                  <w:r>
                    <w:rPr>
                      <w:rFonts w:hint="eastAsia"/>
                    </w:rPr>
                    <w:t>、沸点</w:t>
                  </w:r>
                  <w:r>
                    <w:rPr>
                      <w:rFonts w:hint="eastAsia"/>
                      <w:lang w:val="en-US" w:eastAsia="zh-CN"/>
                    </w:rPr>
                    <w:t>1600</w:t>
                  </w:r>
                  <w:r>
                    <w:t>℃</w:t>
                  </w:r>
                  <w:r>
                    <w:rPr>
                      <w:rFonts w:hint="eastAsia"/>
                    </w:rPr>
                    <w:t>，</w:t>
                  </w:r>
                  <w:r>
                    <w:rPr>
                      <w:rFonts w:hint="eastAsia"/>
                      <w:lang w:val="en-US" w:eastAsia="zh-CN"/>
                    </w:rPr>
                    <w:t>闪点169.8℃，</w:t>
                  </w:r>
                  <w:r>
                    <w:rPr>
                      <w:rFonts w:hint="eastAsia"/>
                    </w:rPr>
                    <w:t>密度</w:t>
                  </w:r>
                  <w:r>
                    <w:rPr>
                      <w:rFonts w:hint="eastAsia"/>
                      <w:lang w:val="en-US" w:eastAsia="zh-CN"/>
                    </w:rPr>
                    <w:t>2.532</w:t>
                  </w:r>
                  <w:r>
                    <w:rPr>
                      <w:rFonts w:hint="eastAsia"/>
                      <w:color w:val="auto"/>
                      <w:highlight w:val="none"/>
                    </w:rPr>
                    <w:t>g/cm</w:t>
                  </w:r>
                  <w:r>
                    <w:rPr>
                      <w:rFonts w:hint="eastAsia"/>
                      <w:color w:val="auto"/>
                      <w:highlight w:val="none"/>
                      <w:vertAlign w:val="superscript"/>
                    </w:rPr>
                    <w:t>3</w:t>
                  </w:r>
                  <w:r>
                    <w:rPr>
                      <w:rFonts w:hint="eastAsia"/>
                      <w:lang w:eastAsia="zh-CN"/>
                    </w:rPr>
                    <w:t>。</w:t>
                  </w:r>
                  <w:r>
                    <w:rPr>
                      <w:rFonts w:hint="eastAsia"/>
                    </w:rPr>
                    <w:t>易溶于水和甘油，微溶于无水乙醇，难溶于丙醇。</w:t>
                  </w:r>
                </w:p>
              </w:tc>
              <w:tc>
                <w:tcPr>
                  <w:tcW w:w="573" w:type="pct"/>
                  <w:shd w:val="clear" w:color="auto" w:fill="auto"/>
                  <w:vAlign w:val="center"/>
                </w:tcPr>
                <w:p w14:paraId="38DE234D">
                  <w:pPr>
                    <w:pStyle w:val="41"/>
                    <w:bidi w:val="0"/>
                    <w:rPr>
                      <w:rFonts w:hint="eastAsia" w:ascii="Times New Roman" w:hAnsi="Times New Roman" w:eastAsia="宋体" w:cs="Times New Roman"/>
                      <w:kern w:val="0"/>
                      <w:sz w:val="21"/>
                      <w:szCs w:val="24"/>
                      <w:lang w:val="en-US" w:eastAsia="zh-CN" w:bidi="ar-SA"/>
                    </w:rPr>
                  </w:pPr>
                  <w:r>
                    <w:rPr>
                      <w:rFonts w:hint="eastAsia"/>
                    </w:rPr>
                    <w:t>不燃</w:t>
                  </w:r>
                </w:p>
              </w:tc>
              <w:tc>
                <w:tcPr>
                  <w:tcW w:w="941" w:type="pct"/>
                  <w:shd w:val="clear" w:color="auto" w:fill="auto"/>
                  <w:vAlign w:val="center"/>
                </w:tcPr>
                <w:p w14:paraId="50AF79D9">
                  <w:pPr>
                    <w:pStyle w:val="41"/>
                    <w:bidi w:val="0"/>
                    <w:rPr>
                      <w:rFonts w:hint="eastAsia" w:ascii="Times New Roman" w:hAnsi="Times New Roman" w:eastAsia="宋体" w:cs="Times New Roman"/>
                      <w:kern w:val="0"/>
                      <w:sz w:val="21"/>
                      <w:szCs w:val="24"/>
                      <w:lang w:val="en-US" w:eastAsia="zh-CN" w:bidi="ar-SA"/>
                    </w:rPr>
                  </w:pPr>
                  <w:r>
                    <w:t>LD50：</w:t>
                  </w:r>
                  <w:r>
                    <w:rPr>
                      <w:rFonts w:hint="eastAsia"/>
                    </w:rPr>
                    <w:t>4090</w:t>
                  </w:r>
                  <w:r>
                    <w:t>mg/kg（大鼠经口）</w:t>
                  </w:r>
                </w:p>
              </w:tc>
            </w:tr>
            <w:tr w14:paraId="607DD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651C557B">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碳酸铯</w:t>
                  </w:r>
                </w:p>
              </w:tc>
              <w:tc>
                <w:tcPr>
                  <w:tcW w:w="1196" w:type="dxa"/>
                  <w:vAlign w:val="center"/>
                </w:tcPr>
                <w:p w14:paraId="5FC03608">
                  <w:pPr>
                    <w:pStyle w:val="41"/>
                    <w:bidi w:val="0"/>
                    <w:jc w:val="center"/>
                    <w:rPr>
                      <w:rFonts w:hint="eastAsia"/>
                    </w:rPr>
                  </w:pPr>
                  <w:r>
                    <w:rPr>
                      <w:rFonts w:hint="eastAsia"/>
                    </w:rPr>
                    <w:t>534-17-8</w:t>
                  </w:r>
                </w:p>
              </w:tc>
              <w:tc>
                <w:tcPr>
                  <w:tcW w:w="2211" w:type="pct"/>
                  <w:vAlign w:val="center"/>
                </w:tcPr>
                <w:p w14:paraId="024141C1">
                  <w:pPr>
                    <w:pStyle w:val="41"/>
                    <w:bidi w:val="0"/>
                    <w:jc w:val="center"/>
                    <w:rPr>
                      <w:rFonts w:hint="eastAsia"/>
                    </w:rPr>
                  </w:pPr>
                  <w:r>
                    <w:rPr>
                      <w:rFonts w:hint="eastAsia"/>
                    </w:rPr>
                    <w:t>Cs</w:t>
                  </w:r>
                  <w:r>
                    <w:rPr>
                      <w:rFonts w:hint="eastAsia"/>
                      <w:vertAlign w:val="subscript"/>
                    </w:rPr>
                    <w:t>2</w:t>
                  </w:r>
                  <w:r>
                    <w:rPr>
                      <w:rFonts w:hint="eastAsia"/>
                    </w:rPr>
                    <w:t>CO</w:t>
                  </w:r>
                  <w:r>
                    <w:rPr>
                      <w:rFonts w:hint="eastAsia"/>
                      <w:vertAlign w:val="subscript"/>
                    </w:rPr>
                    <w:t>3</w:t>
                  </w:r>
                  <w:r>
                    <w:rPr>
                      <w:rFonts w:hint="eastAsia"/>
                      <w:lang w:eastAsia="zh-CN"/>
                    </w:rPr>
                    <w:t>，</w:t>
                  </w:r>
                  <w:r>
                    <w:rPr>
                      <w:rFonts w:hint="eastAsia"/>
                    </w:rPr>
                    <w:t>白色</w:t>
                  </w:r>
                  <w:r>
                    <w:rPr>
                      <w:rFonts w:hint="eastAsia"/>
                      <w:lang w:val="en-US" w:eastAsia="zh-CN"/>
                    </w:rPr>
                    <w:t>粉末</w:t>
                  </w:r>
                  <w:r>
                    <w:rPr>
                      <w:rFonts w:hint="eastAsia"/>
                    </w:rPr>
                    <w:t>，熔点</w:t>
                  </w:r>
                  <w:r>
                    <w:rPr>
                      <w:rFonts w:hint="eastAsia"/>
                      <w:lang w:val="en-US" w:eastAsia="zh-CN"/>
                    </w:rPr>
                    <w:t>610</w:t>
                  </w:r>
                  <w:r>
                    <w:t>℃</w:t>
                  </w:r>
                  <w:r>
                    <w:rPr>
                      <w:rFonts w:hint="eastAsia"/>
                    </w:rPr>
                    <w:t>、沸点</w:t>
                  </w:r>
                  <w:r>
                    <w:rPr>
                      <w:rFonts w:hint="eastAsia"/>
                      <w:lang w:val="en-US" w:eastAsia="zh-CN"/>
                    </w:rPr>
                    <w:t>333.6</w:t>
                  </w:r>
                  <w:r>
                    <w:t>℃</w:t>
                  </w:r>
                  <w:r>
                    <w:rPr>
                      <w:rFonts w:hint="eastAsia"/>
                    </w:rPr>
                    <w:t>，</w:t>
                  </w:r>
                  <w:r>
                    <w:rPr>
                      <w:rFonts w:hint="eastAsia"/>
                      <w:lang w:val="en-US" w:eastAsia="zh-CN"/>
                    </w:rPr>
                    <w:t>闪点169.8℃，</w:t>
                  </w:r>
                  <w:r>
                    <w:rPr>
                      <w:rFonts w:hint="eastAsia"/>
                    </w:rPr>
                    <w:t>密度</w:t>
                  </w:r>
                  <w:r>
                    <w:rPr>
                      <w:rFonts w:hint="eastAsia"/>
                      <w:lang w:val="en-US" w:eastAsia="zh-CN"/>
                    </w:rPr>
                    <w:t>4.072</w:t>
                  </w:r>
                  <w:r>
                    <w:rPr>
                      <w:rFonts w:hint="eastAsia"/>
                      <w:color w:val="auto"/>
                      <w:highlight w:val="none"/>
                    </w:rPr>
                    <w:t>g/cm</w:t>
                  </w:r>
                  <w:r>
                    <w:rPr>
                      <w:rFonts w:hint="eastAsia"/>
                      <w:color w:val="auto"/>
                      <w:highlight w:val="none"/>
                      <w:vertAlign w:val="superscript"/>
                    </w:rPr>
                    <w:t>3</w:t>
                  </w:r>
                  <w:r>
                    <w:rPr>
                      <w:rFonts w:hint="eastAsia"/>
                      <w:lang w:eastAsia="zh-CN"/>
                    </w:rPr>
                    <w:t>，</w:t>
                  </w:r>
                  <w:r>
                    <w:rPr>
                      <w:rFonts w:hint="eastAsia"/>
                    </w:rPr>
                    <w:t>易溶于水。</w:t>
                  </w:r>
                </w:p>
              </w:tc>
              <w:tc>
                <w:tcPr>
                  <w:tcW w:w="573" w:type="pct"/>
                  <w:vAlign w:val="center"/>
                </w:tcPr>
                <w:p w14:paraId="76A56167">
                  <w:pPr>
                    <w:pStyle w:val="41"/>
                    <w:bidi w:val="0"/>
                    <w:jc w:val="center"/>
                    <w:rPr>
                      <w:rFonts w:hint="eastAsia" w:eastAsia="宋体"/>
                      <w:lang w:val="en-US" w:eastAsia="zh-CN"/>
                    </w:rPr>
                  </w:pPr>
                  <w:r>
                    <w:rPr>
                      <w:rFonts w:hint="eastAsia"/>
                      <w:lang w:val="en-US" w:eastAsia="zh-CN"/>
                    </w:rPr>
                    <w:t>不燃</w:t>
                  </w:r>
                </w:p>
              </w:tc>
              <w:tc>
                <w:tcPr>
                  <w:tcW w:w="941" w:type="pct"/>
                  <w:vAlign w:val="center"/>
                </w:tcPr>
                <w:p w14:paraId="3E62D8EE">
                  <w:pPr>
                    <w:pStyle w:val="41"/>
                    <w:bidi w:val="0"/>
                    <w:jc w:val="center"/>
                    <w:rPr>
                      <w:rFonts w:hint="eastAsia"/>
                    </w:rPr>
                  </w:pPr>
                  <w:r>
                    <w:rPr>
                      <w:rFonts w:hint="eastAsia"/>
                    </w:rPr>
                    <w:t>LD50</w:t>
                  </w:r>
                  <w:r>
                    <w:rPr>
                      <w:rFonts w:hint="eastAsia"/>
                      <w:lang w:eastAsia="zh-CN"/>
                    </w:rPr>
                    <w:t>：</w:t>
                  </w:r>
                  <w:r>
                    <w:rPr>
                      <w:rFonts w:hint="eastAsia"/>
                    </w:rPr>
                    <w:t>2333mg/kg</w:t>
                  </w:r>
                  <w:r>
                    <w:t>（大鼠经口）</w:t>
                  </w:r>
                </w:p>
              </w:tc>
            </w:tr>
            <w:tr w14:paraId="18851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5C416D00">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氢氧化锂</w:t>
                  </w:r>
                </w:p>
              </w:tc>
              <w:tc>
                <w:tcPr>
                  <w:tcW w:w="1196" w:type="dxa"/>
                  <w:vAlign w:val="center"/>
                </w:tcPr>
                <w:p w14:paraId="38A0A06C">
                  <w:pPr>
                    <w:pStyle w:val="41"/>
                    <w:bidi w:val="0"/>
                    <w:jc w:val="center"/>
                    <w:rPr>
                      <w:rFonts w:hint="eastAsia"/>
                    </w:rPr>
                  </w:pPr>
                  <w:r>
                    <w:rPr>
                      <w:rFonts w:hint="eastAsia"/>
                    </w:rPr>
                    <w:t>1310-65-2</w:t>
                  </w:r>
                </w:p>
              </w:tc>
              <w:tc>
                <w:tcPr>
                  <w:tcW w:w="2211" w:type="pct"/>
                  <w:vAlign w:val="center"/>
                </w:tcPr>
                <w:p w14:paraId="2A728717">
                  <w:pPr>
                    <w:pStyle w:val="41"/>
                    <w:bidi w:val="0"/>
                    <w:jc w:val="center"/>
                    <w:rPr>
                      <w:rFonts w:hint="eastAsia" w:eastAsia="宋体"/>
                      <w:lang w:eastAsia="zh-CN"/>
                    </w:rPr>
                  </w:pPr>
                  <w:r>
                    <w:rPr>
                      <w:rFonts w:hint="eastAsia"/>
                    </w:rPr>
                    <w:t>LiOH</w:t>
                  </w:r>
                  <w:r>
                    <w:rPr>
                      <w:rFonts w:hint="eastAsia"/>
                      <w:lang w:eastAsia="zh-CN"/>
                    </w:rPr>
                    <w:t>，</w:t>
                  </w:r>
                  <w:r>
                    <w:rPr>
                      <w:rFonts w:hint="eastAsia"/>
                    </w:rPr>
                    <w:t>白色</w:t>
                  </w:r>
                  <w:r>
                    <w:rPr>
                      <w:rFonts w:hint="eastAsia"/>
                      <w:lang w:val="en-US" w:eastAsia="zh-CN"/>
                    </w:rPr>
                    <w:t>结晶粉末</w:t>
                  </w:r>
                  <w:r>
                    <w:rPr>
                      <w:rFonts w:hint="eastAsia"/>
                    </w:rPr>
                    <w:t>，熔点</w:t>
                  </w:r>
                  <w:r>
                    <w:rPr>
                      <w:rFonts w:hint="eastAsia"/>
                      <w:lang w:val="en-US" w:eastAsia="zh-CN"/>
                    </w:rPr>
                    <w:t>462</w:t>
                  </w:r>
                  <w:r>
                    <w:t>℃</w:t>
                  </w:r>
                  <w:r>
                    <w:rPr>
                      <w:rFonts w:hint="eastAsia"/>
                    </w:rPr>
                    <w:t>、沸点</w:t>
                  </w:r>
                  <w:r>
                    <w:rPr>
                      <w:rFonts w:hint="eastAsia"/>
                      <w:lang w:val="en-US" w:eastAsia="zh-CN"/>
                    </w:rPr>
                    <w:t>925</w:t>
                  </w:r>
                  <w:r>
                    <w:t>℃</w:t>
                  </w:r>
                  <w:r>
                    <w:rPr>
                      <w:rFonts w:hint="eastAsia"/>
                    </w:rPr>
                    <w:t>，密度</w:t>
                  </w:r>
                  <w:r>
                    <w:rPr>
                      <w:rFonts w:hint="eastAsia"/>
                      <w:lang w:val="en-US" w:eastAsia="zh-CN"/>
                    </w:rPr>
                    <w:t>1.43</w:t>
                  </w:r>
                  <w:r>
                    <w:rPr>
                      <w:rFonts w:hint="eastAsia"/>
                      <w:color w:val="auto"/>
                      <w:highlight w:val="none"/>
                    </w:rPr>
                    <w:t>g/cm</w:t>
                  </w:r>
                  <w:r>
                    <w:rPr>
                      <w:rFonts w:hint="eastAsia"/>
                      <w:color w:val="auto"/>
                      <w:highlight w:val="none"/>
                      <w:vertAlign w:val="superscript"/>
                    </w:rPr>
                    <w:t>3</w:t>
                  </w:r>
                  <w:r>
                    <w:rPr>
                      <w:rFonts w:hint="eastAsia"/>
                      <w:lang w:eastAsia="zh-CN"/>
                    </w:rPr>
                    <w:t>，</w:t>
                  </w:r>
                  <w:r>
                    <w:rPr>
                      <w:rFonts w:hint="eastAsia"/>
                    </w:rPr>
                    <w:t>溶于水，微溶于乙醇。</w:t>
                  </w:r>
                </w:p>
              </w:tc>
              <w:tc>
                <w:tcPr>
                  <w:tcW w:w="573" w:type="pct"/>
                  <w:vAlign w:val="center"/>
                </w:tcPr>
                <w:p w14:paraId="34A752E9">
                  <w:pPr>
                    <w:pStyle w:val="41"/>
                    <w:bidi w:val="0"/>
                    <w:jc w:val="center"/>
                    <w:rPr>
                      <w:rFonts w:hint="eastAsia" w:eastAsia="宋体"/>
                      <w:lang w:val="en-US" w:eastAsia="zh-CN"/>
                    </w:rPr>
                  </w:pPr>
                  <w:r>
                    <w:rPr>
                      <w:rFonts w:hint="eastAsia"/>
                      <w:lang w:val="en-US" w:eastAsia="zh-CN"/>
                    </w:rPr>
                    <w:t>可燃</w:t>
                  </w:r>
                </w:p>
              </w:tc>
              <w:tc>
                <w:tcPr>
                  <w:tcW w:w="941" w:type="pct"/>
                  <w:vAlign w:val="center"/>
                </w:tcPr>
                <w:p w14:paraId="1915B64D">
                  <w:pPr>
                    <w:pStyle w:val="41"/>
                    <w:bidi w:val="0"/>
                    <w:jc w:val="center"/>
                    <w:rPr>
                      <w:rFonts w:hint="eastAsia" w:eastAsia="宋体"/>
                      <w:lang w:eastAsia="zh-CN"/>
                    </w:rPr>
                  </w:pPr>
                  <w:r>
                    <w:rPr>
                      <w:rFonts w:hint="eastAsia"/>
                    </w:rPr>
                    <w:t>LD50</w:t>
                  </w:r>
                  <w:r>
                    <w:rPr>
                      <w:rFonts w:hint="eastAsia"/>
                      <w:lang w:eastAsia="zh-CN"/>
                    </w:rPr>
                    <w:t>：</w:t>
                  </w:r>
                  <w:r>
                    <w:rPr>
                      <w:rFonts w:hint="eastAsia"/>
                    </w:rPr>
                    <w:t>363mg/kg</w:t>
                  </w:r>
                  <w:r>
                    <w:rPr>
                      <w:rFonts w:hint="eastAsia"/>
                      <w:lang w:eastAsia="zh-CN"/>
                    </w:rPr>
                    <w:t>（</w:t>
                  </w:r>
                  <w:r>
                    <w:rPr>
                      <w:rFonts w:hint="eastAsia"/>
                      <w:lang w:val="en-US" w:eastAsia="zh-CN"/>
                    </w:rPr>
                    <w:t>小鼠经口</w:t>
                  </w:r>
                  <w:r>
                    <w:rPr>
                      <w:rFonts w:hint="eastAsia"/>
                      <w:lang w:eastAsia="zh-CN"/>
                    </w:rPr>
                    <w:t>）</w:t>
                  </w:r>
                </w:p>
              </w:tc>
            </w:tr>
            <w:tr w14:paraId="24654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5C882902">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氯化铵</w:t>
                  </w:r>
                </w:p>
              </w:tc>
              <w:tc>
                <w:tcPr>
                  <w:tcW w:w="1196" w:type="dxa"/>
                  <w:vAlign w:val="center"/>
                </w:tcPr>
                <w:p w14:paraId="0953B577">
                  <w:pPr>
                    <w:pStyle w:val="41"/>
                    <w:bidi w:val="0"/>
                    <w:jc w:val="center"/>
                    <w:rPr>
                      <w:rFonts w:hint="eastAsia"/>
                    </w:rPr>
                  </w:pPr>
                  <w:r>
                    <w:rPr>
                      <w:rFonts w:hint="eastAsia"/>
                    </w:rPr>
                    <w:t>12125-02-9</w:t>
                  </w:r>
                </w:p>
              </w:tc>
              <w:tc>
                <w:tcPr>
                  <w:tcW w:w="2211" w:type="pct"/>
                  <w:shd w:val="clear" w:color="auto" w:fill="auto"/>
                  <w:vAlign w:val="center"/>
                </w:tcPr>
                <w:p w14:paraId="486AAC6F">
                  <w:pPr>
                    <w:pStyle w:val="41"/>
                    <w:bidi w:val="0"/>
                    <w:jc w:val="center"/>
                    <w:rPr>
                      <w:rFonts w:hint="eastAsia" w:ascii="Times New Roman" w:hAnsi="Times New Roman" w:eastAsia="宋体" w:cs="Times New Roman"/>
                      <w:kern w:val="0"/>
                      <w:sz w:val="21"/>
                      <w:szCs w:val="24"/>
                      <w:lang w:val="en-US" w:eastAsia="zh-CN" w:bidi="ar-SA"/>
                    </w:rPr>
                  </w:pPr>
                  <w:r>
                    <w:rPr>
                      <w:rFonts w:hint="eastAsia"/>
                    </w:rPr>
                    <w:t>NH</w:t>
                  </w:r>
                  <w:r>
                    <w:rPr>
                      <w:rFonts w:hint="eastAsia"/>
                      <w:vertAlign w:val="subscript"/>
                    </w:rPr>
                    <w:t>4</w:t>
                  </w:r>
                  <w:r>
                    <w:rPr>
                      <w:rFonts w:hint="eastAsia"/>
                    </w:rPr>
                    <w:t>Cl</w:t>
                  </w:r>
                  <w:r>
                    <w:rPr>
                      <w:rFonts w:hint="eastAsia"/>
                      <w:lang w:eastAsia="zh-CN"/>
                    </w:rPr>
                    <w:t>，</w:t>
                  </w:r>
                  <w:r>
                    <w:t>无臭、味咸、容易吸潮的白色粉末或结晶颗粒。</w:t>
                  </w:r>
                  <w:r>
                    <w:rPr>
                      <w:rFonts w:hint="eastAsia"/>
                    </w:rPr>
                    <w:t>熔点520</w:t>
                  </w:r>
                  <w:r>
                    <w:t>℃</w:t>
                  </w:r>
                  <w:r>
                    <w:rPr>
                      <w:rFonts w:hint="eastAsia"/>
                    </w:rPr>
                    <w:t>，相对密度（水=1）1.53，微溶于乙醇，溶于水，溶于甘油</w:t>
                  </w:r>
                  <w:r>
                    <w:rPr>
                      <w:rFonts w:hint="eastAsia"/>
                      <w:lang w:eastAsia="zh-CN"/>
                    </w:rPr>
                    <w:t>。</w:t>
                  </w:r>
                </w:p>
              </w:tc>
              <w:tc>
                <w:tcPr>
                  <w:tcW w:w="573" w:type="pct"/>
                  <w:shd w:val="clear" w:color="auto" w:fill="auto"/>
                  <w:vAlign w:val="center"/>
                </w:tcPr>
                <w:p w14:paraId="3F7B2A97">
                  <w:pPr>
                    <w:pStyle w:val="41"/>
                    <w:bidi w:val="0"/>
                    <w:jc w:val="center"/>
                    <w:rPr>
                      <w:rFonts w:hint="eastAsia" w:ascii="Times New Roman" w:hAnsi="Times New Roman" w:eastAsia="宋体" w:cs="Times New Roman"/>
                      <w:kern w:val="0"/>
                      <w:sz w:val="21"/>
                      <w:szCs w:val="24"/>
                      <w:lang w:val="en-US" w:eastAsia="zh-CN" w:bidi="ar-SA"/>
                    </w:rPr>
                  </w:pPr>
                  <w:r>
                    <w:rPr>
                      <w:rFonts w:hint="eastAsia"/>
                    </w:rPr>
                    <w:t>不燃</w:t>
                  </w:r>
                </w:p>
              </w:tc>
              <w:tc>
                <w:tcPr>
                  <w:tcW w:w="941" w:type="pct"/>
                  <w:shd w:val="clear" w:color="auto" w:fill="auto"/>
                  <w:vAlign w:val="center"/>
                </w:tcPr>
                <w:p w14:paraId="063887E3">
                  <w:pPr>
                    <w:pStyle w:val="41"/>
                    <w:bidi w:val="0"/>
                    <w:jc w:val="center"/>
                    <w:rPr>
                      <w:rFonts w:hint="eastAsia" w:ascii="Times New Roman" w:hAnsi="Times New Roman" w:eastAsia="宋体" w:cs="Times New Roman"/>
                      <w:kern w:val="0"/>
                      <w:sz w:val="21"/>
                      <w:szCs w:val="24"/>
                      <w:lang w:val="en-US" w:eastAsia="zh-CN" w:bidi="ar-SA"/>
                    </w:rPr>
                  </w:pPr>
                  <w:r>
                    <w:t>LD50：</w:t>
                  </w:r>
                  <w:r>
                    <w:rPr>
                      <w:rFonts w:hint="eastAsia"/>
                    </w:rPr>
                    <w:t>1650</w:t>
                  </w:r>
                  <w:r>
                    <w:t>mg/kg（大鼠经口）</w:t>
                  </w:r>
                </w:p>
              </w:tc>
            </w:tr>
            <w:tr w14:paraId="72BC4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786300CF">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一水合柠檬酸</w:t>
                  </w:r>
                </w:p>
              </w:tc>
              <w:tc>
                <w:tcPr>
                  <w:tcW w:w="1196" w:type="dxa"/>
                  <w:vAlign w:val="center"/>
                </w:tcPr>
                <w:p w14:paraId="73542970">
                  <w:pPr>
                    <w:pStyle w:val="41"/>
                    <w:bidi w:val="0"/>
                    <w:jc w:val="center"/>
                    <w:rPr>
                      <w:rFonts w:hint="eastAsia"/>
                    </w:rPr>
                  </w:pPr>
                  <w:r>
                    <w:rPr>
                      <w:rFonts w:hint="eastAsia"/>
                    </w:rPr>
                    <w:t>5949-29-1</w:t>
                  </w:r>
                </w:p>
              </w:tc>
              <w:tc>
                <w:tcPr>
                  <w:tcW w:w="2211" w:type="pct"/>
                  <w:vAlign w:val="center"/>
                </w:tcPr>
                <w:p w14:paraId="3AC7B17C">
                  <w:pPr>
                    <w:pStyle w:val="41"/>
                    <w:bidi w:val="0"/>
                    <w:jc w:val="center"/>
                    <w:rPr>
                      <w:rFonts w:hint="eastAsia" w:eastAsia="宋体"/>
                      <w:lang w:eastAsia="zh-CN"/>
                    </w:rPr>
                  </w:pPr>
                  <w:r>
                    <w:rPr>
                      <w:rFonts w:hint="eastAsia"/>
                    </w:rPr>
                    <w:t>C</w:t>
                  </w:r>
                  <w:r>
                    <w:rPr>
                      <w:rFonts w:hint="eastAsia"/>
                      <w:vertAlign w:val="subscript"/>
                    </w:rPr>
                    <w:t>6</w:t>
                  </w:r>
                  <w:r>
                    <w:rPr>
                      <w:rFonts w:hint="eastAsia"/>
                    </w:rPr>
                    <w:t>H</w:t>
                  </w:r>
                  <w:r>
                    <w:rPr>
                      <w:rFonts w:hint="eastAsia"/>
                      <w:vertAlign w:val="subscript"/>
                    </w:rPr>
                    <w:t>10</w:t>
                  </w:r>
                  <w:r>
                    <w:rPr>
                      <w:rFonts w:hint="eastAsia"/>
                    </w:rPr>
                    <w:t>O</w:t>
                  </w:r>
                  <w:r>
                    <w:rPr>
                      <w:rFonts w:hint="eastAsia"/>
                      <w:vertAlign w:val="subscript"/>
                    </w:rPr>
                    <w:t>8</w:t>
                  </w:r>
                  <w:r>
                    <w:rPr>
                      <w:rFonts w:hint="eastAsia"/>
                      <w:lang w:eastAsia="zh-CN"/>
                    </w:rPr>
                    <w:t>，白色结晶粉末，无臭，密度1.54</w:t>
                  </w:r>
                  <w:r>
                    <w:rPr>
                      <w:rFonts w:hint="eastAsia"/>
                      <w:color w:val="auto"/>
                      <w:highlight w:val="none"/>
                    </w:rPr>
                    <w:t>g/cm</w:t>
                  </w:r>
                  <w:r>
                    <w:rPr>
                      <w:rFonts w:hint="eastAsia"/>
                      <w:color w:val="auto"/>
                      <w:highlight w:val="none"/>
                      <w:vertAlign w:val="superscript"/>
                    </w:rPr>
                    <w:t>3</w:t>
                  </w:r>
                  <w:r>
                    <w:rPr>
                      <w:rFonts w:hint="eastAsia"/>
                      <w:lang w:eastAsia="zh-CN"/>
                    </w:rPr>
                    <w:t>，熔点135-152℃，闪点173.9℃，水溶性1630g/L（0℃）。溶于水、乙醇、乙醚，不溶于苯，微溶于氯仿。</w:t>
                  </w:r>
                </w:p>
              </w:tc>
              <w:tc>
                <w:tcPr>
                  <w:tcW w:w="573" w:type="pct"/>
                  <w:vAlign w:val="center"/>
                </w:tcPr>
                <w:p w14:paraId="0C72457A">
                  <w:pPr>
                    <w:pStyle w:val="41"/>
                    <w:bidi w:val="0"/>
                    <w:jc w:val="center"/>
                    <w:rPr>
                      <w:rFonts w:hint="eastAsia" w:eastAsia="宋体"/>
                      <w:lang w:val="en-US" w:eastAsia="zh-CN"/>
                    </w:rPr>
                  </w:pPr>
                  <w:r>
                    <w:rPr>
                      <w:rFonts w:hint="eastAsia"/>
                      <w:lang w:val="en-US" w:eastAsia="zh-CN"/>
                    </w:rPr>
                    <w:t>不燃</w:t>
                  </w:r>
                </w:p>
              </w:tc>
              <w:tc>
                <w:tcPr>
                  <w:tcW w:w="941" w:type="pct"/>
                  <w:vAlign w:val="center"/>
                </w:tcPr>
                <w:p w14:paraId="76A4BF96">
                  <w:pPr>
                    <w:pStyle w:val="41"/>
                    <w:bidi w:val="0"/>
                    <w:jc w:val="center"/>
                    <w:rPr>
                      <w:rFonts w:hint="eastAsia"/>
                    </w:rPr>
                  </w:pPr>
                  <w:r>
                    <w:rPr>
                      <w:rFonts w:hint="eastAsia"/>
                      <w:lang w:val="en-US" w:eastAsia="zh-CN"/>
                    </w:rPr>
                    <w:t>无毒</w:t>
                  </w:r>
                </w:p>
              </w:tc>
            </w:tr>
            <w:tr w14:paraId="4E40F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36DE3063">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甲酸</w:t>
                  </w:r>
                </w:p>
              </w:tc>
              <w:tc>
                <w:tcPr>
                  <w:tcW w:w="1196" w:type="dxa"/>
                  <w:vAlign w:val="center"/>
                </w:tcPr>
                <w:p w14:paraId="3EAF8352">
                  <w:pPr>
                    <w:pStyle w:val="41"/>
                    <w:bidi w:val="0"/>
                    <w:jc w:val="center"/>
                    <w:rPr>
                      <w:rFonts w:hint="eastAsia"/>
                    </w:rPr>
                  </w:pPr>
                  <w:r>
                    <w:rPr>
                      <w:rFonts w:hint="eastAsia"/>
                    </w:rPr>
                    <w:t>64-18-6</w:t>
                  </w:r>
                </w:p>
              </w:tc>
              <w:tc>
                <w:tcPr>
                  <w:tcW w:w="2211" w:type="pct"/>
                  <w:vAlign w:val="center"/>
                </w:tcPr>
                <w:p w14:paraId="69935F5C">
                  <w:pPr>
                    <w:pStyle w:val="41"/>
                    <w:bidi w:val="0"/>
                    <w:jc w:val="center"/>
                    <w:rPr>
                      <w:rFonts w:hint="eastAsia" w:eastAsia="宋体"/>
                      <w:lang w:eastAsia="zh-CN"/>
                    </w:rPr>
                  </w:pPr>
                  <w:r>
                    <w:rPr>
                      <w:rFonts w:hint="eastAsia"/>
                    </w:rPr>
                    <w:t>CH</w:t>
                  </w:r>
                  <w:r>
                    <w:rPr>
                      <w:rFonts w:hint="eastAsia"/>
                      <w:vertAlign w:val="subscript"/>
                    </w:rPr>
                    <w:t>2</w:t>
                  </w:r>
                  <w:r>
                    <w:rPr>
                      <w:rFonts w:hint="eastAsia"/>
                    </w:rPr>
                    <w:t>O</w:t>
                  </w:r>
                  <w:r>
                    <w:rPr>
                      <w:rFonts w:hint="eastAsia"/>
                      <w:vertAlign w:val="subscript"/>
                    </w:rPr>
                    <w:t>2</w:t>
                  </w:r>
                  <w:r>
                    <w:rPr>
                      <w:rFonts w:hint="eastAsia"/>
                      <w:lang w:eastAsia="zh-CN"/>
                    </w:rPr>
                    <w:t>，无色透明、有强烈刺激性气味的发烟液体，</w:t>
                  </w:r>
                  <w:r>
                    <w:rPr>
                      <w:rFonts w:hint="eastAsia"/>
                    </w:rPr>
                    <w:t>熔点</w:t>
                  </w:r>
                  <w:r>
                    <w:rPr>
                      <w:rFonts w:hint="eastAsia"/>
                      <w:lang w:val="en-US" w:eastAsia="zh-CN"/>
                    </w:rPr>
                    <w:t>8.2-8.4</w:t>
                  </w:r>
                  <w:r>
                    <w:t>℃</w:t>
                  </w:r>
                  <w:r>
                    <w:rPr>
                      <w:rFonts w:hint="eastAsia"/>
                    </w:rPr>
                    <w:t>、沸点</w:t>
                  </w:r>
                  <w:r>
                    <w:rPr>
                      <w:rFonts w:hint="eastAsia"/>
                      <w:lang w:val="en-US" w:eastAsia="zh-CN"/>
                    </w:rPr>
                    <w:t>100.6</w:t>
                  </w:r>
                  <w:r>
                    <w:t>℃</w:t>
                  </w:r>
                  <w:r>
                    <w:rPr>
                      <w:rFonts w:hint="eastAsia"/>
                    </w:rPr>
                    <w:t>，</w:t>
                  </w:r>
                  <w:r>
                    <w:rPr>
                      <w:rFonts w:hint="eastAsia"/>
                      <w:lang w:val="en-US" w:eastAsia="zh-CN"/>
                    </w:rPr>
                    <w:t>闪点69℃，</w:t>
                  </w:r>
                  <w:r>
                    <w:rPr>
                      <w:rFonts w:hint="eastAsia"/>
                    </w:rPr>
                    <w:t>密度</w:t>
                  </w:r>
                  <w:r>
                    <w:rPr>
                      <w:rFonts w:hint="eastAsia"/>
                      <w:lang w:val="en-US" w:eastAsia="zh-CN"/>
                    </w:rPr>
                    <w:t>1.22</w:t>
                  </w:r>
                  <w:r>
                    <w:rPr>
                      <w:rFonts w:hint="eastAsia"/>
                      <w:color w:val="auto"/>
                      <w:highlight w:val="none"/>
                    </w:rPr>
                    <w:t>g/cm</w:t>
                  </w:r>
                  <w:r>
                    <w:rPr>
                      <w:rFonts w:hint="eastAsia"/>
                      <w:color w:val="auto"/>
                      <w:highlight w:val="none"/>
                      <w:vertAlign w:val="superscript"/>
                    </w:rPr>
                    <w:t>3</w:t>
                  </w:r>
                  <w:r>
                    <w:rPr>
                      <w:rFonts w:hint="eastAsia"/>
                      <w:lang w:eastAsia="zh-CN"/>
                    </w:rPr>
                    <w:t>，易溶于水、乙醇、乙醚、苯等有机溶剂。</w:t>
                  </w:r>
                </w:p>
              </w:tc>
              <w:tc>
                <w:tcPr>
                  <w:tcW w:w="573" w:type="pct"/>
                  <w:vAlign w:val="center"/>
                </w:tcPr>
                <w:p w14:paraId="11A835C4">
                  <w:pPr>
                    <w:pStyle w:val="41"/>
                    <w:bidi w:val="0"/>
                    <w:jc w:val="center"/>
                    <w:rPr>
                      <w:rFonts w:hint="eastAsia" w:eastAsia="宋体"/>
                      <w:lang w:val="en-US" w:eastAsia="zh-CN"/>
                    </w:rPr>
                  </w:pPr>
                  <w:r>
                    <w:rPr>
                      <w:rFonts w:hint="eastAsia"/>
                      <w:lang w:val="en-US" w:eastAsia="zh-CN"/>
                    </w:rPr>
                    <w:t>可燃</w:t>
                  </w:r>
                </w:p>
              </w:tc>
              <w:tc>
                <w:tcPr>
                  <w:tcW w:w="941" w:type="pct"/>
                  <w:vAlign w:val="center"/>
                </w:tcPr>
                <w:p w14:paraId="6CA1C6FE">
                  <w:pPr>
                    <w:pStyle w:val="41"/>
                    <w:bidi w:val="0"/>
                    <w:jc w:val="center"/>
                    <w:rPr>
                      <w:rFonts w:hint="eastAsia"/>
                    </w:rPr>
                  </w:pPr>
                  <w:r>
                    <w:rPr>
                      <w:rFonts w:hint="eastAsia"/>
                    </w:rPr>
                    <w:t>LD50：1100mg/kg（大鼠经口）</w:t>
                  </w:r>
                  <w:r>
                    <w:rPr>
                      <w:rFonts w:hint="eastAsia"/>
                      <w:lang w:eastAsia="zh-CN"/>
                    </w:rPr>
                    <w:t>；</w:t>
                  </w:r>
                  <w:r>
                    <w:rPr>
                      <w:rFonts w:hint="eastAsia"/>
                    </w:rPr>
                    <w:t>LC50：15000mg/m</w:t>
                  </w:r>
                  <w:r>
                    <w:rPr>
                      <w:rFonts w:hint="eastAsia"/>
                      <w:vertAlign w:val="superscript"/>
                    </w:rPr>
                    <w:t>3</w:t>
                  </w:r>
                  <w:r>
                    <w:rPr>
                      <w:rFonts w:hint="eastAsia"/>
                    </w:rPr>
                    <w:t>（大鼠吸入，15min）</w:t>
                  </w:r>
                </w:p>
              </w:tc>
            </w:tr>
            <w:tr w14:paraId="2412C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57349AAC">
                  <w:pPr>
                    <w:pStyle w:val="41"/>
                    <w:bidi w:val="0"/>
                    <w:rPr>
                      <w:rFonts w:hint="eastAsia"/>
                      <w:lang w:val="en-US" w:eastAsia="zh-CN"/>
                    </w:rPr>
                  </w:pPr>
                  <w:r>
                    <w:rPr>
                      <w:rFonts w:hint="eastAsia"/>
                    </w:rPr>
                    <w:t>乙腈</w:t>
                  </w:r>
                </w:p>
              </w:tc>
              <w:tc>
                <w:tcPr>
                  <w:tcW w:w="1196" w:type="dxa"/>
                  <w:vAlign w:val="center"/>
                </w:tcPr>
                <w:p w14:paraId="22D224BE">
                  <w:pPr>
                    <w:pStyle w:val="41"/>
                    <w:bidi w:val="0"/>
                    <w:jc w:val="center"/>
                    <w:rPr>
                      <w:rFonts w:hint="eastAsia"/>
                    </w:rPr>
                  </w:pPr>
                  <w:r>
                    <w:rPr>
                      <w:rFonts w:hint="eastAsia"/>
                    </w:rPr>
                    <w:t>75-05-8</w:t>
                  </w:r>
                </w:p>
              </w:tc>
              <w:tc>
                <w:tcPr>
                  <w:tcW w:w="2211" w:type="pct"/>
                  <w:shd w:val="clear" w:color="auto" w:fill="auto"/>
                  <w:vAlign w:val="center"/>
                </w:tcPr>
                <w:p w14:paraId="1F736ED5">
                  <w:pPr>
                    <w:pStyle w:val="41"/>
                    <w:bidi w:val="0"/>
                    <w:rPr>
                      <w:rFonts w:hint="eastAsia" w:ascii="Times New Roman" w:hAnsi="Times New Roman" w:eastAsia="宋体" w:cs="Times New Roman"/>
                      <w:kern w:val="0"/>
                      <w:sz w:val="21"/>
                      <w:szCs w:val="24"/>
                      <w:lang w:val="en-US" w:eastAsia="zh-CN" w:bidi="ar-SA"/>
                    </w:rPr>
                  </w:pPr>
                  <w:r>
                    <w:rPr>
                      <w:rFonts w:hint="eastAsia"/>
                    </w:rPr>
                    <w:t>C</w:t>
                  </w:r>
                  <w:r>
                    <w:rPr>
                      <w:rFonts w:hint="eastAsia"/>
                      <w:vertAlign w:val="subscript"/>
                    </w:rPr>
                    <w:t>2</w:t>
                  </w:r>
                  <w:r>
                    <w:rPr>
                      <w:rFonts w:hint="eastAsia"/>
                    </w:rPr>
                    <w:t>H</w:t>
                  </w:r>
                  <w:r>
                    <w:rPr>
                      <w:rFonts w:hint="eastAsia"/>
                      <w:vertAlign w:val="subscript"/>
                    </w:rPr>
                    <w:t>3</w:t>
                  </w:r>
                  <w:r>
                    <w:rPr>
                      <w:rFonts w:hint="eastAsia"/>
                    </w:rPr>
                    <w:t>N</w:t>
                  </w:r>
                  <w:r>
                    <w:rPr>
                      <w:rFonts w:hint="eastAsia"/>
                      <w:lang w:eastAsia="zh-CN"/>
                    </w:rPr>
                    <w:t>，</w:t>
                  </w:r>
                  <w:r>
                    <w:rPr>
                      <w:rFonts w:hint="eastAsia"/>
                    </w:rPr>
                    <w:t>无色液体，有刺激性气味。熔点-45.7</w:t>
                  </w:r>
                  <w:r>
                    <w:t>℃</w:t>
                  </w:r>
                  <w:r>
                    <w:rPr>
                      <w:rFonts w:hint="eastAsia"/>
                      <w:lang w:eastAsia="zh-CN"/>
                    </w:rPr>
                    <w:t>，</w:t>
                  </w:r>
                  <w:r>
                    <w:rPr>
                      <w:rFonts w:hint="eastAsia"/>
                    </w:rPr>
                    <w:t>沸点81.1</w:t>
                  </w:r>
                  <w:r>
                    <w:t>℃</w:t>
                  </w:r>
                  <w:r>
                    <w:rPr>
                      <w:rFonts w:hint="eastAsia"/>
                    </w:rPr>
                    <w:t>，</w:t>
                  </w:r>
                  <w:r>
                    <w:rPr>
                      <w:rFonts w:hint="eastAsia"/>
                      <w:lang w:val="en-US" w:eastAsia="zh-CN"/>
                    </w:rPr>
                    <w:t>闪点2</w:t>
                  </w:r>
                  <w:r>
                    <w:t>℃</w:t>
                  </w:r>
                  <w:r>
                    <w:rPr>
                      <w:rFonts w:hint="eastAsia"/>
                    </w:rPr>
                    <w:t>，相对密度0.79</w:t>
                  </w:r>
                  <w:r>
                    <w:rPr>
                      <w:rFonts w:hint="eastAsia"/>
                      <w:color w:val="auto"/>
                      <w:highlight w:val="none"/>
                    </w:rPr>
                    <w:t>g/cm</w:t>
                  </w:r>
                  <w:r>
                    <w:rPr>
                      <w:rFonts w:hint="eastAsia"/>
                      <w:color w:val="auto"/>
                      <w:highlight w:val="none"/>
                      <w:vertAlign w:val="superscript"/>
                    </w:rPr>
                    <w:t>3</w:t>
                  </w:r>
                  <w:r>
                    <w:rPr>
                      <w:rFonts w:hint="eastAsia"/>
                    </w:rPr>
                    <w:t>（水=1）</w:t>
                  </w:r>
                  <w:r>
                    <w:rPr>
                      <w:rFonts w:hint="eastAsia"/>
                      <w:lang w:eastAsia="zh-CN"/>
                    </w:rPr>
                    <w:t>，与水混溶，溶于乙醇、乙醚等多数有机溶剂</w:t>
                  </w:r>
                  <w:r>
                    <w:rPr>
                      <w:rFonts w:hint="eastAsia"/>
                    </w:rPr>
                    <w:t>。</w:t>
                  </w:r>
                </w:p>
              </w:tc>
              <w:tc>
                <w:tcPr>
                  <w:tcW w:w="573" w:type="pct"/>
                  <w:shd w:val="clear" w:color="auto" w:fill="auto"/>
                  <w:vAlign w:val="center"/>
                </w:tcPr>
                <w:p w14:paraId="7012D949">
                  <w:pPr>
                    <w:pStyle w:val="41"/>
                    <w:bidi w:val="0"/>
                    <w:rPr>
                      <w:rFonts w:hint="eastAsia" w:ascii="Times New Roman" w:hAnsi="Times New Roman" w:eastAsia="宋体" w:cs="Times New Roman"/>
                      <w:kern w:val="0"/>
                      <w:sz w:val="21"/>
                      <w:szCs w:val="24"/>
                      <w:lang w:val="en-US" w:eastAsia="zh-CN" w:bidi="ar-SA"/>
                    </w:rPr>
                  </w:pPr>
                  <w:r>
                    <w:rPr>
                      <w:rFonts w:hint="eastAsia"/>
                    </w:rPr>
                    <w:t>易燃</w:t>
                  </w:r>
                </w:p>
              </w:tc>
              <w:tc>
                <w:tcPr>
                  <w:tcW w:w="941" w:type="pct"/>
                  <w:shd w:val="clear" w:color="auto" w:fill="auto"/>
                  <w:vAlign w:val="center"/>
                </w:tcPr>
                <w:p w14:paraId="49041CB6">
                  <w:pPr>
                    <w:pStyle w:val="41"/>
                    <w:bidi w:val="0"/>
                    <w:rPr>
                      <w:rFonts w:hint="eastAsia" w:ascii="Times New Roman" w:hAnsi="Times New Roman" w:eastAsia="宋体" w:cs="Times New Roman"/>
                      <w:kern w:val="0"/>
                      <w:sz w:val="21"/>
                      <w:szCs w:val="24"/>
                      <w:lang w:val="en-US" w:eastAsia="zh-CN" w:bidi="ar-SA"/>
                    </w:rPr>
                  </w:pPr>
                  <w:r>
                    <w:t>LD50</w:t>
                  </w:r>
                  <w:r>
                    <w:rPr>
                      <w:rFonts w:hint="eastAsia"/>
                    </w:rPr>
                    <w:t>：2730</w:t>
                  </w:r>
                  <w:r>
                    <w:t>mg/kg</w:t>
                  </w:r>
                  <w:r>
                    <w:rPr>
                      <w:rFonts w:hint="eastAsia"/>
                    </w:rPr>
                    <w:t>（大鼠经口</w:t>
                  </w:r>
                  <w:r>
                    <w:rPr>
                      <w:rFonts w:hint="eastAsia"/>
                      <w:lang w:eastAsia="zh-CN"/>
                    </w:rPr>
                    <w:t>）</w:t>
                  </w:r>
                </w:p>
              </w:tc>
            </w:tr>
            <w:tr w14:paraId="493C3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0E3F367E">
                  <w:pPr>
                    <w:pStyle w:val="41"/>
                    <w:bidi w:val="0"/>
                    <w:rPr>
                      <w:rFonts w:hint="eastAsia"/>
                      <w:lang w:val="en-US" w:eastAsia="zh-CN"/>
                    </w:rPr>
                  </w:pPr>
                  <w:r>
                    <w:rPr>
                      <w:rFonts w:hint="eastAsia"/>
                      <w:lang w:val="en-US" w:eastAsia="zh-CN"/>
                    </w:rPr>
                    <w:t>正丁醇</w:t>
                  </w:r>
                </w:p>
              </w:tc>
              <w:tc>
                <w:tcPr>
                  <w:tcW w:w="1196" w:type="dxa"/>
                  <w:shd w:val="clear" w:color="auto" w:fill="auto"/>
                  <w:vAlign w:val="center"/>
                </w:tcPr>
                <w:p w14:paraId="71084BFC">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71-36-3</w:t>
                  </w:r>
                </w:p>
              </w:tc>
              <w:tc>
                <w:tcPr>
                  <w:tcW w:w="2211" w:type="pct"/>
                  <w:shd w:val="clear" w:color="auto" w:fill="auto"/>
                  <w:vAlign w:val="center"/>
                </w:tcPr>
                <w:p w14:paraId="422F4985">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无色透明液体，具有特殊气味。熔点（℃）：-89.8，沸点（℃）：117-118，相对密度（水=1）：0.81，相对蒸气密度（空气=1）：2.55，</w:t>
                  </w:r>
                  <w:r>
                    <w:rPr>
                      <w:rFonts w:hint="eastAsia"/>
                      <w:color w:val="auto"/>
                      <w:highlight w:val="none"/>
                      <w:lang w:eastAsia="zh-CN"/>
                    </w:rPr>
                    <w:t>饱和蒸汽</w:t>
                  </w:r>
                  <w:r>
                    <w:rPr>
                      <w:rFonts w:hint="default"/>
                      <w:color w:val="auto"/>
                      <w:highlight w:val="none"/>
                    </w:rPr>
                    <w:t>压（kPa）：0.739（20℃），燃烧热（kJ/mol）：-2673.2，临界温度（℃）：289.85，临界压力（MPa）：4.414，辛醇/水分配系数：0.88，闪点（℃）：29，引燃温度（℃）：355~365，爆炸上限（%）：11.3，爆炸下限（%）：1.4，微溶于水，溶于乙醇、乙醚等多数有机溶剂</w:t>
                  </w:r>
                </w:p>
              </w:tc>
              <w:tc>
                <w:tcPr>
                  <w:tcW w:w="573" w:type="pct"/>
                  <w:shd w:val="clear" w:color="auto" w:fill="auto"/>
                  <w:vAlign w:val="center"/>
                </w:tcPr>
                <w:p w14:paraId="4AD36BB4">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易燃，其蒸气与空气可形成爆炸性混合物，遇明火、高热能引起燃烧爆炸</w:t>
                  </w:r>
                  <w:r>
                    <w:rPr>
                      <w:rFonts w:hint="eastAsia"/>
                      <w:color w:val="auto"/>
                      <w:highlight w:val="none"/>
                      <w:lang w:eastAsia="zh-CN"/>
                    </w:rPr>
                    <w:t>，</w:t>
                  </w:r>
                  <w:r>
                    <w:rPr>
                      <w:rFonts w:hint="eastAsia"/>
                      <w:color w:val="auto"/>
                      <w:highlight w:val="none"/>
                      <w:lang w:val="en-US" w:eastAsia="zh-CN"/>
                    </w:rPr>
                    <w:t>爆炸下限1.4%，爆上限11.2%</w:t>
                  </w:r>
                </w:p>
              </w:tc>
              <w:tc>
                <w:tcPr>
                  <w:tcW w:w="941" w:type="pct"/>
                  <w:shd w:val="clear" w:color="auto" w:fill="auto"/>
                  <w:vAlign w:val="center"/>
                </w:tcPr>
                <w:p w14:paraId="2014236A">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LD50：4.36g/kg（大鼠经口）</w:t>
                  </w:r>
                </w:p>
              </w:tc>
            </w:tr>
            <w:tr w14:paraId="335F3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5F75120E">
                  <w:pPr>
                    <w:pStyle w:val="41"/>
                    <w:bidi w:val="0"/>
                    <w:rPr>
                      <w:rFonts w:hint="eastAsia"/>
                      <w:lang w:val="en-US" w:eastAsia="zh-CN"/>
                    </w:rPr>
                  </w:pPr>
                  <w:r>
                    <w:rPr>
                      <w:rFonts w:hint="eastAsia"/>
                      <w:lang w:val="en-US" w:eastAsia="zh-CN"/>
                    </w:rPr>
                    <w:t>异丙醇</w:t>
                  </w:r>
                </w:p>
              </w:tc>
              <w:tc>
                <w:tcPr>
                  <w:tcW w:w="1196" w:type="dxa"/>
                  <w:shd w:val="clear" w:color="auto" w:fill="auto"/>
                  <w:vAlign w:val="center"/>
                </w:tcPr>
                <w:p w14:paraId="49C69A37">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67-63-0</w:t>
                  </w:r>
                </w:p>
              </w:tc>
              <w:tc>
                <w:tcPr>
                  <w:tcW w:w="2211" w:type="pct"/>
                  <w:shd w:val="clear" w:color="auto" w:fill="auto"/>
                  <w:vAlign w:val="center"/>
                </w:tcPr>
                <w:p w14:paraId="6DBF7E4F">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C</w:t>
                  </w:r>
                  <w:r>
                    <w:rPr>
                      <w:rFonts w:hint="eastAsia"/>
                      <w:color w:val="auto"/>
                      <w:highlight w:val="none"/>
                      <w:vertAlign w:val="subscript"/>
                    </w:rPr>
                    <w:t>3</w:t>
                  </w:r>
                  <w:r>
                    <w:rPr>
                      <w:rFonts w:hint="eastAsia"/>
                      <w:color w:val="auto"/>
                      <w:highlight w:val="none"/>
                    </w:rPr>
                    <w:t>H</w:t>
                  </w:r>
                  <w:r>
                    <w:rPr>
                      <w:rFonts w:hint="eastAsia"/>
                      <w:color w:val="auto"/>
                      <w:highlight w:val="none"/>
                      <w:vertAlign w:val="subscript"/>
                    </w:rPr>
                    <w:t>8</w:t>
                  </w:r>
                  <w:r>
                    <w:rPr>
                      <w:rFonts w:hint="eastAsia"/>
                      <w:color w:val="auto"/>
                      <w:highlight w:val="none"/>
                    </w:rPr>
                    <w:t>O</w:t>
                  </w:r>
                  <w:r>
                    <w:rPr>
                      <w:rFonts w:hint="eastAsia"/>
                      <w:color w:val="auto"/>
                      <w:highlight w:val="none"/>
                      <w:lang w:eastAsia="zh-CN"/>
                    </w:rPr>
                    <w:t>，无色透明液体，</w:t>
                  </w:r>
                  <w:r>
                    <w:rPr>
                      <w:rFonts w:hint="eastAsia"/>
                      <w:color w:val="auto"/>
                      <w:highlight w:val="none"/>
                    </w:rPr>
                    <w:t>密度0.7855g/cm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熔点-89.5℃</w:t>
                  </w:r>
                  <w:r>
                    <w:rPr>
                      <w:rFonts w:hint="eastAsia"/>
                      <w:color w:val="auto"/>
                      <w:highlight w:val="none"/>
                      <w:lang w:eastAsia="zh-CN"/>
                    </w:rPr>
                    <w:t>，</w:t>
                  </w:r>
                  <w:r>
                    <w:rPr>
                      <w:rFonts w:hint="eastAsia"/>
                      <w:color w:val="auto"/>
                      <w:highlight w:val="none"/>
                    </w:rPr>
                    <w:t>沸点82.5℃</w:t>
                  </w:r>
                  <w:r>
                    <w:rPr>
                      <w:rFonts w:hint="eastAsia"/>
                      <w:color w:val="auto"/>
                      <w:highlight w:val="none"/>
                      <w:lang w:eastAsia="zh-CN"/>
                    </w:rPr>
                    <w:t>，</w:t>
                  </w:r>
                  <w:r>
                    <w:rPr>
                      <w:rFonts w:hint="eastAsia"/>
                      <w:color w:val="auto"/>
                      <w:highlight w:val="none"/>
                    </w:rPr>
                    <w:t>闪点11.7℃</w:t>
                  </w:r>
                  <w:r>
                    <w:rPr>
                      <w:rFonts w:hint="eastAsia"/>
                      <w:color w:val="auto"/>
                      <w:highlight w:val="none"/>
                      <w:lang w:eastAsia="zh-CN"/>
                    </w:rPr>
                    <w:t>，</w:t>
                  </w:r>
                  <w:r>
                    <w:rPr>
                      <w:rFonts w:hint="eastAsia"/>
                      <w:color w:val="auto"/>
                      <w:highlight w:val="none"/>
                    </w:rPr>
                    <w:t>引燃温度456℃</w:t>
                  </w:r>
                  <w:r>
                    <w:rPr>
                      <w:rFonts w:hint="eastAsia"/>
                      <w:color w:val="auto"/>
                      <w:highlight w:val="none"/>
                      <w:lang w:eastAsia="zh-CN"/>
                    </w:rPr>
                    <w:t>，</w:t>
                  </w:r>
                  <w:r>
                    <w:rPr>
                      <w:rFonts w:hint="eastAsia"/>
                      <w:color w:val="auto"/>
                      <w:highlight w:val="none"/>
                    </w:rPr>
                    <w:t>溶解性</w:t>
                  </w:r>
                  <w:r>
                    <w:rPr>
                      <w:rFonts w:hint="eastAsia"/>
                      <w:color w:val="auto"/>
                      <w:highlight w:val="none"/>
                      <w:lang w:eastAsia="zh-CN"/>
                    </w:rPr>
                    <w:t>：</w:t>
                  </w:r>
                  <w:r>
                    <w:rPr>
                      <w:rFonts w:hint="eastAsia"/>
                      <w:color w:val="auto"/>
                      <w:highlight w:val="none"/>
                    </w:rPr>
                    <w:t>溶于水、乙醇、乙醚、苯、氯仿等多数有机溶剂</w:t>
                  </w:r>
                  <w:r>
                    <w:rPr>
                      <w:rFonts w:hint="eastAsia"/>
                      <w:color w:val="auto"/>
                      <w:highlight w:val="none"/>
                      <w:lang w:eastAsia="zh-CN"/>
                    </w:rPr>
                    <w:t>。</w:t>
                  </w:r>
                </w:p>
              </w:tc>
              <w:tc>
                <w:tcPr>
                  <w:tcW w:w="573" w:type="pct"/>
                  <w:shd w:val="clear" w:color="auto" w:fill="auto"/>
                  <w:vAlign w:val="center"/>
                </w:tcPr>
                <w:p w14:paraId="35AFAC5F">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易燃</w:t>
                  </w:r>
                </w:p>
              </w:tc>
              <w:tc>
                <w:tcPr>
                  <w:tcW w:w="941" w:type="pct"/>
                  <w:shd w:val="clear" w:color="auto" w:fill="auto"/>
                  <w:vAlign w:val="center"/>
                </w:tcPr>
                <w:p w14:paraId="4A16C77F">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LD50</w:t>
                  </w:r>
                  <w:r>
                    <w:rPr>
                      <w:rFonts w:hint="eastAsia"/>
                      <w:color w:val="auto"/>
                      <w:highlight w:val="none"/>
                      <w:lang w:eastAsia="zh-CN"/>
                    </w:rPr>
                    <w:t>：</w:t>
                  </w:r>
                  <w:r>
                    <w:rPr>
                      <w:rFonts w:hint="eastAsia"/>
                      <w:color w:val="auto"/>
                      <w:highlight w:val="none"/>
                    </w:rPr>
                    <w:t>5000mg/kg（大鼠经口）</w:t>
                  </w:r>
                </w:p>
              </w:tc>
            </w:tr>
            <w:tr w14:paraId="6E1D6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36FD1C51">
                  <w:pPr>
                    <w:pStyle w:val="41"/>
                    <w:bidi w:val="0"/>
                    <w:rPr>
                      <w:rFonts w:hint="eastAsia" w:ascii="Times New Roman" w:hAnsi="Times New Roman" w:eastAsia="宋体" w:cs="Times New Roman"/>
                      <w:kern w:val="0"/>
                      <w:sz w:val="21"/>
                      <w:szCs w:val="24"/>
                      <w:lang w:val="en-US" w:eastAsia="zh-CN" w:bidi="ar-SA"/>
                    </w:rPr>
                  </w:pPr>
                  <w:r>
                    <w:rPr>
                      <w:rFonts w:hint="eastAsia"/>
                    </w:rPr>
                    <w:t>氨水</w:t>
                  </w:r>
                </w:p>
              </w:tc>
              <w:tc>
                <w:tcPr>
                  <w:tcW w:w="1196" w:type="dxa"/>
                  <w:vAlign w:val="center"/>
                </w:tcPr>
                <w:p w14:paraId="647770F7">
                  <w:pPr>
                    <w:pStyle w:val="41"/>
                    <w:bidi w:val="0"/>
                    <w:jc w:val="center"/>
                    <w:rPr>
                      <w:rFonts w:hint="eastAsia"/>
                    </w:rPr>
                  </w:pPr>
                  <w:r>
                    <w:rPr>
                      <w:rFonts w:hint="eastAsia"/>
                    </w:rPr>
                    <w:t>1336-21-6</w:t>
                  </w:r>
                </w:p>
              </w:tc>
              <w:tc>
                <w:tcPr>
                  <w:tcW w:w="2211" w:type="pct"/>
                  <w:shd w:val="clear" w:color="auto" w:fill="auto"/>
                  <w:vAlign w:val="center"/>
                </w:tcPr>
                <w:p w14:paraId="611B23EC">
                  <w:pPr>
                    <w:pStyle w:val="41"/>
                    <w:bidi w:val="0"/>
                    <w:rPr>
                      <w:rFonts w:hint="eastAsia" w:ascii="Times New Roman" w:hAnsi="Times New Roman" w:eastAsia="宋体" w:cs="Times New Roman"/>
                      <w:kern w:val="0"/>
                      <w:sz w:val="21"/>
                      <w:szCs w:val="24"/>
                      <w:lang w:val="en-US" w:eastAsia="zh-CN" w:bidi="ar-SA"/>
                    </w:rPr>
                  </w:pPr>
                  <w:r>
                    <w:rPr>
                      <w:rFonts w:hint="eastAsia"/>
                    </w:rPr>
                    <w:t>NH</w:t>
                  </w:r>
                  <w:r>
                    <w:rPr>
                      <w:rFonts w:hint="eastAsia"/>
                      <w:vertAlign w:val="subscript"/>
                    </w:rPr>
                    <w:t>3</w:t>
                  </w:r>
                  <w:r>
                    <w:rPr>
                      <w:rFonts w:hint="eastAsia"/>
                    </w:rPr>
                    <w:t>·H</w:t>
                  </w:r>
                  <w:r>
                    <w:rPr>
                      <w:rFonts w:hint="eastAsia"/>
                      <w:vertAlign w:val="subscript"/>
                    </w:rPr>
                    <w:t>2</w:t>
                  </w:r>
                  <w:r>
                    <w:rPr>
                      <w:rFonts w:hint="eastAsia"/>
                    </w:rPr>
                    <w:t>O</w:t>
                  </w:r>
                  <w:r>
                    <w:rPr>
                      <w:rFonts w:hint="eastAsia"/>
                      <w:lang w:eastAsia="zh-CN"/>
                    </w:rPr>
                    <w:t>，</w:t>
                  </w:r>
                  <w:r>
                    <w:t>无色透明液体，有强烈的刺激性臭味，溶于水和醇，与水的相对密度为0.91，易挥发，具有部分碱的通性</w:t>
                  </w:r>
                  <w:r>
                    <w:rPr>
                      <w:rFonts w:hint="eastAsia"/>
                      <w:lang w:eastAsia="zh-CN"/>
                    </w:rPr>
                    <w:t>。</w:t>
                  </w:r>
                </w:p>
              </w:tc>
              <w:tc>
                <w:tcPr>
                  <w:tcW w:w="573" w:type="pct"/>
                  <w:shd w:val="clear" w:color="auto" w:fill="auto"/>
                  <w:vAlign w:val="center"/>
                </w:tcPr>
                <w:p w14:paraId="59867B02">
                  <w:pPr>
                    <w:pStyle w:val="41"/>
                    <w:bidi w:val="0"/>
                    <w:rPr>
                      <w:rFonts w:hint="eastAsia" w:ascii="Times New Roman" w:hAnsi="Times New Roman" w:eastAsia="宋体" w:cs="Times New Roman"/>
                      <w:kern w:val="0"/>
                      <w:sz w:val="21"/>
                      <w:szCs w:val="24"/>
                      <w:lang w:val="en-US" w:eastAsia="zh-CN" w:bidi="ar-SA"/>
                    </w:rPr>
                  </w:pPr>
                  <w:r>
                    <w:t>可燃</w:t>
                  </w:r>
                </w:p>
              </w:tc>
              <w:tc>
                <w:tcPr>
                  <w:tcW w:w="941" w:type="pct"/>
                  <w:shd w:val="clear" w:color="auto" w:fill="auto"/>
                  <w:vAlign w:val="center"/>
                </w:tcPr>
                <w:p w14:paraId="4FF6676E">
                  <w:pPr>
                    <w:pStyle w:val="41"/>
                    <w:bidi w:val="0"/>
                    <w:rPr>
                      <w:rFonts w:hint="eastAsia" w:ascii="Times New Roman" w:hAnsi="Times New Roman" w:eastAsia="宋体" w:cs="Times New Roman"/>
                      <w:kern w:val="0"/>
                      <w:sz w:val="21"/>
                      <w:szCs w:val="24"/>
                      <w:lang w:val="en-US" w:eastAsia="zh-CN" w:bidi="ar-SA"/>
                    </w:rPr>
                  </w:pPr>
                  <w:r>
                    <w:t>LD50</w:t>
                  </w:r>
                  <w:r>
                    <w:rPr>
                      <w:rFonts w:hint="eastAsia"/>
                      <w:lang w:eastAsia="zh-CN"/>
                    </w:rPr>
                    <w:t>：</w:t>
                  </w:r>
                  <w:r>
                    <w:t>350mg/kg(大鼠经口</w:t>
                  </w:r>
                  <w:r>
                    <w:rPr>
                      <w:rFonts w:hint="eastAsia"/>
                      <w:lang w:eastAsia="zh-CN"/>
                    </w:rPr>
                    <w:t>）</w:t>
                  </w:r>
                </w:p>
              </w:tc>
            </w:tr>
            <w:tr w14:paraId="3B4D9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7B91779E">
                  <w:pPr>
                    <w:pStyle w:val="41"/>
                    <w:bidi w:val="0"/>
                    <w:rPr>
                      <w:rFonts w:hint="eastAsia" w:ascii="Times New Roman" w:hAnsi="Times New Roman" w:eastAsia="宋体" w:cs="Times New Roman"/>
                      <w:kern w:val="0"/>
                      <w:sz w:val="21"/>
                      <w:szCs w:val="24"/>
                      <w:lang w:val="en-US" w:eastAsia="zh-CN" w:bidi="ar-SA"/>
                    </w:rPr>
                  </w:pPr>
                  <w:r>
                    <w:rPr>
                      <w:rFonts w:hint="eastAsia"/>
                    </w:rPr>
                    <w:t>冰醋酸</w:t>
                  </w:r>
                </w:p>
              </w:tc>
              <w:tc>
                <w:tcPr>
                  <w:tcW w:w="1196" w:type="dxa"/>
                  <w:vAlign w:val="center"/>
                </w:tcPr>
                <w:p w14:paraId="2F9CAD7C">
                  <w:pPr>
                    <w:pStyle w:val="41"/>
                    <w:bidi w:val="0"/>
                    <w:jc w:val="center"/>
                    <w:rPr>
                      <w:rFonts w:hint="eastAsia"/>
                    </w:rPr>
                  </w:pPr>
                  <w:r>
                    <w:rPr>
                      <w:rFonts w:hint="eastAsia"/>
                    </w:rPr>
                    <w:t>64-19-7</w:t>
                  </w:r>
                </w:p>
              </w:tc>
              <w:tc>
                <w:tcPr>
                  <w:tcW w:w="2211" w:type="pct"/>
                  <w:vAlign w:val="center"/>
                </w:tcPr>
                <w:p w14:paraId="7FE86277">
                  <w:pPr>
                    <w:pStyle w:val="41"/>
                    <w:bidi w:val="0"/>
                    <w:jc w:val="center"/>
                    <w:rPr>
                      <w:rFonts w:hint="default" w:eastAsia="宋体"/>
                      <w:lang w:val="en-US" w:eastAsia="zh-CN"/>
                    </w:rPr>
                  </w:pPr>
                  <w:r>
                    <w:rPr>
                      <w:rFonts w:hint="eastAsia"/>
                    </w:rPr>
                    <w:t>CH</w:t>
                  </w:r>
                  <w:r>
                    <w:rPr>
                      <w:rFonts w:hint="eastAsia"/>
                      <w:vertAlign w:val="subscript"/>
                    </w:rPr>
                    <w:t>3</w:t>
                  </w:r>
                  <w:r>
                    <w:rPr>
                      <w:rFonts w:hint="eastAsia"/>
                    </w:rPr>
                    <w:t>COOH</w:t>
                  </w:r>
                  <w:r>
                    <w:rPr>
                      <w:rFonts w:hint="eastAsia"/>
                      <w:lang w:eastAsia="zh-CN"/>
                    </w:rPr>
                    <w:t>，</w:t>
                  </w:r>
                  <w:r>
                    <w:rPr>
                      <w:rFonts w:hint="eastAsia"/>
                      <w:lang w:val="en-US" w:eastAsia="zh-CN"/>
                    </w:rPr>
                    <w:t>别名乙酸，无色透明、有刺激性气味的液体，</w:t>
                  </w:r>
                  <w:r>
                    <w:rPr>
                      <w:rFonts w:hint="eastAsia"/>
                      <w:color w:val="auto"/>
                      <w:highlight w:val="none"/>
                    </w:rPr>
                    <w:t>密度</w:t>
                  </w:r>
                  <w:r>
                    <w:rPr>
                      <w:rFonts w:hint="eastAsia"/>
                      <w:color w:val="auto"/>
                      <w:highlight w:val="none"/>
                      <w:lang w:val="en-US" w:eastAsia="zh-CN"/>
                    </w:rPr>
                    <w:t>1.05</w:t>
                  </w:r>
                  <w:r>
                    <w:rPr>
                      <w:rFonts w:hint="eastAsia"/>
                      <w:color w:val="auto"/>
                      <w:highlight w:val="none"/>
                    </w:rPr>
                    <w:t>g/cm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熔点</w:t>
                  </w:r>
                  <w:r>
                    <w:rPr>
                      <w:rFonts w:hint="eastAsia"/>
                      <w:color w:val="auto"/>
                      <w:highlight w:val="none"/>
                      <w:lang w:val="en-US" w:eastAsia="zh-CN"/>
                    </w:rPr>
                    <w:t>16.6</w:t>
                  </w:r>
                  <w:r>
                    <w:rPr>
                      <w:rFonts w:hint="eastAsia"/>
                      <w:color w:val="auto"/>
                      <w:highlight w:val="none"/>
                    </w:rPr>
                    <w:t>℃</w:t>
                  </w:r>
                  <w:r>
                    <w:rPr>
                      <w:rFonts w:hint="eastAsia"/>
                      <w:color w:val="auto"/>
                      <w:highlight w:val="none"/>
                      <w:lang w:eastAsia="zh-CN"/>
                    </w:rPr>
                    <w:t>，</w:t>
                  </w:r>
                  <w:r>
                    <w:rPr>
                      <w:rFonts w:hint="eastAsia"/>
                      <w:color w:val="auto"/>
                      <w:highlight w:val="none"/>
                    </w:rPr>
                    <w:t>沸点</w:t>
                  </w:r>
                  <w:r>
                    <w:rPr>
                      <w:rFonts w:hint="eastAsia"/>
                      <w:color w:val="auto"/>
                      <w:highlight w:val="none"/>
                      <w:lang w:val="en-US" w:eastAsia="zh-CN"/>
                    </w:rPr>
                    <w:t>117.9</w:t>
                  </w:r>
                  <w:r>
                    <w:rPr>
                      <w:rFonts w:hint="eastAsia"/>
                      <w:color w:val="auto"/>
                      <w:highlight w:val="none"/>
                    </w:rPr>
                    <w:t>℃</w:t>
                  </w:r>
                  <w:r>
                    <w:rPr>
                      <w:rFonts w:hint="eastAsia"/>
                      <w:color w:val="auto"/>
                      <w:highlight w:val="none"/>
                      <w:lang w:eastAsia="zh-CN"/>
                    </w:rPr>
                    <w:t>，</w:t>
                  </w:r>
                  <w:r>
                    <w:rPr>
                      <w:rFonts w:hint="eastAsia"/>
                      <w:color w:val="auto"/>
                      <w:highlight w:val="none"/>
                    </w:rPr>
                    <w:t>闪点</w:t>
                  </w:r>
                  <w:r>
                    <w:rPr>
                      <w:rFonts w:hint="eastAsia"/>
                      <w:color w:val="auto"/>
                      <w:highlight w:val="none"/>
                      <w:lang w:val="en-US" w:eastAsia="zh-CN"/>
                    </w:rPr>
                    <w:t>39</w:t>
                  </w:r>
                  <w:r>
                    <w:rPr>
                      <w:rFonts w:hint="eastAsia"/>
                      <w:color w:val="auto"/>
                      <w:highlight w:val="none"/>
                    </w:rPr>
                    <w:t>℃</w:t>
                  </w:r>
                  <w:r>
                    <w:rPr>
                      <w:rFonts w:hint="eastAsia"/>
                      <w:color w:val="auto"/>
                      <w:highlight w:val="none"/>
                      <w:lang w:eastAsia="zh-CN"/>
                    </w:rPr>
                    <w:t>，易溶于水、乙醇、乙醚、甘油，不溶于二硫化碳。</w:t>
                  </w:r>
                </w:p>
              </w:tc>
              <w:tc>
                <w:tcPr>
                  <w:tcW w:w="573" w:type="pct"/>
                  <w:shd w:val="clear" w:color="auto" w:fill="auto"/>
                  <w:vAlign w:val="center"/>
                </w:tcPr>
                <w:p w14:paraId="26D61731">
                  <w:pPr>
                    <w:pStyle w:val="41"/>
                    <w:bidi w:val="0"/>
                    <w:rPr>
                      <w:rFonts w:hint="eastAsia" w:ascii="Times New Roman" w:hAnsi="Times New Roman" w:eastAsia="宋体" w:cs="Times New Roman"/>
                      <w:kern w:val="0"/>
                      <w:sz w:val="21"/>
                      <w:szCs w:val="24"/>
                      <w:lang w:val="en-US" w:eastAsia="zh-CN" w:bidi="ar-SA"/>
                    </w:rPr>
                  </w:pPr>
                  <w:r>
                    <w:rPr>
                      <w:rFonts w:hint="eastAsia"/>
                    </w:rPr>
                    <w:t>易燃</w:t>
                  </w:r>
                </w:p>
              </w:tc>
              <w:tc>
                <w:tcPr>
                  <w:tcW w:w="941" w:type="pct"/>
                  <w:shd w:val="clear" w:color="auto" w:fill="auto"/>
                  <w:vAlign w:val="center"/>
                </w:tcPr>
                <w:p w14:paraId="6C6E4543">
                  <w:pPr>
                    <w:pStyle w:val="41"/>
                    <w:bidi w:val="0"/>
                    <w:rPr>
                      <w:rFonts w:hint="eastAsia" w:ascii="Times New Roman" w:hAnsi="Times New Roman" w:eastAsia="宋体" w:cs="Times New Roman"/>
                      <w:kern w:val="0"/>
                      <w:sz w:val="21"/>
                      <w:szCs w:val="24"/>
                      <w:lang w:val="en-US" w:eastAsia="zh-CN" w:bidi="ar-SA"/>
                    </w:rPr>
                  </w:pPr>
                  <w:r>
                    <w:t>LD50：3530mg/kg</w:t>
                  </w:r>
                  <w:r>
                    <w:rPr>
                      <w:rFonts w:hint="eastAsia"/>
                      <w:lang w:eastAsia="zh-CN"/>
                    </w:rPr>
                    <w:t>（</w:t>
                  </w:r>
                  <w:r>
                    <w:t>大鼠经口</w:t>
                  </w:r>
                  <w:r>
                    <w:rPr>
                      <w:rFonts w:hint="eastAsia"/>
                      <w:lang w:eastAsia="zh-CN"/>
                    </w:rPr>
                    <w:t>）</w:t>
                  </w:r>
                </w:p>
              </w:tc>
            </w:tr>
            <w:tr w14:paraId="3A30F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5BEE547D">
                  <w:pPr>
                    <w:pStyle w:val="41"/>
                    <w:bidi w:val="0"/>
                    <w:rPr>
                      <w:rFonts w:hint="eastAsia"/>
                    </w:rPr>
                  </w:pPr>
                  <w:r>
                    <w:rPr>
                      <w:rFonts w:hint="eastAsia"/>
                    </w:rPr>
                    <w:t>二乙胺</w:t>
                  </w:r>
                </w:p>
              </w:tc>
              <w:tc>
                <w:tcPr>
                  <w:tcW w:w="1196" w:type="dxa"/>
                  <w:vAlign w:val="center"/>
                </w:tcPr>
                <w:p w14:paraId="61D713EF">
                  <w:pPr>
                    <w:pStyle w:val="41"/>
                    <w:bidi w:val="0"/>
                    <w:jc w:val="center"/>
                    <w:rPr>
                      <w:rFonts w:hint="eastAsia"/>
                    </w:rPr>
                  </w:pPr>
                  <w:r>
                    <w:rPr>
                      <w:rFonts w:hint="eastAsia"/>
                    </w:rPr>
                    <w:t>109-89-7</w:t>
                  </w:r>
                </w:p>
              </w:tc>
              <w:tc>
                <w:tcPr>
                  <w:tcW w:w="2211" w:type="pct"/>
                  <w:vAlign w:val="center"/>
                </w:tcPr>
                <w:p w14:paraId="456FCCCF">
                  <w:pPr>
                    <w:pStyle w:val="41"/>
                    <w:bidi w:val="0"/>
                    <w:jc w:val="center"/>
                    <w:rPr>
                      <w:rFonts w:hint="eastAsia" w:eastAsia="宋体"/>
                      <w:lang w:eastAsia="zh-CN"/>
                    </w:rPr>
                  </w:pPr>
                  <w:r>
                    <w:rPr>
                      <w:rFonts w:hint="eastAsia"/>
                    </w:rPr>
                    <w:t>C</w:t>
                  </w:r>
                  <w:r>
                    <w:rPr>
                      <w:rFonts w:hint="eastAsia"/>
                      <w:vertAlign w:val="subscript"/>
                    </w:rPr>
                    <w:t>4</w:t>
                  </w:r>
                  <w:r>
                    <w:rPr>
                      <w:rFonts w:hint="eastAsia"/>
                    </w:rPr>
                    <w:t>H</w:t>
                  </w:r>
                  <w:r>
                    <w:rPr>
                      <w:rFonts w:hint="eastAsia"/>
                      <w:vertAlign w:val="subscript"/>
                    </w:rPr>
                    <w:t>11</w:t>
                  </w:r>
                  <w:r>
                    <w:rPr>
                      <w:rFonts w:hint="eastAsia"/>
                    </w:rPr>
                    <w:t>N</w:t>
                  </w:r>
                  <w:r>
                    <w:rPr>
                      <w:rFonts w:hint="eastAsia"/>
                      <w:lang w:eastAsia="zh-CN"/>
                    </w:rPr>
                    <w:t>，水白色液体，</w:t>
                  </w:r>
                  <w:r>
                    <w:rPr>
                      <w:rFonts w:hint="eastAsia"/>
                      <w:color w:val="auto"/>
                      <w:highlight w:val="none"/>
                    </w:rPr>
                    <w:t>密度</w:t>
                  </w:r>
                  <w:r>
                    <w:rPr>
                      <w:rFonts w:hint="eastAsia"/>
                      <w:color w:val="auto"/>
                      <w:highlight w:val="none"/>
                      <w:lang w:val="en-US" w:eastAsia="zh-CN"/>
                    </w:rPr>
                    <w:t>0.71</w:t>
                  </w:r>
                  <w:r>
                    <w:rPr>
                      <w:rFonts w:hint="eastAsia"/>
                      <w:color w:val="auto"/>
                      <w:highlight w:val="none"/>
                    </w:rPr>
                    <w:t>g/cm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熔点</w:t>
                  </w:r>
                  <w:r>
                    <w:rPr>
                      <w:rFonts w:hint="eastAsia"/>
                      <w:color w:val="auto"/>
                      <w:highlight w:val="none"/>
                      <w:lang w:val="en-US" w:eastAsia="zh-CN"/>
                    </w:rPr>
                    <w:t>-50</w:t>
                  </w:r>
                  <w:r>
                    <w:rPr>
                      <w:rFonts w:hint="eastAsia"/>
                      <w:color w:val="auto"/>
                      <w:highlight w:val="none"/>
                    </w:rPr>
                    <w:t>℃</w:t>
                  </w:r>
                  <w:r>
                    <w:rPr>
                      <w:rFonts w:hint="eastAsia"/>
                      <w:color w:val="auto"/>
                      <w:highlight w:val="none"/>
                      <w:lang w:eastAsia="zh-CN"/>
                    </w:rPr>
                    <w:t>，</w:t>
                  </w:r>
                  <w:r>
                    <w:rPr>
                      <w:rFonts w:hint="eastAsia"/>
                      <w:color w:val="auto"/>
                      <w:highlight w:val="none"/>
                    </w:rPr>
                    <w:t>沸点</w:t>
                  </w:r>
                  <w:r>
                    <w:rPr>
                      <w:rFonts w:hint="eastAsia"/>
                      <w:color w:val="auto"/>
                      <w:highlight w:val="none"/>
                      <w:lang w:val="en-US" w:eastAsia="zh-CN"/>
                    </w:rPr>
                    <w:t>55</w:t>
                  </w:r>
                  <w:r>
                    <w:rPr>
                      <w:rFonts w:hint="eastAsia"/>
                      <w:color w:val="auto"/>
                      <w:highlight w:val="none"/>
                    </w:rPr>
                    <w:t>℃</w:t>
                  </w:r>
                  <w:r>
                    <w:rPr>
                      <w:rFonts w:hint="eastAsia"/>
                      <w:color w:val="auto"/>
                      <w:highlight w:val="none"/>
                      <w:lang w:eastAsia="zh-CN"/>
                    </w:rPr>
                    <w:t>，</w:t>
                  </w:r>
                  <w:r>
                    <w:rPr>
                      <w:rFonts w:hint="eastAsia"/>
                      <w:color w:val="auto"/>
                      <w:highlight w:val="none"/>
                    </w:rPr>
                    <w:t>闪点</w:t>
                  </w:r>
                  <w:r>
                    <w:rPr>
                      <w:rFonts w:hint="eastAsia"/>
                      <w:color w:val="auto"/>
                      <w:highlight w:val="none"/>
                      <w:lang w:val="en-US" w:eastAsia="zh-CN"/>
                    </w:rPr>
                    <w:t>-15</w:t>
                  </w:r>
                  <w:r>
                    <w:rPr>
                      <w:rFonts w:hint="eastAsia"/>
                      <w:color w:val="auto"/>
                      <w:highlight w:val="none"/>
                    </w:rPr>
                    <w:t>℃</w:t>
                  </w:r>
                  <w:r>
                    <w:rPr>
                      <w:rFonts w:hint="eastAsia"/>
                      <w:color w:val="auto"/>
                      <w:highlight w:val="none"/>
                      <w:lang w:eastAsia="zh-CN"/>
                    </w:rPr>
                    <w:t>，溶于水，溶于乙醇、乙醚和大多数有机溶剂。</w:t>
                  </w:r>
                </w:p>
              </w:tc>
              <w:tc>
                <w:tcPr>
                  <w:tcW w:w="573" w:type="pct"/>
                  <w:shd w:val="clear" w:color="auto" w:fill="auto"/>
                  <w:vAlign w:val="center"/>
                </w:tcPr>
                <w:p w14:paraId="308180E0">
                  <w:pPr>
                    <w:pStyle w:val="41"/>
                    <w:bidi w:val="0"/>
                    <w:rPr>
                      <w:rFonts w:hint="eastAsia" w:eastAsia="宋体"/>
                      <w:lang w:val="en-US" w:eastAsia="zh-CN"/>
                    </w:rPr>
                  </w:pPr>
                  <w:r>
                    <w:rPr>
                      <w:rFonts w:hint="eastAsia"/>
                      <w:lang w:val="en-US" w:eastAsia="zh-CN"/>
                    </w:rPr>
                    <w:t>可燃</w:t>
                  </w:r>
                </w:p>
              </w:tc>
              <w:tc>
                <w:tcPr>
                  <w:tcW w:w="941" w:type="pct"/>
                  <w:shd w:val="clear" w:color="auto" w:fill="auto"/>
                  <w:vAlign w:val="center"/>
                </w:tcPr>
                <w:p w14:paraId="1C168A45">
                  <w:pPr>
                    <w:pStyle w:val="41"/>
                    <w:bidi w:val="0"/>
                    <w:rPr>
                      <w:rFonts w:hint="eastAsia" w:eastAsia="宋体"/>
                      <w:lang w:eastAsia="zh-CN"/>
                    </w:rPr>
                  </w:pPr>
                  <w:r>
                    <w:rPr>
                      <w:rFonts w:hint="eastAsia"/>
                    </w:rPr>
                    <w:t>LD50：540mg/kg</w:t>
                  </w:r>
                  <w:r>
                    <w:rPr>
                      <w:rFonts w:hint="eastAsia"/>
                      <w:lang w:eastAsia="zh-CN"/>
                    </w:rPr>
                    <w:t>（</w:t>
                  </w:r>
                  <w:r>
                    <w:rPr>
                      <w:rFonts w:hint="eastAsia"/>
                    </w:rPr>
                    <w:t>大鼠经口</w:t>
                  </w:r>
                  <w:r>
                    <w:rPr>
                      <w:rFonts w:hint="eastAsia"/>
                      <w:lang w:eastAsia="zh-CN"/>
                    </w:rPr>
                    <w:t>）；</w:t>
                  </w:r>
                  <w:r>
                    <w:rPr>
                      <w:rFonts w:hint="eastAsia"/>
                    </w:rPr>
                    <w:t>LC50：500mg/kg</w:t>
                  </w:r>
                  <w:r>
                    <w:rPr>
                      <w:rFonts w:hint="eastAsia"/>
                      <w:lang w:eastAsia="zh-CN"/>
                    </w:rPr>
                    <w:t>（</w:t>
                  </w:r>
                  <w:r>
                    <w:rPr>
                      <w:rFonts w:hint="eastAsia"/>
                    </w:rPr>
                    <w:t>小鼠经口</w:t>
                  </w:r>
                  <w:r>
                    <w:rPr>
                      <w:rFonts w:hint="eastAsia"/>
                      <w:lang w:eastAsia="zh-CN"/>
                    </w:rPr>
                    <w:t>）</w:t>
                  </w:r>
                </w:p>
              </w:tc>
            </w:tr>
            <w:tr w14:paraId="77BE9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5115D825">
                  <w:pPr>
                    <w:pStyle w:val="41"/>
                    <w:bidi w:val="0"/>
                    <w:rPr>
                      <w:rFonts w:hint="eastAsia"/>
                    </w:rPr>
                  </w:pPr>
                  <w:r>
                    <w:rPr>
                      <w:rFonts w:hint="eastAsia"/>
                    </w:rPr>
                    <w:t>磷酸</w:t>
                  </w:r>
                </w:p>
              </w:tc>
              <w:tc>
                <w:tcPr>
                  <w:tcW w:w="1196" w:type="dxa"/>
                  <w:vAlign w:val="center"/>
                </w:tcPr>
                <w:p w14:paraId="5368CE1F">
                  <w:pPr>
                    <w:pStyle w:val="41"/>
                    <w:bidi w:val="0"/>
                    <w:jc w:val="center"/>
                    <w:rPr>
                      <w:rFonts w:hint="eastAsia"/>
                    </w:rPr>
                  </w:pPr>
                  <w:r>
                    <w:rPr>
                      <w:rFonts w:hint="eastAsia"/>
                    </w:rPr>
                    <w:t>7664-38-2</w:t>
                  </w:r>
                </w:p>
              </w:tc>
              <w:tc>
                <w:tcPr>
                  <w:tcW w:w="2211" w:type="pct"/>
                  <w:shd w:val="clear" w:color="auto" w:fill="auto"/>
                  <w:vAlign w:val="center"/>
                </w:tcPr>
                <w:p w14:paraId="26DCA882">
                  <w:pPr>
                    <w:pStyle w:val="41"/>
                    <w:bidi w:val="0"/>
                    <w:rPr>
                      <w:rFonts w:hint="eastAsia" w:ascii="Times New Roman" w:hAnsi="Times New Roman" w:eastAsia="宋体" w:cs="Times New Roman"/>
                      <w:kern w:val="0"/>
                      <w:sz w:val="21"/>
                      <w:szCs w:val="24"/>
                      <w:lang w:val="en-US" w:eastAsia="zh-CN" w:bidi="ar-SA"/>
                    </w:rPr>
                  </w:pPr>
                  <w:r>
                    <w:rPr>
                      <w:rFonts w:hint="eastAsia"/>
                    </w:rPr>
                    <w:t>H</w:t>
                  </w:r>
                  <w:r>
                    <w:rPr>
                      <w:rFonts w:hint="eastAsia"/>
                      <w:vertAlign w:val="subscript"/>
                    </w:rPr>
                    <w:t>3</w:t>
                  </w:r>
                  <w:r>
                    <w:rPr>
                      <w:rFonts w:hint="eastAsia"/>
                    </w:rPr>
                    <w:t>PO</w:t>
                  </w:r>
                  <w:r>
                    <w:rPr>
                      <w:rFonts w:hint="eastAsia"/>
                      <w:vertAlign w:val="subscript"/>
                    </w:rPr>
                    <w:t>4</w:t>
                  </w:r>
                  <w:r>
                    <w:rPr>
                      <w:rFonts w:hint="eastAsia"/>
                      <w:lang w:eastAsia="zh-CN"/>
                    </w:rPr>
                    <w:t>，透明无色液体，</w:t>
                  </w:r>
                  <w:r>
                    <w:rPr>
                      <w:rFonts w:hint="eastAsia"/>
                      <w:color w:val="auto"/>
                      <w:highlight w:val="none"/>
                    </w:rPr>
                    <w:t>密度</w:t>
                  </w:r>
                  <w:r>
                    <w:rPr>
                      <w:rFonts w:hint="eastAsia"/>
                      <w:color w:val="auto"/>
                      <w:highlight w:val="none"/>
                      <w:lang w:val="en-US" w:eastAsia="zh-CN"/>
                    </w:rPr>
                    <w:t>1.87</w:t>
                  </w:r>
                  <w:r>
                    <w:rPr>
                      <w:rFonts w:hint="eastAsia"/>
                      <w:color w:val="auto"/>
                      <w:highlight w:val="none"/>
                    </w:rPr>
                    <w:t>g/cm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熔点</w:t>
                  </w:r>
                  <w:r>
                    <w:rPr>
                      <w:rFonts w:hint="eastAsia"/>
                      <w:color w:val="auto"/>
                      <w:highlight w:val="none"/>
                      <w:lang w:val="en-US" w:eastAsia="zh-CN"/>
                    </w:rPr>
                    <w:t>42</w:t>
                  </w:r>
                  <w:r>
                    <w:rPr>
                      <w:rFonts w:hint="eastAsia"/>
                      <w:color w:val="auto"/>
                      <w:highlight w:val="none"/>
                    </w:rPr>
                    <w:t>℃</w:t>
                  </w:r>
                  <w:r>
                    <w:rPr>
                      <w:rFonts w:hint="eastAsia"/>
                      <w:color w:val="auto"/>
                      <w:highlight w:val="none"/>
                      <w:lang w:eastAsia="zh-CN"/>
                    </w:rPr>
                    <w:t>，</w:t>
                  </w:r>
                  <w:r>
                    <w:rPr>
                      <w:rFonts w:hint="eastAsia"/>
                      <w:color w:val="auto"/>
                      <w:highlight w:val="none"/>
                    </w:rPr>
                    <w:t>沸点</w:t>
                  </w:r>
                  <w:r>
                    <w:rPr>
                      <w:rFonts w:hint="eastAsia"/>
                      <w:color w:val="auto"/>
                      <w:highlight w:val="none"/>
                      <w:lang w:val="en-US" w:eastAsia="zh-CN"/>
                    </w:rPr>
                    <w:t>261</w:t>
                  </w:r>
                  <w:r>
                    <w:rPr>
                      <w:rFonts w:hint="eastAsia"/>
                      <w:color w:val="auto"/>
                      <w:highlight w:val="none"/>
                    </w:rPr>
                    <w:t>℃</w:t>
                  </w:r>
                  <w:r>
                    <w:rPr>
                      <w:rFonts w:hint="eastAsia"/>
                      <w:color w:val="auto"/>
                      <w:highlight w:val="none"/>
                      <w:lang w:eastAsia="zh-CN"/>
                    </w:rPr>
                    <w:t>，主要用于制药、食品、肥料等工业，也可用作化学</w:t>
                  </w:r>
                  <w:r>
                    <w:rPr>
                      <w:rFonts w:hint="eastAsia"/>
                      <w:color w:val="auto"/>
                      <w:highlight w:val="none"/>
                      <w:lang w:val="en-US" w:eastAsia="zh-CN"/>
                    </w:rPr>
                    <w:t>试剂。</w:t>
                  </w:r>
                </w:p>
              </w:tc>
              <w:tc>
                <w:tcPr>
                  <w:tcW w:w="573" w:type="pct"/>
                  <w:shd w:val="clear" w:color="auto" w:fill="auto"/>
                  <w:vAlign w:val="center"/>
                </w:tcPr>
                <w:p w14:paraId="61955912">
                  <w:pPr>
                    <w:pStyle w:val="41"/>
                    <w:bidi w:val="0"/>
                    <w:rPr>
                      <w:rFonts w:hint="eastAsia" w:ascii="Times New Roman" w:hAnsi="Times New Roman" w:eastAsia="宋体" w:cs="Times New Roman"/>
                      <w:kern w:val="0"/>
                      <w:sz w:val="21"/>
                      <w:szCs w:val="24"/>
                      <w:lang w:val="en-US" w:eastAsia="zh-CN" w:bidi="ar-SA"/>
                    </w:rPr>
                  </w:pPr>
                  <w:r>
                    <w:t>不燃</w:t>
                  </w:r>
                </w:p>
              </w:tc>
              <w:tc>
                <w:tcPr>
                  <w:tcW w:w="941" w:type="pct"/>
                  <w:shd w:val="clear" w:color="auto" w:fill="auto"/>
                  <w:vAlign w:val="center"/>
                </w:tcPr>
                <w:p w14:paraId="065A7345">
                  <w:pPr>
                    <w:pStyle w:val="41"/>
                    <w:bidi w:val="0"/>
                    <w:rPr>
                      <w:rFonts w:hint="eastAsia" w:ascii="Times New Roman" w:hAnsi="Times New Roman" w:eastAsia="宋体" w:cs="Times New Roman"/>
                      <w:kern w:val="0"/>
                      <w:sz w:val="21"/>
                      <w:szCs w:val="24"/>
                      <w:lang w:val="en-US" w:eastAsia="zh-CN" w:bidi="ar-SA"/>
                    </w:rPr>
                  </w:pPr>
                  <w:r>
                    <w:t>LD50：1530mg/kg（大鼠经口）</w:t>
                  </w:r>
                </w:p>
              </w:tc>
            </w:tr>
            <w:tr w14:paraId="28ED8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6CA249DD">
                  <w:pPr>
                    <w:pStyle w:val="41"/>
                    <w:bidi w:val="0"/>
                    <w:rPr>
                      <w:rFonts w:hint="eastAsia" w:ascii="Times New Roman" w:hAnsi="Times New Roman" w:eastAsia="宋体" w:cs="Times New Roman"/>
                      <w:kern w:val="0"/>
                      <w:sz w:val="21"/>
                      <w:szCs w:val="24"/>
                      <w:lang w:val="en-US" w:eastAsia="zh-CN" w:bidi="ar-SA"/>
                    </w:rPr>
                  </w:pPr>
                  <w:r>
                    <w:rPr>
                      <w:rFonts w:hint="eastAsia"/>
                    </w:rPr>
                    <w:t>乙酸丁酯</w:t>
                  </w:r>
                </w:p>
              </w:tc>
              <w:tc>
                <w:tcPr>
                  <w:tcW w:w="1196" w:type="dxa"/>
                  <w:vAlign w:val="center"/>
                </w:tcPr>
                <w:p w14:paraId="293AC52F">
                  <w:pPr>
                    <w:pStyle w:val="41"/>
                    <w:bidi w:val="0"/>
                    <w:jc w:val="center"/>
                    <w:rPr>
                      <w:rFonts w:hint="eastAsia"/>
                    </w:rPr>
                  </w:pPr>
                  <w:r>
                    <w:rPr>
                      <w:rFonts w:hint="eastAsia"/>
                    </w:rPr>
                    <w:t>123-86-4</w:t>
                  </w:r>
                </w:p>
              </w:tc>
              <w:tc>
                <w:tcPr>
                  <w:tcW w:w="2211" w:type="pct"/>
                  <w:vAlign w:val="center"/>
                </w:tcPr>
                <w:p w14:paraId="40989604">
                  <w:pPr>
                    <w:pStyle w:val="41"/>
                    <w:bidi w:val="0"/>
                    <w:jc w:val="center"/>
                    <w:rPr>
                      <w:rFonts w:hint="default" w:eastAsia="宋体"/>
                      <w:lang w:val="en-US" w:eastAsia="zh-CN"/>
                    </w:rPr>
                  </w:pPr>
                  <w:r>
                    <w:rPr>
                      <w:rFonts w:hint="eastAsia"/>
                    </w:rPr>
                    <w:t>C</w:t>
                  </w:r>
                  <w:r>
                    <w:rPr>
                      <w:rFonts w:hint="eastAsia"/>
                      <w:vertAlign w:val="subscript"/>
                    </w:rPr>
                    <w:t>6</w:t>
                  </w:r>
                  <w:r>
                    <w:rPr>
                      <w:rFonts w:hint="eastAsia"/>
                    </w:rPr>
                    <w:t>H</w:t>
                  </w:r>
                  <w:r>
                    <w:rPr>
                      <w:rFonts w:hint="eastAsia"/>
                      <w:vertAlign w:val="subscript"/>
                    </w:rPr>
                    <w:t>12</w:t>
                  </w:r>
                  <w:r>
                    <w:rPr>
                      <w:rFonts w:hint="eastAsia"/>
                    </w:rPr>
                    <w:t>O</w:t>
                  </w:r>
                  <w:r>
                    <w:rPr>
                      <w:rFonts w:hint="eastAsia"/>
                      <w:vertAlign w:val="subscript"/>
                    </w:rPr>
                    <w:t>2</w:t>
                  </w:r>
                  <w:r>
                    <w:rPr>
                      <w:rFonts w:hint="eastAsia"/>
                      <w:lang w:eastAsia="zh-CN"/>
                    </w:rPr>
                    <w:t>，无色透明液体，</w:t>
                  </w:r>
                  <w:r>
                    <w:rPr>
                      <w:rFonts w:hint="eastAsia"/>
                      <w:color w:val="auto"/>
                      <w:highlight w:val="none"/>
                    </w:rPr>
                    <w:t>密度</w:t>
                  </w:r>
                  <w:r>
                    <w:rPr>
                      <w:rFonts w:hint="eastAsia"/>
                      <w:color w:val="auto"/>
                      <w:highlight w:val="none"/>
                      <w:lang w:val="en-US" w:eastAsia="zh-CN"/>
                    </w:rPr>
                    <w:t>0.8825</w:t>
                  </w:r>
                  <w:r>
                    <w:rPr>
                      <w:rFonts w:hint="eastAsia"/>
                      <w:color w:val="auto"/>
                      <w:highlight w:val="none"/>
                    </w:rPr>
                    <w:t>g/cm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熔点</w:t>
                  </w:r>
                  <w:r>
                    <w:rPr>
                      <w:rFonts w:hint="eastAsia"/>
                      <w:color w:val="auto"/>
                      <w:highlight w:val="none"/>
                      <w:lang w:val="en-US" w:eastAsia="zh-CN"/>
                    </w:rPr>
                    <w:t>-78</w:t>
                  </w:r>
                  <w:r>
                    <w:rPr>
                      <w:rFonts w:hint="eastAsia"/>
                      <w:color w:val="auto"/>
                      <w:highlight w:val="none"/>
                    </w:rPr>
                    <w:t>℃</w:t>
                  </w:r>
                  <w:r>
                    <w:rPr>
                      <w:rFonts w:hint="eastAsia"/>
                      <w:color w:val="auto"/>
                      <w:highlight w:val="none"/>
                      <w:lang w:eastAsia="zh-CN"/>
                    </w:rPr>
                    <w:t>，</w:t>
                  </w:r>
                  <w:r>
                    <w:rPr>
                      <w:rFonts w:hint="eastAsia"/>
                      <w:color w:val="auto"/>
                      <w:highlight w:val="none"/>
                    </w:rPr>
                    <w:t>沸点</w:t>
                  </w:r>
                  <w:r>
                    <w:rPr>
                      <w:rFonts w:hint="eastAsia"/>
                      <w:color w:val="auto"/>
                      <w:highlight w:val="none"/>
                      <w:lang w:val="en-US" w:eastAsia="zh-CN"/>
                    </w:rPr>
                    <w:t>126.1</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闪点33</w:t>
                  </w:r>
                  <w:r>
                    <w:rPr>
                      <w:rFonts w:hint="eastAsia"/>
                      <w:color w:val="auto"/>
                      <w:highlight w:val="none"/>
                    </w:rPr>
                    <w:t>℃</w:t>
                  </w:r>
                  <w:r>
                    <w:rPr>
                      <w:rFonts w:hint="eastAsia"/>
                      <w:color w:val="auto"/>
                      <w:highlight w:val="none"/>
                      <w:lang w:eastAsia="zh-CN"/>
                    </w:rPr>
                    <w:t>，易挥发，难溶于水，能溶解油脂、香脑、树胶、松香等。</w:t>
                  </w:r>
                </w:p>
              </w:tc>
              <w:tc>
                <w:tcPr>
                  <w:tcW w:w="573" w:type="pct"/>
                  <w:vAlign w:val="center"/>
                </w:tcPr>
                <w:p w14:paraId="1B009017">
                  <w:pPr>
                    <w:pStyle w:val="41"/>
                    <w:bidi w:val="0"/>
                    <w:jc w:val="center"/>
                    <w:rPr>
                      <w:rFonts w:hint="eastAsia" w:eastAsia="宋体"/>
                      <w:lang w:val="en-US" w:eastAsia="zh-CN"/>
                    </w:rPr>
                  </w:pPr>
                  <w:r>
                    <w:rPr>
                      <w:rFonts w:hint="eastAsia"/>
                      <w:lang w:val="en-US" w:eastAsia="zh-CN"/>
                    </w:rPr>
                    <w:t>易燃</w:t>
                  </w:r>
                </w:p>
              </w:tc>
              <w:tc>
                <w:tcPr>
                  <w:tcW w:w="941" w:type="pct"/>
                  <w:vAlign w:val="center"/>
                </w:tcPr>
                <w:p w14:paraId="713CF342">
                  <w:pPr>
                    <w:pStyle w:val="41"/>
                    <w:bidi w:val="0"/>
                    <w:jc w:val="center"/>
                    <w:rPr>
                      <w:rFonts w:hint="eastAsia"/>
                    </w:rPr>
                  </w:pPr>
                  <w:r>
                    <w:t>LD50：</w:t>
                  </w:r>
                  <w:r>
                    <w:rPr>
                      <w:rFonts w:hint="eastAsia"/>
                    </w:rPr>
                    <w:t>10760</w:t>
                  </w:r>
                  <w:r>
                    <w:t>mg/kg（大鼠经口）</w:t>
                  </w:r>
                </w:p>
              </w:tc>
            </w:tr>
            <w:tr w14:paraId="50C1B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7CD604DE">
                  <w:pPr>
                    <w:pStyle w:val="41"/>
                    <w:bidi w:val="0"/>
                    <w:rPr>
                      <w:rFonts w:hint="eastAsia" w:ascii="Times New Roman" w:hAnsi="Times New Roman" w:eastAsia="宋体" w:cs="Times New Roman"/>
                      <w:kern w:val="0"/>
                      <w:sz w:val="21"/>
                      <w:szCs w:val="24"/>
                      <w:lang w:val="en-US" w:eastAsia="zh-CN" w:bidi="ar-SA"/>
                    </w:rPr>
                  </w:pPr>
                  <w:r>
                    <w:rPr>
                      <w:rFonts w:hint="eastAsia"/>
                    </w:rPr>
                    <w:t>甲酸乙酯</w:t>
                  </w:r>
                </w:p>
              </w:tc>
              <w:tc>
                <w:tcPr>
                  <w:tcW w:w="1196" w:type="dxa"/>
                  <w:vAlign w:val="center"/>
                </w:tcPr>
                <w:p w14:paraId="5A0896F9">
                  <w:pPr>
                    <w:pStyle w:val="41"/>
                    <w:bidi w:val="0"/>
                    <w:jc w:val="center"/>
                    <w:rPr>
                      <w:rFonts w:hint="eastAsia"/>
                    </w:rPr>
                  </w:pPr>
                  <w:r>
                    <w:rPr>
                      <w:rFonts w:hint="eastAsia"/>
                    </w:rPr>
                    <w:t>109-94-4</w:t>
                  </w:r>
                </w:p>
              </w:tc>
              <w:tc>
                <w:tcPr>
                  <w:tcW w:w="2211" w:type="pct"/>
                  <w:vAlign w:val="center"/>
                </w:tcPr>
                <w:p w14:paraId="2161668A">
                  <w:pPr>
                    <w:pStyle w:val="41"/>
                    <w:bidi w:val="0"/>
                    <w:jc w:val="center"/>
                    <w:rPr>
                      <w:rFonts w:hint="eastAsia" w:eastAsia="宋体"/>
                      <w:lang w:eastAsia="zh-CN"/>
                    </w:rPr>
                  </w:pPr>
                  <w:r>
                    <w:rPr>
                      <w:rFonts w:hint="eastAsia"/>
                    </w:rPr>
                    <w:t>C3H6O2</w:t>
                  </w:r>
                  <w:r>
                    <w:rPr>
                      <w:rFonts w:hint="eastAsia"/>
                      <w:lang w:eastAsia="zh-CN"/>
                    </w:rPr>
                    <w:t>，无色液体，</w:t>
                  </w:r>
                  <w:r>
                    <w:rPr>
                      <w:rFonts w:hint="eastAsia"/>
                      <w:color w:val="auto"/>
                      <w:highlight w:val="none"/>
                    </w:rPr>
                    <w:t>密度</w:t>
                  </w:r>
                  <w:r>
                    <w:rPr>
                      <w:rFonts w:hint="eastAsia"/>
                      <w:color w:val="auto"/>
                      <w:highlight w:val="none"/>
                      <w:lang w:val="en-US" w:eastAsia="zh-CN"/>
                    </w:rPr>
                    <w:t>0.906</w:t>
                  </w:r>
                  <w:r>
                    <w:rPr>
                      <w:rFonts w:hint="eastAsia"/>
                      <w:color w:val="auto"/>
                      <w:highlight w:val="none"/>
                    </w:rPr>
                    <w:t>g/cm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熔点</w:t>
                  </w:r>
                  <w:r>
                    <w:rPr>
                      <w:rFonts w:hint="eastAsia"/>
                      <w:color w:val="auto"/>
                      <w:highlight w:val="none"/>
                      <w:lang w:val="en-US" w:eastAsia="zh-CN"/>
                    </w:rPr>
                    <w:t>-80.5</w:t>
                  </w:r>
                  <w:r>
                    <w:rPr>
                      <w:rFonts w:hint="eastAsia"/>
                      <w:color w:val="auto"/>
                      <w:highlight w:val="none"/>
                    </w:rPr>
                    <w:t>℃</w:t>
                  </w:r>
                  <w:r>
                    <w:rPr>
                      <w:rFonts w:hint="eastAsia"/>
                      <w:color w:val="auto"/>
                      <w:highlight w:val="none"/>
                      <w:lang w:eastAsia="zh-CN"/>
                    </w:rPr>
                    <w:t>，</w:t>
                  </w:r>
                  <w:r>
                    <w:rPr>
                      <w:rFonts w:hint="eastAsia"/>
                      <w:color w:val="auto"/>
                      <w:highlight w:val="none"/>
                    </w:rPr>
                    <w:t>沸点</w:t>
                  </w:r>
                  <w:r>
                    <w:rPr>
                      <w:rFonts w:hint="eastAsia"/>
                      <w:color w:val="auto"/>
                      <w:highlight w:val="none"/>
                      <w:lang w:val="en-US" w:eastAsia="zh-CN"/>
                    </w:rPr>
                    <w:t>54.7</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闪点-19.4</w:t>
                  </w:r>
                  <w:r>
                    <w:rPr>
                      <w:rFonts w:hint="eastAsia"/>
                      <w:color w:val="auto"/>
                      <w:highlight w:val="none"/>
                    </w:rPr>
                    <w:t>℃</w:t>
                  </w:r>
                  <w:r>
                    <w:rPr>
                      <w:rFonts w:hint="eastAsia"/>
                      <w:color w:val="auto"/>
                      <w:highlight w:val="none"/>
                      <w:lang w:eastAsia="zh-CN"/>
                    </w:rPr>
                    <w:t>，微溶于水，溶于苯、乙醇、乙醚等多数有机溶剂，主要用作醋酸或硝酸纤维的溶剂及香精合成和医药生产。</w:t>
                  </w:r>
                </w:p>
              </w:tc>
              <w:tc>
                <w:tcPr>
                  <w:tcW w:w="573" w:type="pct"/>
                  <w:vAlign w:val="center"/>
                </w:tcPr>
                <w:p w14:paraId="74598C3F">
                  <w:pPr>
                    <w:pStyle w:val="41"/>
                    <w:bidi w:val="0"/>
                    <w:jc w:val="center"/>
                    <w:rPr>
                      <w:rFonts w:hint="eastAsia" w:eastAsia="宋体"/>
                      <w:lang w:val="en-US" w:eastAsia="zh-CN"/>
                    </w:rPr>
                  </w:pPr>
                  <w:r>
                    <w:rPr>
                      <w:rFonts w:hint="eastAsia"/>
                      <w:lang w:val="en-US" w:eastAsia="zh-CN"/>
                    </w:rPr>
                    <w:t>易燃</w:t>
                  </w:r>
                </w:p>
              </w:tc>
              <w:tc>
                <w:tcPr>
                  <w:tcW w:w="941" w:type="pct"/>
                  <w:vAlign w:val="center"/>
                </w:tcPr>
                <w:p w14:paraId="29A66263">
                  <w:pPr>
                    <w:pStyle w:val="41"/>
                    <w:bidi w:val="0"/>
                    <w:jc w:val="center"/>
                    <w:rPr>
                      <w:rFonts w:hint="eastAsia"/>
                    </w:rPr>
                  </w:pPr>
                  <w:r>
                    <w:t>LD50：</w:t>
                  </w:r>
                  <w:r>
                    <w:rPr>
                      <w:rFonts w:hint="eastAsia"/>
                      <w:lang w:val="en-US" w:eastAsia="zh-CN"/>
                    </w:rPr>
                    <w:t>1850</w:t>
                  </w:r>
                  <w:r>
                    <w:t>mg/kg（大鼠经口）</w:t>
                  </w:r>
                </w:p>
              </w:tc>
            </w:tr>
            <w:tr w14:paraId="51572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22FFE0FB">
                  <w:pPr>
                    <w:pStyle w:val="41"/>
                    <w:bidi w:val="0"/>
                    <w:rPr>
                      <w:rFonts w:hint="eastAsia" w:ascii="Times New Roman" w:hAnsi="Times New Roman" w:eastAsia="宋体" w:cs="Times New Roman"/>
                      <w:kern w:val="0"/>
                      <w:sz w:val="21"/>
                      <w:szCs w:val="24"/>
                      <w:lang w:val="en-US" w:eastAsia="zh-CN" w:bidi="ar-SA"/>
                    </w:rPr>
                  </w:pPr>
                  <w:r>
                    <w:rPr>
                      <w:rFonts w:hint="eastAsia"/>
                    </w:rPr>
                    <w:t>正己烷</w:t>
                  </w:r>
                </w:p>
              </w:tc>
              <w:tc>
                <w:tcPr>
                  <w:tcW w:w="1196" w:type="dxa"/>
                  <w:vAlign w:val="center"/>
                </w:tcPr>
                <w:p w14:paraId="25D9963F">
                  <w:pPr>
                    <w:pStyle w:val="41"/>
                    <w:bidi w:val="0"/>
                    <w:jc w:val="center"/>
                    <w:rPr>
                      <w:rFonts w:hint="eastAsia"/>
                    </w:rPr>
                  </w:pPr>
                  <w:r>
                    <w:rPr>
                      <w:rFonts w:hint="eastAsia"/>
                    </w:rPr>
                    <w:t>110-54-3</w:t>
                  </w:r>
                </w:p>
              </w:tc>
              <w:tc>
                <w:tcPr>
                  <w:tcW w:w="2211" w:type="pct"/>
                  <w:shd w:val="clear" w:color="auto" w:fill="auto"/>
                  <w:vAlign w:val="center"/>
                </w:tcPr>
                <w:p w14:paraId="39644C73">
                  <w:pPr>
                    <w:pStyle w:val="41"/>
                    <w:bidi w:val="0"/>
                    <w:rPr>
                      <w:rFonts w:hint="eastAsia" w:ascii="Times New Roman" w:hAnsi="Times New Roman" w:eastAsia="宋体" w:cs="Times New Roman"/>
                      <w:kern w:val="0"/>
                      <w:sz w:val="21"/>
                      <w:szCs w:val="24"/>
                      <w:lang w:val="en-US" w:eastAsia="zh-CN" w:bidi="ar-SA"/>
                    </w:rPr>
                  </w:pPr>
                  <w:r>
                    <w:rPr>
                      <w:rFonts w:hint="eastAsia"/>
                    </w:rPr>
                    <w:t>C</w:t>
                  </w:r>
                  <w:r>
                    <w:rPr>
                      <w:rFonts w:hint="eastAsia"/>
                      <w:vertAlign w:val="subscript"/>
                    </w:rPr>
                    <w:t>6</w:t>
                  </w:r>
                  <w:r>
                    <w:rPr>
                      <w:rFonts w:hint="eastAsia"/>
                    </w:rPr>
                    <w:t>H</w:t>
                  </w:r>
                  <w:r>
                    <w:rPr>
                      <w:rFonts w:hint="eastAsia"/>
                      <w:vertAlign w:val="subscript"/>
                    </w:rPr>
                    <w:t>14</w:t>
                  </w:r>
                  <w:r>
                    <w:rPr>
                      <w:rFonts w:hint="eastAsia"/>
                      <w:lang w:eastAsia="zh-CN"/>
                    </w:rPr>
                    <w:t>，</w:t>
                  </w:r>
                  <w:r>
                    <w:rPr>
                      <w:rFonts w:hint="eastAsia"/>
                    </w:rPr>
                    <w:t>无色液体，有微弱的特殊气味，密度</w:t>
                  </w:r>
                  <w:r>
                    <w:rPr>
                      <w:rFonts w:hint="eastAsia"/>
                      <w:lang w:val="en-US" w:eastAsia="zh-CN"/>
                    </w:rPr>
                    <w:t>0.659</w:t>
                  </w:r>
                  <w:r>
                    <w:rPr>
                      <w:rFonts w:hint="eastAsia"/>
                      <w:color w:val="auto"/>
                      <w:highlight w:val="none"/>
                    </w:rPr>
                    <w:t>g/cm</w:t>
                  </w:r>
                  <w:r>
                    <w:rPr>
                      <w:rFonts w:hint="eastAsia"/>
                      <w:color w:val="auto"/>
                      <w:highlight w:val="none"/>
                      <w:vertAlign w:val="superscript"/>
                    </w:rPr>
                    <w:t>3</w:t>
                  </w:r>
                  <w:r>
                    <w:rPr>
                      <w:rFonts w:hint="eastAsia"/>
                    </w:rPr>
                    <w:t>，熔点</w:t>
                  </w:r>
                  <w:r>
                    <w:t>-95.6℃</w:t>
                  </w:r>
                  <w:r>
                    <w:rPr>
                      <w:rFonts w:hint="eastAsia"/>
                      <w:lang w:eastAsia="zh-CN"/>
                    </w:rPr>
                    <w:t>，</w:t>
                  </w:r>
                  <w:r>
                    <w:rPr>
                      <w:rFonts w:hint="eastAsia"/>
                    </w:rPr>
                    <w:t>沸点</w:t>
                  </w:r>
                  <w:r>
                    <w:t>68.7℃</w:t>
                  </w:r>
                  <w:r>
                    <w:rPr>
                      <w:rFonts w:hint="eastAsia"/>
                    </w:rPr>
                    <w:t>，</w:t>
                  </w:r>
                  <w:r>
                    <w:rPr>
                      <w:rFonts w:hint="eastAsia"/>
                      <w:lang w:val="en-US" w:eastAsia="zh-CN"/>
                    </w:rPr>
                    <w:t>闪点-22℃，</w:t>
                  </w:r>
                  <w:r>
                    <w:rPr>
                      <w:rFonts w:hint="eastAsia"/>
                    </w:rPr>
                    <w:t>不溶于水，溶于乙醇、乙醚等多数有机溶剂</w:t>
                  </w:r>
                  <w:r>
                    <w:rPr>
                      <w:rFonts w:hint="eastAsia"/>
                      <w:lang w:eastAsia="zh-CN"/>
                    </w:rPr>
                    <w:t>。</w:t>
                  </w:r>
                </w:p>
              </w:tc>
              <w:tc>
                <w:tcPr>
                  <w:tcW w:w="573" w:type="pct"/>
                  <w:shd w:val="clear" w:color="auto" w:fill="auto"/>
                  <w:vAlign w:val="center"/>
                </w:tcPr>
                <w:p w14:paraId="79B588DB">
                  <w:pPr>
                    <w:pStyle w:val="41"/>
                    <w:bidi w:val="0"/>
                    <w:rPr>
                      <w:rFonts w:hint="eastAsia" w:ascii="Times New Roman" w:hAnsi="Times New Roman" w:eastAsia="宋体" w:cs="Times New Roman"/>
                      <w:kern w:val="0"/>
                      <w:sz w:val="21"/>
                      <w:szCs w:val="24"/>
                      <w:lang w:val="en-US" w:eastAsia="zh-CN" w:bidi="ar-SA"/>
                    </w:rPr>
                  </w:pPr>
                  <w:r>
                    <w:rPr>
                      <w:rFonts w:hint="eastAsia"/>
                    </w:rPr>
                    <w:t>易燃</w:t>
                  </w:r>
                </w:p>
              </w:tc>
              <w:tc>
                <w:tcPr>
                  <w:tcW w:w="941" w:type="pct"/>
                  <w:shd w:val="clear" w:color="auto" w:fill="auto"/>
                  <w:vAlign w:val="center"/>
                </w:tcPr>
                <w:p w14:paraId="39F3EC1B">
                  <w:pPr>
                    <w:pStyle w:val="41"/>
                    <w:bidi w:val="0"/>
                    <w:rPr>
                      <w:rFonts w:hint="eastAsia" w:ascii="Times New Roman" w:hAnsi="Times New Roman" w:eastAsia="宋体" w:cs="Times New Roman"/>
                      <w:kern w:val="0"/>
                      <w:sz w:val="21"/>
                      <w:szCs w:val="24"/>
                      <w:lang w:val="en-US" w:eastAsia="zh-CN" w:bidi="ar-SA"/>
                    </w:rPr>
                  </w:pPr>
                  <w:r>
                    <w:t>LD50</w:t>
                  </w:r>
                  <w:r>
                    <w:rPr>
                      <w:rFonts w:hint="eastAsia"/>
                    </w:rPr>
                    <w:t>：</w:t>
                  </w:r>
                  <w:r>
                    <w:t>28710mg/kg</w:t>
                  </w:r>
                  <w:r>
                    <w:rPr>
                      <w:rFonts w:hint="eastAsia"/>
                    </w:rPr>
                    <w:t>（大鼠经口</w:t>
                  </w:r>
                  <w:r>
                    <w:rPr>
                      <w:rFonts w:hint="eastAsia"/>
                      <w:lang w:eastAsia="zh-CN"/>
                    </w:rPr>
                    <w:t>）</w:t>
                  </w:r>
                </w:p>
              </w:tc>
            </w:tr>
            <w:tr w14:paraId="5CC26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40819FDE">
                  <w:pPr>
                    <w:pStyle w:val="41"/>
                    <w:bidi w:val="0"/>
                    <w:rPr>
                      <w:rFonts w:hint="eastAsia" w:ascii="Times New Roman" w:hAnsi="Times New Roman" w:eastAsia="宋体" w:cs="Times New Roman"/>
                      <w:kern w:val="0"/>
                      <w:sz w:val="21"/>
                      <w:szCs w:val="24"/>
                      <w:lang w:val="en-US" w:eastAsia="zh-CN" w:bidi="ar-SA"/>
                    </w:rPr>
                  </w:pPr>
                  <w:r>
                    <w:rPr>
                      <w:rFonts w:hint="eastAsia"/>
                    </w:rPr>
                    <w:t>异丁醇</w:t>
                  </w:r>
                </w:p>
              </w:tc>
              <w:tc>
                <w:tcPr>
                  <w:tcW w:w="1196" w:type="dxa"/>
                  <w:vAlign w:val="center"/>
                </w:tcPr>
                <w:p w14:paraId="7D140F90">
                  <w:pPr>
                    <w:pStyle w:val="41"/>
                    <w:bidi w:val="0"/>
                    <w:jc w:val="center"/>
                    <w:rPr>
                      <w:rFonts w:hint="eastAsia"/>
                    </w:rPr>
                  </w:pPr>
                  <w:r>
                    <w:rPr>
                      <w:rFonts w:hint="eastAsia"/>
                    </w:rPr>
                    <w:t>78-83-1</w:t>
                  </w:r>
                </w:p>
              </w:tc>
              <w:tc>
                <w:tcPr>
                  <w:tcW w:w="2211" w:type="pct"/>
                  <w:vAlign w:val="center"/>
                </w:tcPr>
                <w:p w14:paraId="420D2196">
                  <w:pPr>
                    <w:pStyle w:val="41"/>
                    <w:bidi w:val="0"/>
                    <w:jc w:val="center"/>
                    <w:rPr>
                      <w:rFonts w:hint="eastAsia" w:eastAsia="宋体"/>
                      <w:lang w:eastAsia="zh-CN"/>
                    </w:rPr>
                  </w:pPr>
                  <w:r>
                    <w:rPr>
                      <w:rFonts w:hint="eastAsia"/>
                    </w:rPr>
                    <w:t>C</w:t>
                  </w:r>
                  <w:r>
                    <w:rPr>
                      <w:rFonts w:hint="eastAsia"/>
                      <w:vertAlign w:val="subscript"/>
                    </w:rPr>
                    <w:t>4</w:t>
                  </w:r>
                  <w:r>
                    <w:rPr>
                      <w:rFonts w:hint="eastAsia"/>
                    </w:rPr>
                    <w:t>H</w:t>
                  </w:r>
                  <w:r>
                    <w:rPr>
                      <w:rFonts w:hint="eastAsia"/>
                      <w:vertAlign w:val="subscript"/>
                    </w:rPr>
                    <w:t>10</w:t>
                  </w:r>
                  <w:r>
                    <w:rPr>
                      <w:rFonts w:hint="eastAsia"/>
                    </w:rPr>
                    <w:t>O</w:t>
                  </w:r>
                  <w:r>
                    <w:rPr>
                      <w:rFonts w:hint="eastAsia"/>
                      <w:lang w:eastAsia="zh-CN"/>
                    </w:rPr>
                    <w:t>，</w:t>
                  </w:r>
                  <w:r>
                    <w:rPr>
                      <w:rFonts w:hint="eastAsia"/>
                    </w:rPr>
                    <w:t>无色液体，密度</w:t>
                  </w:r>
                  <w:r>
                    <w:rPr>
                      <w:rFonts w:hint="eastAsia"/>
                      <w:lang w:val="en-US" w:eastAsia="zh-CN"/>
                    </w:rPr>
                    <w:t>0.803</w:t>
                  </w:r>
                  <w:r>
                    <w:rPr>
                      <w:rFonts w:hint="eastAsia"/>
                      <w:color w:val="auto"/>
                      <w:highlight w:val="none"/>
                    </w:rPr>
                    <w:t>g/cm</w:t>
                  </w:r>
                  <w:r>
                    <w:rPr>
                      <w:rFonts w:hint="eastAsia"/>
                      <w:color w:val="auto"/>
                      <w:highlight w:val="none"/>
                      <w:vertAlign w:val="superscript"/>
                    </w:rPr>
                    <w:t>3</w:t>
                  </w:r>
                  <w:r>
                    <w:rPr>
                      <w:rFonts w:hint="eastAsia"/>
                    </w:rPr>
                    <w:t>，熔点</w:t>
                  </w:r>
                  <w:r>
                    <w:t>-</w:t>
                  </w:r>
                  <w:r>
                    <w:rPr>
                      <w:rFonts w:hint="eastAsia"/>
                      <w:lang w:val="en-US" w:eastAsia="zh-CN"/>
                    </w:rPr>
                    <w:t>108</w:t>
                  </w:r>
                  <w:r>
                    <w:t>℃</w:t>
                  </w:r>
                  <w:r>
                    <w:rPr>
                      <w:rFonts w:hint="eastAsia"/>
                      <w:lang w:eastAsia="zh-CN"/>
                    </w:rPr>
                    <w:t>，</w:t>
                  </w:r>
                  <w:r>
                    <w:rPr>
                      <w:rFonts w:hint="eastAsia"/>
                    </w:rPr>
                    <w:t>沸点</w:t>
                  </w:r>
                  <w:r>
                    <w:rPr>
                      <w:rFonts w:hint="eastAsia"/>
                      <w:lang w:val="en-US" w:eastAsia="zh-CN"/>
                    </w:rPr>
                    <w:t>107.9</w:t>
                  </w:r>
                  <w:r>
                    <w:t>℃</w:t>
                  </w:r>
                  <w:r>
                    <w:rPr>
                      <w:rFonts w:hint="eastAsia"/>
                    </w:rPr>
                    <w:t>，</w:t>
                  </w:r>
                  <w:r>
                    <w:rPr>
                      <w:rFonts w:hint="eastAsia"/>
                      <w:lang w:val="en-US" w:eastAsia="zh-CN"/>
                    </w:rPr>
                    <w:t>闪点27.8℃，易溶于乙醇和乙醚。</w:t>
                  </w:r>
                </w:p>
              </w:tc>
              <w:tc>
                <w:tcPr>
                  <w:tcW w:w="573" w:type="pct"/>
                  <w:vAlign w:val="center"/>
                </w:tcPr>
                <w:p w14:paraId="0DD103BA">
                  <w:pPr>
                    <w:pStyle w:val="41"/>
                    <w:bidi w:val="0"/>
                    <w:jc w:val="center"/>
                    <w:rPr>
                      <w:rFonts w:hint="eastAsia" w:eastAsia="宋体"/>
                      <w:lang w:val="en-US" w:eastAsia="zh-CN"/>
                    </w:rPr>
                  </w:pPr>
                  <w:r>
                    <w:rPr>
                      <w:rFonts w:hint="eastAsia"/>
                      <w:lang w:val="en-US" w:eastAsia="zh-CN"/>
                    </w:rPr>
                    <w:t>易燃</w:t>
                  </w:r>
                </w:p>
              </w:tc>
              <w:tc>
                <w:tcPr>
                  <w:tcW w:w="941" w:type="pct"/>
                  <w:vAlign w:val="center"/>
                </w:tcPr>
                <w:p w14:paraId="78CE5031">
                  <w:pPr>
                    <w:pStyle w:val="41"/>
                    <w:bidi w:val="0"/>
                    <w:jc w:val="center"/>
                    <w:rPr>
                      <w:rFonts w:hint="eastAsia"/>
                    </w:rPr>
                  </w:pPr>
                  <w:r>
                    <w:rPr>
                      <w:rFonts w:hint="eastAsia"/>
                    </w:rPr>
                    <w:t>LD50：2460mg/kg（大鼠经口）；3400mg/kg（兔经皮）</w:t>
                  </w:r>
                </w:p>
              </w:tc>
            </w:tr>
            <w:tr w14:paraId="7F39F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5EB2D721">
                  <w:pPr>
                    <w:pStyle w:val="41"/>
                    <w:bidi w:val="0"/>
                    <w:rPr>
                      <w:rFonts w:hint="eastAsia" w:ascii="Times New Roman" w:hAnsi="Times New Roman" w:eastAsia="宋体" w:cs="Times New Roman"/>
                      <w:kern w:val="0"/>
                      <w:sz w:val="21"/>
                      <w:szCs w:val="24"/>
                      <w:lang w:val="en-US" w:eastAsia="zh-CN" w:bidi="ar-SA"/>
                    </w:rPr>
                  </w:pPr>
                  <w:r>
                    <w:rPr>
                      <w:rFonts w:hint="eastAsia"/>
                    </w:rPr>
                    <w:t>1,2-丙二醇</w:t>
                  </w:r>
                </w:p>
              </w:tc>
              <w:tc>
                <w:tcPr>
                  <w:tcW w:w="1196" w:type="dxa"/>
                  <w:vAlign w:val="center"/>
                </w:tcPr>
                <w:p w14:paraId="541A8782">
                  <w:pPr>
                    <w:pStyle w:val="41"/>
                    <w:bidi w:val="0"/>
                    <w:jc w:val="center"/>
                    <w:rPr>
                      <w:rFonts w:hint="eastAsia"/>
                    </w:rPr>
                  </w:pPr>
                  <w:r>
                    <w:rPr>
                      <w:rFonts w:hint="eastAsia"/>
                    </w:rPr>
                    <w:t>57-55-6</w:t>
                  </w:r>
                </w:p>
              </w:tc>
              <w:tc>
                <w:tcPr>
                  <w:tcW w:w="2211" w:type="pct"/>
                  <w:vAlign w:val="center"/>
                </w:tcPr>
                <w:p w14:paraId="2732AC87">
                  <w:pPr>
                    <w:pStyle w:val="41"/>
                    <w:bidi w:val="0"/>
                    <w:jc w:val="center"/>
                    <w:rPr>
                      <w:rFonts w:hint="eastAsia" w:eastAsia="宋体"/>
                      <w:lang w:eastAsia="zh-CN"/>
                    </w:rPr>
                  </w:pPr>
                  <w:r>
                    <w:rPr>
                      <w:rFonts w:hint="eastAsia"/>
                    </w:rPr>
                    <w:t>C</w:t>
                  </w:r>
                  <w:r>
                    <w:rPr>
                      <w:rFonts w:hint="eastAsia"/>
                      <w:vertAlign w:val="subscript"/>
                    </w:rPr>
                    <w:t>3</w:t>
                  </w:r>
                  <w:r>
                    <w:rPr>
                      <w:rFonts w:hint="eastAsia"/>
                    </w:rPr>
                    <w:t>H</w:t>
                  </w:r>
                  <w:r>
                    <w:rPr>
                      <w:rFonts w:hint="eastAsia"/>
                      <w:vertAlign w:val="subscript"/>
                    </w:rPr>
                    <w:t>8</w:t>
                  </w:r>
                  <w:r>
                    <w:rPr>
                      <w:rFonts w:hint="eastAsia"/>
                    </w:rPr>
                    <w:t>O</w:t>
                  </w:r>
                  <w:r>
                    <w:rPr>
                      <w:rFonts w:hint="eastAsia"/>
                      <w:vertAlign w:val="subscript"/>
                    </w:rPr>
                    <w:t>2</w:t>
                  </w:r>
                  <w:r>
                    <w:rPr>
                      <w:rFonts w:hint="eastAsia"/>
                      <w:lang w:eastAsia="zh-CN"/>
                    </w:rPr>
                    <w:t>，透明粘性液体，</w:t>
                  </w:r>
                  <w:r>
                    <w:rPr>
                      <w:rFonts w:hint="eastAsia"/>
                    </w:rPr>
                    <w:t>密度</w:t>
                  </w:r>
                  <w:r>
                    <w:rPr>
                      <w:rFonts w:hint="eastAsia"/>
                      <w:lang w:val="en-US" w:eastAsia="zh-CN"/>
                    </w:rPr>
                    <w:t>1.0381</w:t>
                  </w:r>
                  <w:r>
                    <w:rPr>
                      <w:rFonts w:hint="eastAsia"/>
                      <w:color w:val="auto"/>
                      <w:highlight w:val="none"/>
                    </w:rPr>
                    <w:t>g/cm</w:t>
                  </w:r>
                  <w:r>
                    <w:rPr>
                      <w:rFonts w:hint="eastAsia"/>
                      <w:color w:val="auto"/>
                      <w:highlight w:val="none"/>
                      <w:vertAlign w:val="superscript"/>
                    </w:rPr>
                    <w:t>3</w:t>
                  </w:r>
                  <w:r>
                    <w:rPr>
                      <w:rFonts w:hint="eastAsia"/>
                    </w:rPr>
                    <w:t>，熔点</w:t>
                  </w:r>
                  <w:r>
                    <w:t>-</w:t>
                  </w:r>
                  <w:r>
                    <w:rPr>
                      <w:rFonts w:hint="eastAsia"/>
                      <w:lang w:val="en-US" w:eastAsia="zh-CN"/>
                    </w:rPr>
                    <w:t>60</w:t>
                  </w:r>
                  <w:r>
                    <w:t>℃</w:t>
                  </w:r>
                  <w:r>
                    <w:rPr>
                      <w:rFonts w:hint="eastAsia"/>
                      <w:lang w:eastAsia="zh-CN"/>
                    </w:rPr>
                    <w:t>，</w:t>
                  </w:r>
                  <w:r>
                    <w:rPr>
                      <w:rFonts w:hint="eastAsia"/>
                    </w:rPr>
                    <w:t>沸点</w:t>
                  </w:r>
                  <w:r>
                    <w:rPr>
                      <w:rFonts w:hint="eastAsia"/>
                      <w:lang w:val="en-US" w:eastAsia="zh-CN"/>
                    </w:rPr>
                    <w:t>184.8</w:t>
                  </w:r>
                  <w:r>
                    <w:t>℃</w:t>
                  </w:r>
                  <w:r>
                    <w:rPr>
                      <w:rFonts w:hint="eastAsia"/>
                    </w:rPr>
                    <w:t>，</w:t>
                  </w:r>
                  <w:r>
                    <w:rPr>
                      <w:rFonts w:hint="eastAsia"/>
                      <w:lang w:val="en-US" w:eastAsia="zh-CN"/>
                    </w:rPr>
                    <w:t>闪点107.2℃，能与水、乙醇、乙醚、氯仿、丙酮等多种有机溶剂混溶。</w:t>
                  </w:r>
                </w:p>
              </w:tc>
              <w:tc>
                <w:tcPr>
                  <w:tcW w:w="573" w:type="pct"/>
                  <w:vAlign w:val="center"/>
                </w:tcPr>
                <w:p w14:paraId="48A7C73C">
                  <w:pPr>
                    <w:pStyle w:val="41"/>
                    <w:bidi w:val="0"/>
                    <w:jc w:val="center"/>
                    <w:rPr>
                      <w:rFonts w:hint="eastAsia" w:eastAsia="宋体"/>
                      <w:lang w:val="en-US" w:eastAsia="zh-CN"/>
                    </w:rPr>
                  </w:pPr>
                  <w:r>
                    <w:rPr>
                      <w:rFonts w:hint="eastAsia"/>
                      <w:lang w:val="en-US" w:eastAsia="zh-CN"/>
                    </w:rPr>
                    <w:t>可燃</w:t>
                  </w:r>
                </w:p>
              </w:tc>
              <w:tc>
                <w:tcPr>
                  <w:tcW w:w="941" w:type="pct"/>
                  <w:vAlign w:val="center"/>
                </w:tcPr>
                <w:p w14:paraId="009815EC">
                  <w:pPr>
                    <w:pStyle w:val="41"/>
                    <w:bidi w:val="0"/>
                    <w:jc w:val="center"/>
                    <w:rPr>
                      <w:rFonts w:hint="eastAsia"/>
                    </w:rPr>
                  </w:pPr>
                  <w:r>
                    <w:t>LD50</w:t>
                  </w:r>
                  <w:r>
                    <w:rPr>
                      <w:rFonts w:hint="eastAsia"/>
                    </w:rPr>
                    <w:t>：</w:t>
                  </w:r>
                  <w:r>
                    <w:t>2</w:t>
                  </w:r>
                  <w:r>
                    <w:rPr>
                      <w:rFonts w:hint="eastAsia"/>
                      <w:lang w:val="en-US" w:eastAsia="zh-CN"/>
                    </w:rPr>
                    <w:t>0000</w:t>
                  </w:r>
                  <w:r>
                    <w:t>mg/kg</w:t>
                  </w:r>
                  <w:r>
                    <w:rPr>
                      <w:rFonts w:hint="eastAsia"/>
                    </w:rPr>
                    <w:t>（大鼠经口</w:t>
                  </w:r>
                  <w:r>
                    <w:rPr>
                      <w:rFonts w:hint="eastAsia"/>
                      <w:lang w:eastAsia="zh-CN"/>
                    </w:rPr>
                    <w:t>）</w:t>
                  </w:r>
                </w:p>
              </w:tc>
            </w:tr>
            <w:tr w14:paraId="14898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04D56714">
                  <w:pPr>
                    <w:pStyle w:val="41"/>
                    <w:bidi w:val="0"/>
                    <w:rPr>
                      <w:rFonts w:hint="eastAsia" w:ascii="Times New Roman" w:hAnsi="Times New Roman" w:eastAsia="宋体" w:cs="Times New Roman"/>
                      <w:kern w:val="0"/>
                      <w:sz w:val="21"/>
                      <w:szCs w:val="24"/>
                      <w:lang w:val="en-US" w:eastAsia="zh-CN" w:bidi="ar-SA"/>
                    </w:rPr>
                  </w:pPr>
                  <w:r>
                    <w:rPr>
                      <w:rFonts w:hint="eastAsia"/>
                    </w:rPr>
                    <w:t>正丙醇</w:t>
                  </w:r>
                </w:p>
              </w:tc>
              <w:tc>
                <w:tcPr>
                  <w:tcW w:w="1196" w:type="dxa"/>
                  <w:vAlign w:val="center"/>
                </w:tcPr>
                <w:p w14:paraId="123899B7">
                  <w:pPr>
                    <w:pStyle w:val="41"/>
                    <w:bidi w:val="0"/>
                    <w:jc w:val="center"/>
                    <w:rPr>
                      <w:rFonts w:hint="eastAsia"/>
                    </w:rPr>
                  </w:pPr>
                  <w:r>
                    <w:rPr>
                      <w:rFonts w:hint="eastAsia"/>
                    </w:rPr>
                    <w:t>71-23-8</w:t>
                  </w:r>
                </w:p>
              </w:tc>
              <w:tc>
                <w:tcPr>
                  <w:tcW w:w="2211" w:type="pct"/>
                  <w:vAlign w:val="center"/>
                </w:tcPr>
                <w:p w14:paraId="226D3120">
                  <w:pPr>
                    <w:pStyle w:val="41"/>
                    <w:bidi w:val="0"/>
                    <w:jc w:val="center"/>
                    <w:rPr>
                      <w:rFonts w:hint="eastAsia" w:eastAsia="宋体"/>
                      <w:lang w:eastAsia="zh-CN"/>
                    </w:rPr>
                  </w:pPr>
                  <w:r>
                    <w:rPr>
                      <w:rFonts w:hint="eastAsia"/>
                    </w:rPr>
                    <w:t>CH</w:t>
                  </w:r>
                  <w:r>
                    <w:rPr>
                      <w:rFonts w:hint="eastAsia"/>
                      <w:vertAlign w:val="subscript"/>
                    </w:rPr>
                    <w:t>3</w:t>
                  </w:r>
                  <w:r>
                    <w:rPr>
                      <w:rFonts w:hint="eastAsia"/>
                    </w:rPr>
                    <w:t>CH</w:t>
                  </w:r>
                  <w:r>
                    <w:rPr>
                      <w:rFonts w:hint="eastAsia"/>
                      <w:vertAlign w:val="subscript"/>
                    </w:rPr>
                    <w:t>2</w:t>
                  </w:r>
                  <w:r>
                    <w:rPr>
                      <w:rFonts w:hint="eastAsia"/>
                    </w:rPr>
                    <w:t>CH</w:t>
                  </w:r>
                  <w:r>
                    <w:rPr>
                      <w:rFonts w:hint="eastAsia"/>
                      <w:vertAlign w:val="subscript"/>
                    </w:rPr>
                    <w:t>2</w:t>
                  </w:r>
                  <w:r>
                    <w:rPr>
                      <w:rFonts w:hint="eastAsia"/>
                    </w:rPr>
                    <w:t>OH</w:t>
                  </w:r>
                  <w:r>
                    <w:rPr>
                      <w:rFonts w:hint="eastAsia"/>
                      <w:lang w:eastAsia="zh-CN"/>
                    </w:rPr>
                    <w:t>，</w:t>
                  </w:r>
                  <w:r>
                    <w:rPr>
                      <w:rFonts w:hint="eastAsia"/>
                      <w:lang w:val="en-US" w:eastAsia="zh-CN"/>
                    </w:rPr>
                    <w:t>无色透明</w:t>
                  </w:r>
                  <w:r>
                    <w:rPr>
                      <w:rFonts w:hint="eastAsia"/>
                      <w:lang w:eastAsia="zh-CN"/>
                    </w:rPr>
                    <w:t>液体，</w:t>
                  </w:r>
                  <w:r>
                    <w:rPr>
                      <w:rFonts w:hint="eastAsia"/>
                    </w:rPr>
                    <w:t>密度</w:t>
                  </w:r>
                  <w:r>
                    <w:rPr>
                      <w:rFonts w:hint="eastAsia"/>
                      <w:lang w:val="en-US" w:eastAsia="zh-CN"/>
                    </w:rPr>
                    <w:t>0.804</w:t>
                  </w:r>
                  <w:r>
                    <w:rPr>
                      <w:rFonts w:hint="eastAsia"/>
                      <w:color w:val="auto"/>
                      <w:highlight w:val="none"/>
                    </w:rPr>
                    <w:t>g/cm</w:t>
                  </w:r>
                  <w:r>
                    <w:rPr>
                      <w:rFonts w:hint="eastAsia"/>
                      <w:color w:val="auto"/>
                      <w:highlight w:val="none"/>
                      <w:vertAlign w:val="superscript"/>
                    </w:rPr>
                    <w:t>3</w:t>
                  </w:r>
                  <w:r>
                    <w:rPr>
                      <w:rFonts w:hint="eastAsia"/>
                    </w:rPr>
                    <w:t>，熔点</w:t>
                  </w:r>
                  <w:r>
                    <w:t>-</w:t>
                  </w:r>
                  <w:r>
                    <w:rPr>
                      <w:rFonts w:hint="eastAsia"/>
                      <w:lang w:val="en-US" w:eastAsia="zh-CN"/>
                    </w:rPr>
                    <w:t>126.5</w:t>
                  </w:r>
                  <w:r>
                    <w:t>℃</w:t>
                  </w:r>
                  <w:r>
                    <w:rPr>
                      <w:rFonts w:hint="eastAsia"/>
                      <w:lang w:eastAsia="zh-CN"/>
                    </w:rPr>
                    <w:t>，</w:t>
                  </w:r>
                  <w:r>
                    <w:rPr>
                      <w:rFonts w:hint="eastAsia"/>
                    </w:rPr>
                    <w:t>沸点</w:t>
                  </w:r>
                  <w:r>
                    <w:rPr>
                      <w:rFonts w:hint="eastAsia"/>
                      <w:lang w:val="en-US" w:eastAsia="zh-CN"/>
                    </w:rPr>
                    <w:t>97.4</w:t>
                  </w:r>
                  <w:r>
                    <w:t>℃</w:t>
                  </w:r>
                  <w:r>
                    <w:rPr>
                      <w:rFonts w:hint="eastAsia"/>
                    </w:rPr>
                    <w:t>，</w:t>
                  </w:r>
                  <w:r>
                    <w:rPr>
                      <w:rFonts w:hint="eastAsia"/>
                      <w:lang w:val="en-US" w:eastAsia="zh-CN"/>
                    </w:rPr>
                    <w:t>闪点15℃，能溶于水、乙醇和乙醚。</w:t>
                  </w:r>
                </w:p>
              </w:tc>
              <w:tc>
                <w:tcPr>
                  <w:tcW w:w="573" w:type="pct"/>
                  <w:vAlign w:val="center"/>
                </w:tcPr>
                <w:p w14:paraId="635506A4">
                  <w:pPr>
                    <w:pStyle w:val="41"/>
                    <w:bidi w:val="0"/>
                    <w:jc w:val="center"/>
                    <w:rPr>
                      <w:rFonts w:hint="eastAsia" w:eastAsia="宋体"/>
                      <w:lang w:val="en-US" w:eastAsia="zh-CN"/>
                    </w:rPr>
                  </w:pPr>
                  <w:r>
                    <w:rPr>
                      <w:rFonts w:hint="eastAsia"/>
                      <w:lang w:val="en-US" w:eastAsia="zh-CN"/>
                    </w:rPr>
                    <w:t>易燃</w:t>
                  </w:r>
                </w:p>
              </w:tc>
              <w:tc>
                <w:tcPr>
                  <w:tcW w:w="941" w:type="pct"/>
                  <w:vAlign w:val="center"/>
                </w:tcPr>
                <w:p w14:paraId="317E7640">
                  <w:pPr>
                    <w:pStyle w:val="41"/>
                    <w:bidi w:val="0"/>
                    <w:jc w:val="center"/>
                    <w:rPr>
                      <w:rFonts w:hint="eastAsia"/>
                    </w:rPr>
                  </w:pPr>
                  <w:r>
                    <w:rPr>
                      <w:rFonts w:hint="eastAsia"/>
                    </w:rPr>
                    <w:t>LD50：1870 mg/kg（大鼠经口）；6800mg/kg（小鼠经口）</w:t>
                  </w:r>
                </w:p>
              </w:tc>
            </w:tr>
            <w:tr w14:paraId="2560C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8" w:type="dxa"/>
                  <w:shd w:val="clear" w:color="auto" w:fill="auto"/>
                  <w:vAlign w:val="center"/>
                </w:tcPr>
                <w:p w14:paraId="36F21C4D">
                  <w:pPr>
                    <w:pStyle w:val="41"/>
                    <w:bidi w:val="0"/>
                    <w:rPr>
                      <w:rFonts w:hint="eastAsia" w:ascii="Times New Roman" w:hAnsi="Times New Roman" w:eastAsia="宋体" w:cs="Times New Roman"/>
                      <w:kern w:val="0"/>
                      <w:sz w:val="21"/>
                      <w:szCs w:val="24"/>
                      <w:lang w:val="en-US" w:eastAsia="zh-CN" w:bidi="ar-SA"/>
                    </w:rPr>
                  </w:pPr>
                  <w:r>
                    <w:rPr>
                      <w:rFonts w:hint="eastAsia"/>
                    </w:rPr>
                    <w:t>苯胺</w:t>
                  </w:r>
                </w:p>
              </w:tc>
              <w:tc>
                <w:tcPr>
                  <w:tcW w:w="1196" w:type="dxa"/>
                  <w:vAlign w:val="center"/>
                </w:tcPr>
                <w:p w14:paraId="01A95DD2">
                  <w:pPr>
                    <w:pStyle w:val="41"/>
                    <w:bidi w:val="0"/>
                    <w:jc w:val="center"/>
                    <w:rPr>
                      <w:rFonts w:hint="eastAsia"/>
                    </w:rPr>
                  </w:pPr>
                  <w:r>
                    <w:rPr>
                      <w:rFonts w:hint="eastAsia"/>
                    </w:rPr>
                    <w:t>62-53-3</w:t>
                  </w:r>
                </w:p>
              </w:tc>
              <w:tc>
                <w:tcPr>
                  <w:tcW w:w="2211" w:type="pct"/>
                  <w:vAlign w:val="center"/>
                </w:tcPr>
                <w:p w14:paraId="50EDE101">
                  <w:pPr>
                    <w:pStyle w:val="41"/>
                    <w:bidi w:val="0"/>
                    <w:jc w:val="center"/>
                    <w:rPr>
                      <w:rFonts w:hint="eastAsia" w:eastAsia="宋体"/>
                      <w:lang w:eastAsia="zh-CN"/>
                    </w:rPr>
                  </w:pPr>
                  <w:r>
                    <w:rPr>
                      <w:rFonts w:hint="eastAsia"/>
                    </w:rPr>
                    <w:t>C</w:t>
                  </w:r>
                  <w:r>
                    <w:rPr>
                      <w:rFonts w:hint="eastAsia"/>
                      <w:vertAlign w:val="subscript"/>
                    </w:rPr>
                    <w:t>6</w:t>
                  </w:r>
                  <w:r>
                    <w:rPr>
                      <w:rFonts w:hint="eastAsia"/>
                    </w:rPr>
                    <w:t>H</w:t>
                  </w:r>
                  <w:r>
                    <w:rPr>
                      <w:rFonts w:hint="eastAsia"/>
                      <w:vertAlign w:val="subscript"/>
                    </w:rPr>
                    <w:t>7</w:t>
                  </w:r>
                  <w:r>
                    <w:rPr>
                      <w:rFonts w:hint="eastAsia"/>
                    </w:rPr>
                    <w:t>N</w:t>
                  </w:r>
                  <w:r>
                    <w:rPr>
                      <w:rFonts w:hint="eastAsia"/>
                      <w:lang w:eastAsia="zh-CN"/>
                    </w:rPr>
                    <w:t>，无色至浅黄色透明液体，</w:t>
                  </w:r>
                  <w:r>
                    <w:rPr>
                      <w:rFonts w:hint="eastAsia"/>
                    </w:rPr>
                    <w:t>密度</w:t>
                  </w:r>
                  <w:r>
                    <w:rPr>
                      <w:rFonts w:hint="eastAsia"/>
                      <w:lang w:val="en-US" w:eastAsia="zh-CN"/>
                    </w:rPr>
                    <w:t>1.022</w:t>
                  </w:r>
                  <w:r>
                    <w:rPr>
                      <w:rFonts w:hint="eastAsia"/>
                      <w:color w:val="auto"/>
                      <w:highlight w:val="none"/>
                    </w:rPr>
                    <w:t>g/cm</w:t>
                  </w:r>
                  <w:r>
                    <w:rPr>
                      <w:rFonts w:hint="eastAsia"/>
                      <w:color w:val="auto"/>
                      <w:highlight w:val="none"/>
                      <w:vertAlign w:val="superscript"/>
                    </w:rPr>
                    <w:t>3</w:t>
                  </w:r>
                  <w:r>
                    <w:rPr>
                      <w:rFonts w:hint="eastAsia"/>
                    </w:rPr>
                    <w:t>，熔点</w:t>
                  </w:r>
                  <w:r>
                    <w:t>-</w:t>
                  </w:r>
                  <w:r>
                    <w:rPr>
                      <w:rFonts w:hint="eastAsia"/>
                      <w:lang w:val="en-US" w:eastAsia="zh-CN"/>
                    </w:rPr>
                    <w:t>6.2</w:t>
                  </w:r>
                  <w:r>
                    <w:t>℃</w:t>
                  </w:r>
                  <w:r>
                    <w:rPr>
                      <w:rFonts w:hint="eastAsia"/>
                      <w:lang w:eastAsia="zh-CN"/>
                    </w:rPr>
                    <w:t>，</w:t>
                  </w:r>
                  <w:r>
                    <w:rPr>
                      <w:rFonts w:hint="eastAsia"/>
                    </w:rPr>
                    <w:t>沸点</w:t>
                  </w:r>
                  <w:r>
                    <w:rPr>
                      <w:rFonts w:hint="eastAsia"/>
                      <w:lang w:val="en-US" w:eastAsia="zh-CN"/>
                    </w:rPr>
                    <w:t>184</w:t>
                  </w:r>
                  <w:r>
                    <w:t>℃</w:t>
                  </w:r>
                  <w:r>
                    <w:rPr>
                      <w:rFonts w:hint="eastAsia"/>
                    </w:rPr>
                    <w:t>，</w:t>
                  </w:r>
                  <w:r>
                    <w:rPr>
                      <w:rFonts w:hint="eastAsia"/>
                      <w:lang w:val="en-US" w:eastAsia="zh-CN"/>
                    </w:rPr>
                    <w:t>闪点76℃，微溶于水，易溶于乙醇、乙醚等有机溶剂。</w:t>
                  </w:r>
                </w:p>
              </w:tc>
              <w:tc>
                <w:tcPr>
                  <w:tcW w:w="573" w:type="pct"/>
                  <w:vAlign w:val="center"/>
                </w:tcPr>
                <w:p w14:paraId="1F71D5C2">
                  <w:pPr>
                    <w:pStyle w:val="41"/>
                    <w:bidi w:val="0"/>
                    <w:jc w:val="center"/>
                    <w:rPr>
                      <w:rFonts w:hint="eastAsia" w:eastAsia="宋体"/>
                      <w:lang w:val="en-US" w:eastAsia="zh-CN"/>
                    </w:rPr>
                  </w:pPr>
                  <w:r>
                    <w:rPr>
                      <w:rFonts w:hint="eastAsia"/>
                      <w:lang w:val="en-US" w:eastAsia="zh-CN"/>
                    </w:rPr>
                    <w:t>易燃</w:t>
                  </w:r>
                </w:p>
              </w:tc>
              <w:tc>
                <w:tcPr>
                  <w:tcW w:w="941" w:type="pct"/>
                  <w:vAlign w:val="center"/>
                </w:tcPr>
                <w:p w14:paraId="3331CAA9">
                  <w:pPr>
                    <w:pStyle w:val="41"/>
                    <w:bidi w:val="0"/>
                    <w:jc w:val="center"/>
                    <w:rPr>
                      <w:rFonts w:hint="eastAsia"/>
                    </w:rPr>
                  </w:pPr>
                  <w:r>
                    <w:rPr>
                      <w:rFonts w:hint="eastAsia"/>
                    </w:rPr>
                    <w:t>LD50：250mg/kg（大鼠经口）；1400mg/kg（大鼠经皮）</w:t>
                  </w:r>
                </w:p>
              </w:tc>
            </w:tr>
          </w:tbl>
          <w:p w14:paraId="7A784FAB">
            <w:pPr>
              <w:pStyle w:val="41"/>
              <w:bidi w:val="0"/>
              <w:jc w:val="both"/>
            </w:pPr>
          </w:p>
          <w:p w14:paraId="73720163">
            <w:pPr>
              <w:bidi w:val="0"/>
              <w:ind w:firstLine="482" w:firstLineChars="200"/>
              <w:rPr>
                <w:b/>
                <w:bCs/>
                <w:color w:val="auto"/>
                <w:highlight w:val="none"/>
              </w:rPr>
            </w:pPr>
            <w:r>
              <w:rPr>
                <w:rFonts w:hint="eastAsia"/>
                <w:b/>
                <w:bCs/>
                <w:color w:val="auto"/>
                <w:highlight w:val="none"/>
                <w:lang w:val="en-US" w:eastAsia="zh-CN"/>
              </w:rPr>
              <w:t>6</w:t>
            </w:r>
            <w:r>
              <w:rPr>
                <w:b/>
                <w:bCs/>
                <w:color w:val="auto"/>
                <w:highlight w:val="none"/>
              </w:rPr>
              <w:t>、主要</w:t>
            </w:r>
            <w:r>
              <w:rPr>
                <w:rFonts w:hint="eastAsia"/>
                <w:b/>
                <w:bCs/>
                <w:color w:val="auto"/>
                <w:highlight w:val="none"/>
                <w:lang w:val="en-US" w:eastAsia="zh-CN"/>
              </w:rPr>
              <w:t>研发</w:t>
            </w:r>
            <w:r>
              <w:rPr>
                <w:b/>
                <w:bCs/>
                <w:color w:val="auto"/>
                <w:highlight w:val="none"/>
              </w:rPr>
              <w:t>设备</w:t>
            </w:r>
          </w:p>
          <w:p w14:paraId="162A5768">
            <w:pPr>
              <w:pStyle w:val="44"/>
              <w:bidi w:val="0"/>
              <w:rPr>
                <w:color w:val="auto"/>
                <w:highlight w:val="none"/>
              </w:rPr>
            </w:pPr>
            <w:r>
              <w:rPr>
                <w:color w:val="auto"/>
                <w:highlight w:val="none"/>
              </w:rPr>
              <w:t>本项目营运期主要</w:t>
            </w:r>
            <w:r>
              <w:rPr>
                <w:rFonts w:hint="eastAsia"/>
                <w:color w:val="auto"/>
                <w:highlight w:val="none"/>
                <w:lang w:val="en-US" w:eastAsia="zh-CN"/>
              </w:rPr>
              <w:t>研发</w:t>
            </w:r>
            <w:r>
              <w:rPr>
                <w:color w:val="auto"/>
                <w:highlight w:val="none"/>
              </w:rPr>
              <w:t>设备</w:t>
            </w:r>
            <w:r>
              <w:rPr>
                <w:rFonts w:hint="eastAsia"/>
                <w:color w:val="auto"/>
                <w:highlight w:val="none"/>
                <w:lang w:val="en-US" w:eastAsia="zh-CN"/>
              </w:rPr>
              <w:t>一览</w:t>
            </w:r>
            <w:r>
              <w:rPr>
                <w:color w:val="auto"/>
                <w:highlight w:val="none"/>
              </w:rPr>
              <w:t>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924"/>
              <w:gridCol w:w="2077"/>
              <w:gridCol w:w="1788"/>
              <w:gridCol w:w="1268"/>
            </w:tblGrid>
            <w:tr w14:paraId="2B4AE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8" w:type="pct"/>
                  <w:noWrap w:val="0"/>
                  <w:vAlign w:val="center"/>
                </w:tcPr>
                <w:p w14:paraId="70E358E2">
                  <w:pPr>
                    <w:pStyle w:val="41"/>
                    <w:bidi w:val="0"/>
                    <w:jc w:val="center"/>
                    <w:rPr>
                      <w:rFonts w:hint="default"/>
                      <w:b/>
                      <w:bCs/>
                      <w:color w:val="auto"/>
                      <w:highlight w:val="none"/>
                    </w:rPr>
                  </w:pPr>
                  <w:r>
                    <w:rPr>
                      <w:rFonts w:hint="default"/>
                      <w:b/>
                      <w:bCs/>
                      <w:color w:val="auto"/>
                      <w:highlight w:val="none"/>
                    </w:rPr>
                    <w:t>序号</w:t>
                  </w:r>
                </w:p>
              </w:tc>
              <w:tc>
                <w:tcPr>
                  <w:tcW w:w="1232" w:type="pct"/>
                  <w:noWrap w:val="0"/>
                  <w:vAlign w:val="center"/>
                </w:tcPr>
                <w:p w14:paraId="0B9DE9FD">
                  <w:pPr>
                    <w:pStyle w:val="41"/>
                    <w:bidi w:val="0"/>
                    <w:jc w:val="center"/>
                    <w:rPr>
                      <w:rFonts w:hint="default"/>
                      <w:b/>
                      <w:bCs/>
                      <w:color w:val="auto"/>
                      <w:highlight w:val="none"/>
                    </w:rPr>
                  </w:pPr>
                  <w:r>
                    <w:rPr>
                      <w:rFonts w:hint="default"/>
                      <w:b/>
                      <w:bCs/>
                      <w:color w:val="auto"/>
                      <w:highlight w:val="none"/>
                    </w:rPr>
                    <w:t>设备名称</w:t>
                  </w:r>
                </w:p>
              </w:tc>
              <w:tc>
                <w:tcPr>
                  <w:tcW w:w="1330" w:type="pct"/>
                  <w:noWrap w:val="0"/>
                  <w:vAlign w:val="center"/>
                </w:tcPr>
                <w:p w14:paraId="7AFFCECF">
                  <w:pPr>
                    <w:pStyle w:val="41"/>
                    <w:bidi w:val="0"/>
                    <w:jc w:val="center"/>
                    <w:rPr>
                      <w:rFonts w:hint="default"/>
                      <w:b/>
                      <w:bCs/>
                      <w:color w:val="auto"/>
                      <w:highlight w:val="none"/>
                      <w:lang w:val="en-US" w:eastAsia="zh-CN"/>
                    </w:rPr>
                  </w:pPr>
                  <w:r>
                    <w:rPr>
                      <w:rFonts w:hint="eastAsia"/>
                      <w:b/>
                      <w:bCs/>
                      <w:color w:val="auto"/>
                      <w:highlight w:val="none"/>
                      <w:lang w:val="en-US" w:eastAsia="zh-CN"/>
                    </w:rPr>
                    <w:t>规格型号</w:t>
                  </w:r>
                </w:p>
              </w:tc>
              <w:tc>
                <w:tcPr>
                  <w:tcW w:w="1145" w:type="pct"/>
                  <w:noWrap w:val="0"/>
                  <w:vAlign w:val="center"/>
                </w:tcPr>
                <w:p w14:paraId="0C8B110F">
                  <w:pPr>
                    <w:pStyle w:val="41"/>
                    <w:bidi w:val="0"/>
                    <w:jc w:val="center"/>
                    <w:rPr>
                      <w:rFonts w:hint="default"/>
                      <w:b/>
                      <w:bCs/>
                      <w:color w:val="auto"/>
                      <w:highlight w:val="none"/>
                      <w:lang w:val="en-US" w:eastAsia="zh-CN"/>
                    </w:rPr>
                  </w:pPr>
                  <w:r>
                    <w:rPr>
                      <w:rFonts w:hint="eastAsia"/>
                      <w:b/>
                      <w:bCs/>
                      <w:color w:val="auto"/>
                      <w:highlight w:val="none"/>
                      <w:lang w:val="en-US" w:eastAsia="zh-CN"/>
                    </w:rPr>
                    <w:t>数量（台/套）</w:t>
                  </w:r>
                </w:p>
              </w:tc>
              <w:tc>
                <w:tcPr>
                  <w:tcW w:w="812" w:type="pct"/>
                  <w:noWrap w:val="0"/>
                  <w:vAlign w:val="center"/>
                </w:tcPr>
                <w:p w14:paraId="7E740645">
                  <w:pPr>
                    <w:pStyle w:val="41"/>
                    <w:bidi w:val="0"/>
                    <w:jc w:val="center"/>
                    <w:rPr>
                      <w:rFonts w:hint="default"/>
                      <w:b/>
                      <w:bCs/>
                      <w:color w:val="auto"/>
                      <w:highlight w:val="none"/>
                      <w:lang w:val="en-US" w:eastAsia="zh-CN"/>
                    </w:rPr>
                  </w:pPr>
                  <w:r>
                    <w:rPr>
                      <w:rFonts w:hint="eastAsia"/>
                      <w:b/>
                      <w:bCs/>
                      <w:color w:val="auto"/>
                      <w:highlight w:val="none"/>
                      <w:lang w:val="en-US" w:eastAsia="zh-CN"/>
                    </w:rPr>
                    <w:t>地点</w:t>
                  </w:r>
                </w:p>
              </w:tc>
            </w:tr>
            <w:tr w14:paraId="0F15A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6F93379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35F06BB6">
                  <w:pPr>
                    <w:pStyle w:val="41"/>
                    <w:bidi w:val="0"/>
                    <w:jc w:val="center"/>
                    <w:rPr>
                      <w:rFonts w:hint="default"/>
                      <w:color w:val="auto"/>
                      <w:highlight w:val="none"/>
                      <w:lang w:val="en-US" w:eastAsia="zh-CN"/>
                    </w:rPr>
                  </w:pPr>
                  <w:r>
                    <w:rPr>
                      <w:color w:val="auto"/>
                      <w:highlight w:val="none"/>
                    </w:rPr>
                    <w:t>厌氧工作站</w:t>
                  </w:r>
                </w:p>
              </w:tc>
              <w:tc>
                <w:tcPr>
                  <w:tcW w:w="1330" w:type="pct"/>
                  <w:noWrap w:val="0"/>
                  <w:vAlign w:val="center"/>
                </w:tcPr>
                <w:p w14:paraId="6FB1A6DF">
                  <w:pPr>
                    <w:pStyle w:val="41"/>
                    <w:bidi w:val="0"/>
                    <w:jc w:val="center"/>
                    <w:rPr>
                      <w:rFonts w:hint="default"/>
                      <w:color w:val="auto"/>
                      <w:highlight w:val="none"/>
                      <w:lang w:val="en-US" w:eastAsia="zh-CN"/>
                    </w:rPr>
                  </w:pPr>
                  <w:r>
                    <w:rPr>
                      <w:rFonts w:hint="eastAsia"/>
                      <w:color w:val="auto"/>
                      <w:highlight w:val="none"/>
                    </w:rPr>
                    <w:t>DWS：A</w:t>
                  </w:r>
                  <w:r>
                    <w:rPr>
                      <w:color w:val="auto"/>
                      <w:highlight w:val="none"/>
                    </w:rPr>
                    <w:t>35</w:t>
                  </w:r>
                </w:p>
              </w:tc>
              <w:tc>
                <w:tcPr>
                  <w:tcW w:w="1145" w:type="pct"/>
                  <w:noWrap w:val="0"/>
                  <w:vAlign w:val="center"/>
                </w:tcPr>
                <w:p w14:paraId="588B86E1">
                  <w:pPr>
                    <w:pStyle w:val="41"/>
                    <w:bidi w:val="0"/>
                    <w:jc w:val="center"/>
                    <w:rPr>
                      <w:rFonts w:hint="default"/>
                      <w:color w:val="auto"/>
                      <w:highlight w:val="none"/>
                      <w:lang w:val="en-US" w:eastAsia="zh-CN"/>
                    </w:rPr>
                  </w:pPr>
                  <w:r>
                    <w:rPr>
                      <w:color w:val="auto"/>
                      <w:highlight w:val="none"/>
                    </w:rPr>
                    <w:t>1</w:t>
                  </w:r>
                </w:p>
              </w:tc>
              <w:tc>
                <w:tcPr>
                  <w:tcW w:w="812" w:type="pct"/>
                  <w:vMerge w:val="restart"/>
                  <w:noWrap w:val="0"/>
                  <w:vAlign w:val="center"/>
                </w:tcPr>
                <w:p w14:paraId="4036B6FB">
                  <w:pPr>
                    <w:pStyle w:val="41"/>
                    <w:bidi w:val="0"/>
                    <w:jc w:val="center"/>
                    <w:rPr>
                      <w:rFonts w:hint="default"/>
                      <w:color w:val="auto"/>
                      <w:highlight w:val="none"/>
                      <w:lang w:val="en-US" w:eastAsia="zh-CN"/>
                    </w:rPr>
                  </w:pPr>
                  <w:r>
                    <w:rPr>
                      <w:rFonts w:hint="eastAsia"/>
                      <w:color w:val="auto"/>
                      <w:highlight w:val="none"/>
                      <w:lang w:val="en-US" w:eastAsia="zh-CN"/>
                    </w:rPr>
                    <w:t>3号楼搬迁至1号楼</w:t>
                  </w:r>
                </w:p>
              </w:tc>
            </w:tr>
            <w:tr w14:paraId="2A4E5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5C15287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0FD4DFAC">
                  <w:pPr>
                    <w:pStyle w:val="41"/>
                    <w:bidi w:val="0"/>
                    <w:jc w:val="center"/>
                    <w:rPr>
                      <w:rFonts w:hint="default"/>
                      <w:color w:val="auto"/>
                      <w:highlight w:val="none"/>
                      <w:lang w:val="en-US" w:eastAsia="zh-CN"/>
                    </w:rPr>
                  </w:pPr>
                  <w:r>
                    <w:rPr>
                      <w:color w:val="auto"/>
                      <w:highlight w:val="none"/>
                    </w:rPr>
                    <w:t>螺旋接种仪</w:t>
                  </w:r>
                </w:p>
              </w:tc>
              <w:tc>
                <w:tcPr>
                  <w:tcW w:w="1330" w:type="pct"/>
                  <w:noWrap w:val="0"/>
                  <w:vAlign w:val="center"/>
                </w:tcPr>
                <w:p w14:paraId="525224E5">
                  <w:pPr>
                    <w:pStyle w:val="41"/>
                    <w:bidi w:val="0"/>
                    <w:jc w:val="center"/>
                    <w:rPr>
                      <w:rFonts w:hint="default"/>
                      <w:color w:val="auto"/>
                      <w:highlight w:val="none"/>
                      <w:lang w:val="en-US" w:eastAsia="zh-CN"/>
                    </w:rPr>
                  </w:pPr>
                  <w:r>
                    <w:rPr>
                      <w:rFonts w:hint="eastAsia"/>
                      <w:color w:val="auto"/>
                      <w:highlight w:val="none"/>
                    </w:rPr>
                    <w:t>D</w:t>
                  </w:r>
                  <w:r>
                    <w:rPr>
                      <w:color w:val="auto"/>
                      <w:highlight w:val="none"/>
                    </w:rPr>
                    <w:t>WS</w:t>
                  </w:r>
                  <w:r>
                    <w:rPr>
                      <w:rFonts w:hint="eastAsia"/>
                      <w:color w:val="auto"/>
                      <w:highlight w:val="none"/>
                    </w:rPr>
                    <w:t>：Wo</w:t>
                  </w:r>
                  <w:r>
                    <w:rPr>
                      <w:color w:val="auto"/>
                      <w:highlight w:val="none"/>
                    </w:rPr>
                    <w:t>rkstation WASP touch</w:t>
                  </w:r>
                </w:p>
              </w:tc>
              <w:tc>
                <w:tcPr>
                  <w:tcW w:w="1145" w:type="pct"/>
                  <w:noWrap w:val="0"/>
                  <w:vAlign w:val="center"/>
                </w:tcPr>
                <w:p w14:paraId="249DF062">
                  <w:pPr>
                    <w:pStyle w:val="41"/>
                    <w:bidi w:val="0"/>
                    <w:jc w:val="center"/>
                    <w:rPr>
                      <w:rFonts w:hint="default"/>
                      <w:color w:val="auto"/>
                      <w:highlight w:val="none"/>
                      <w:lang w:val="en-US" w:eastAsia="zh-CN"/>
                    </w:rPr>
                  </w:pPr>
                  <w:r>
                    <w:rPr>
                      <w:color w:val="auto"/>
                      <w:highlight w:val="none"/>
                    </w:rPr>
                    <w:t>1</w:t>
                  </w:r>
                </w:p>
              </w:tc>
              <w:tc>
                <w:tcPr>
                  <w:tcW w:w="812" w:type="pct"/>
                  <w:vMerge w:val="continue"/>
                  <w:noWrap w:val="0"/>
                  <w:vAlign w:val="center"/>
                </w:tcPr>
                <w:p w14:paraId="3AA9CB07">
                  <w:pPr>
                    <w:pStyle w:val="41"/>
                    <w:bidi w:val="0"/>
                    <w:jc w:val="center"/>
                    <w:rPr>
                      <w:rFonts w:hint="default"/>
                      <w:color w:val="auto"/>
                      <w:highlight w:val="none"/>
                      <w:lang w:val="en-US" w:eastAsia="zh-CN"/>
                    </w:rPr>
                  </w:pPr>
                </w:p>
              </w:tc>
            </w:tr>
            <w:tr w14:paraId="1D013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1B44C02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5A6DF63C">
                  <w:pPr>
                    <w:pStyle w:val="41"/>
                    <w:bidi w:val="0"/>
                    <w:jc w:val="center"/>
                    <w:rPr>
                      <w:rFonts w:hint="default"/>
                      <w:color w:val="auto"/>
                      <w:highlight w:val="none"/>
                      <w:lang w:val="en-US" w:eastAsia="zh-CN"/>
                    </w:rPr>
                  </w:pPr>
                  <w:r>
                    <w:rPr>
                      <w:color w:val="auto"/>
                      <w:highlight w:val="none"/>
                    </w:rPr>
                    <w:t>恒温汽浴振荡器</w:t>
                  </w:r>
                </w:p>
              </w:tc>
              <w:tc>
                <w:tcPr>
                  <w:tcW w:w="1330" w:type="pct"/>
                  <w:noWrap w:val="0"/>
                  <w:vAlign w:val="center"/>
                </w:tcPr>
                <w:p w14:paraId="36C3BFDA">
                  <w:pPr>
                    <w:pStyle w:val="41"/>
                    <w:bidi w:val="0"/>
                    <w:jc w:val="center"/>
                    <w:rPr>
                      <w:rFonts w:hint="default"/>
                      <w:color w:val="auto"/>
                      <w:highlight w:val="none"/>
                      <w:lang w:val="en-US" w:eastAsia="zh-CN"/>
                    </w:rPr>
                  </w:pPr>
                  <w:r>
                    <w:rPr>
                      <w:rFonts w:hint="eastAsia"/>
                      <w:color w:val="auto"/>
                      <w:highlight w:val="none"/>
                    </w:rPr>
                    <w:t>THZ312型</w:t>
                  </w:r>
                </w:p>
              </w:tc>
              <w:tc>
                <w:tcPr>
                  <w:tcW w:w="1145" w:type="pct"/>
                  <w:noWrap w:val="0"/>
                  <w:vAlign w:val="center"/>
                </w:tcPr>
                <w:p w14:paraId="2EDB3CC0">
                  <w:pPr>
                    <w:pStyle w:val="41"/>
                    <w:bidi w:val="0"/>
                    <w:jc w:val="center"/>
                    <w:rPr>
                      <w:rFonts w:hint="default"/>
                      <w:color w:val="auto"/>
                      <w:highlight w:val="none"/>
                      <w:lang w:val="en-US" w:eastAsia="zh-CN"/>
                    </w:rPr>
                  </w:pPr>
                  <w:r>
                    <w:rPr>
                      <w:color w:val="auto"/>
                      <w:highlight w:val="none"/>
                    </w:rPr>
                    <w:t>2</w:t>
                  </w:r>
                </w:p>
              </w:tc>
              <w:tc>
                <w:tcPr>
                  <w:tcW w:w="812" w:type="pct"/>
                  <w:vMerge w:val="continue"/>
                  <w:noWrap w:val="0"/>
                  <w:vAlign w:val="center"/>
                </w:tcPr>
                <w:p w14:paraId="010C807F">
                  <w:pPr>
                    <w:pStyle w:val="41"/>
                    <w:bidi w:val="0"/>
                    <w:jc w:val="center"/>
                    <w:rPr>
                      <w:rFonts w:hint="default"/>
                      <w:color w:val="auto"/>
                      <w:highlight w:val="none"/>
                      <w:lang w:val="en-US" w:eastAsia="zh-CN"/>
                    </w:rPr>
                  </w:pPr>
                </w:p>
              </w:tc>
            </w:tr>
            <w:tr w14:paraId="2C977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766CA3F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408AC331">
                  <w:pPr>
                    <w:pStyle w:val="41"/>
                    <w:bidi w:val="0"/>
                    <w:jc w:val="center"/>
                    <w:rPr>
                      <w:rFonts w:hint="default"/>
                      <w:color w:val="auto"/>
                      <w:highlight w:val="none"/>
                      <w:lang w:val="en-US" w:eastAsia="zh-CN"/>
                    </w:rPr>
                  </w:pPr>
                  <w:r>
                    <w:rPr>
                      <w:color w:val="auto"/>
                      <w:highlight w:val="none"/>
                    </w:rPr>
                    <w:t>菌落计数仪</w:t>
                  </w:r>
                </w:p>
              </w:tc>
              <w:tc>
                <w:tcPr>
                  <w:tcW w:w="1330" w:type="pct"/>
                  <w:noWrap w:val="0"/>
                  <w:vAlign w:val="center"/>
                </w:tcPr>
                <w:p w14:paraId="4D819198">
                  <w:pPr>
                    <w:pStyle w:val="41"/>
                    <w:bidi w:val="0"/>
                    <w:jc w:val="center"/>
                    <w:rPr>
                      <w:rFonts w:hint="default"/>
                      <w:color w:val="auto"/>
                      <w:highlight w:val="none"/>
                      <w:lang w:val="en-US" w:eastAsia="zh-CN"/>
                    </w:rPr>
                  </w:pPr>
                  <w:r>
                    <w:rPr>
                      <w:rFonts w:hint="eastAsia"/>
                      <w:color w:val="auto"/>
                      <w:highlight w:val="none"/>
                    </w:rPr>
                    <w:t>Pro</w:t>
                  </w:r>
                  <w:r>
                    <w:rPr>
                      <w:color w:val="auto"/>
                      <w:highlight w:val="none"/>
                    </w:rPr>
                    <w:t>toCOLHD</w:t>
                  </w:r>
                </w:p>
              </w:tc>
              <w:tc>
                <w:tcPr>
                  <w:tcW w:w="1145" w:type="pct"/>
                  <w:noWrap w:val="0"/>
                  <w:vAlign w:val="center"/>
                </w:tcPr>
                <w:p w14:paraId="12EA9C31">
                  <w:pPr>
                    <w:pStyle w:val="41"/>
                    <w:bidi w:val="0"/>
                    <w:jc w:val="center"/>
                    <w:rPr>
                      <w:rFonts w:hint="default"/>
                      <w:color w:val="auto"/>
                      <w:highlight w:val="none"/>
                      <w:lang w:val="en-US" w:eastAsia="zh-CN"/>
                    </w:rPr>
                  </w:pPr>
                  <w:r>
                    <w:rPr>
                      <w:color w:val="auto"/>
                      <w:highlight w:val="none"/>
                    </w:rPr>
                    <w:t>1</w:t>
                  </w:r>
                </w:p>
              </w:tc>
              <w:tc>
                <w:tcPr>
                  <w:tcW w:w="812" w:type="pct"/>
                  <w:vMerge w:val="continue"/>
                  <w:noWrap w:val="0"/>
                  <w:vAlign w:val="center"/>
                </w:tcPr>
                <w:p w14:paraId="69A6A34C">
                  <w:pPr>
                    <w:pStyle w:val="41"/>
                    <w:bidi w:val="0"/>
                    <w:jc w:val="center"/>
                    <w:rPr>
                      <w:rFonts w:hint="default"/>
                      <w:color w:val="auto"/>
                      <w:highlight w:val="none"/>
                      <w:lang w:val="en-US" w:eastAsia="zh-CN"/>
                    </w:rPr>
                  </w:pPr>
                </w:p>
              </w:tc>
            </w:tr>
            <w:tr w14:paraId="2A66A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25C732A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5FBE3002">
                  <w:pPr>
                    <w:pStyle w:val="41"/>
                    <w:bidi w:val="0"/>
                    <w:jc w:val="center"/>
                    <w:rPr>
                      <w:rFonts w:hint="default"/>
                      <w:color w:val="auto"/>
                      <w:highlight w:val="none"/>
                      <w:lang w:val="en-US" w:eastAsia="zh-CN"/>
                    </w:rPr>
                  </w:pPr>
                  <w:r>
                    <w:rPr>
                      <w:color w:val="auto"/>
                      <w:highlight w:val="none"/>
                      <w:lang w:val="zh-CN"/>
                    </w:rPr>
                    <w:t>美国伯乐垂直电泳槽套装1658033</w:t>
                  </w:r>
                </w:p>
              </w:tc>
              <w:tc>
                <w:tcPr>
                  <w:tcW w:w="1330" w:type="pct"/>
                  <w:noWrap w:val="0"/>
                  <w:vAlign w:val="center"/>
                </w:tcPr>
                <w:p w14:paraId="677DC588">
                  <w:pPr>
                    <w:pStyle w:val="41"/>
                    <w:bidi w:val="0"/>
                    <w:jc w:val="center"/>
                    <w:rPr>
                      <w:rFonts w:hint="default"/>
                      <w:color w:val="auto"/>
                      <w:highlight w:val="none"/>
                      <w:lang w:val="en-US" w:eastAsia="zh-CN"/>
                    </w:rPr>
                  </w:pPr>
                  <w:r>
                    <w:rPr>
                      <w:color w:val="auto"/>
                      <w:highlight w:val="none"/>
                    </w:rPr>
                    <w:t xml:space="preserve">Bio-Rad </w:t>
                  </w:r>
                  <w:r>
                    <w:rPr>
                      <w:color w:val="auto"/>
                      <w:highlight w:val="none"/>
                      <w:lang w:val="zh-CN"/>
                    </w:rPr>
                    <w:t>1658033</w:t>
                  </w:r>
                </w:p>
              </w:tc>
              <w:tc>
                <w:tcPr>
                  <w:tcW w:w="1145" w:type="pct"/>
                  <w:noWrap w:val="0"/>
                  <w:vAlign w:val="center"/>
                </w:tcPr>
                <w:p w14:paraId="45B7020E">
                  <w:pPr>
                    <w:pStyle w:val="41"/>
                    <w:bidi w:val="0"/>
                    <w:jc w:val="center"/>
                    <w:rPr>
                      <w:rFonts w:hint="default"/>
                      <w:color w:val="auto"/>
                      <w:highlight w:val="none"/>
                      <w:lang w:val="en-US" w:eastAsia="zh-CN"/>
                    </w:rPr>
                  </w:pPr>
                  <w:r>
                    <w:rPr>
                      <w:color w:val="auto"/>
                      <w:highlight w:val="none"/>
                    </w:rPr>
                    <w:t>1</w:t>
                  </w:r>
                </w:p>
              </w:tc>
              <w:tc>
                <w:tcPr>
                  <w:tcW w:w="812" w:type="pct"/>
                  <w:vMerge w:val="continue"/>
                  <w:noWrap w:val="0"/>
                  <w:vAlign w:val="center"/>
                </w:tcPr>
                <w:p w14:paraId="0B41994C">
                  <w:pPr>
                    <w:pStyle w:val="41"/>
                    <w:bidi w:val="0"/>
                    <w:jc w:val="center"/>
                    <w:rPr>
                      <w:rFonts w:hint="default"/>
                      <w:color w:val="auto"/>
                      <w:highlight w:val="none"/>
                      <w:lang w:val="en-US" w:eastAsia="zh-CN"/>
                    </w:rPr>
                  </w:pPr>
                </w:p>
              </w:tc>
            </w:tr>
            <w:tr w14:paraId="56316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331DDBD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78700810">
                  <w:pPr>
                    <w:pStyle w:val="41"/>
                    <w:bidi w:val="0"/>
                    <w:jc w:val="center"/>
                    <w:rPr>
                      <w:rFonts w:hint="default"/>
                      <w:color w:val="auto"/>
                      <w:highlight w:val="none"/>
                      <w:lang w:val="en-US" w:eastAsia="zh-CN"/>
                    </w:rPr>
                  </w:pPr>
                  <w:r>
                    <w:rPr>
                      <w:color w:val="auto"/>
                      <w:highlight w:val="none"/>
                      <w:lang w:val="zh-CN"/>
                    </w:rPr>
                    <w:t>美国伯乐水平电泳槽1704486</w:t>
                  </w:r>
                </w:p>
              </w:tc>
              <w:tc>
                <w:tcPr>
                  <w:tcW w:w="1330" w:type="pct"/>
                  <w:noWrap w:val="0"/>
                  <w:vAlign w:val="center"/>
                </w:tcPr>
                <w:p w14:paraId="3019755D">
                  <w:pPr>
                    <w:pStyle w:val="41"/>
                    <w:bidi w:val="0"/>
                    <w:jc w:val="center"/>
                    <w:rPr>
                      <w:rFonts w:hint="default"/>
                      <w:color w:val="auto"/>
                      <w:highlight w:val="none"/>
                      <w:lang w:val="en-US" w:eastAsia="zh-CN"/>
                    </w:rPr>
                  </w:pPr>
                  <w:r>
                    <w:rPr>
                      <w:color w:val="auto"/>
                      <w:highlight w:val="none"/>
                    </w:rPr>
                    <w:t xml:space="preserve">Bio-Rad </w:t>
                  </w:r>
                  <w:r>
                    <w:rPr>
                      <w:color w:val="auto"/>
                      <w:highlight w:val="none"/>
                      <w:lang w:val="zh-CN"/>
                    </w:rPr>
                    <w:t>1704486</w:t>
                  </w:r>
                </w:p>
              </w:tc>
              <w:tc>
                <w:tcPr>
                  <w:tcW w:w="1145" w:type="pct"/>
                  <w:noWrap w:val="0"/>
                  <w:vAlign w:val="center"/>
                </w:tcPr>
                <w:p w14:paraId="341AD695">
                  <w:pPr>
                    <w:pStyle w:val="41"/>
                    <w:bidi w:val="0"/>
                    <w:jc w:val="center"/>
                    <w:rPr>
                      <w:rFonts w:hint="default"/>
                      <w:color w:val="auto"/>
                      <w:highlight w:val="none"/>
                      <w:lang w:val="en-US" w:eastAsia="zh-CN"/>
                    </w:rPr>
                  </w:pPr>
                  <w:r>
                    <w:rPr>
                      <w:color w:val="auto"/>
                      <w:highlight w:val="none"/>
                    </w:rPr>
                    <w:t>1</w:t>
                  </w:r>
                </w:p>
              </w:tc>
              <w:tc>
                <w:tcPr>
                  <w:tcW w:w="812" w:type="pct"/>
                  <w:vMerge w:val="continue"/>
                  <w:noWrap w:val="0"/>
                  <w:vAlign w:val="center"/>
                </w:tcPr>
                <w:p w14:paraId="61641A61">
                  <w:pPr>
                    <w:pStyle w:val="41"/>
                    <w:bidi w:val="0"/>
                    <w:jc w:val="center"/>
                    <w:rPr>
                      <w:rFonts w:hint="default"/>
                      <w:color w:val="auto"/>
                      <w:highlight w:val="none"/>
                      <w:lang w:val="en-US" w:eastAsia="zh-CN"/>
                    </w:rPr>
                  </w:pPr>
                </w:p>
              </w:tc>
            </w:tr>
            <w:tr w14:paraId="65DB9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682471C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4CDB1D20">
                  <w:pPr>
                    <w:pStyle w:val="41"/>
                    <w:bidi w:val="0"/>
                    <w:jc w:val="center"/>
                    <w:rPr>
                      <w:rFonts w:hint="default"/>
                      <w:color w:val="auto"/>
                      <w:highlight w:val="none"/>
                      <w:lang w:val="en-US" w:eastAsia="en-US"/>
                    </w:rPr>
                  </w:pPr>
                  <w:r>
                    <w:rPr>
                      <w:color w:val="auto"/>
                      <w:highlight w:val="none"/>
                      <w:lang w:val="zh-CN"/>
                    </w:rPr>
                    <w:t>PCR扩增仪</w:t>
                  </w:r>
                </w:p>
              </w:tc>
              <w:tc>
                <w:tcPr>
                  <w:tcW w:w="1330" w:type="pct"/>
                  <w:noWrap w:val="0"/>
                  <w:vAlign w:val="center"/>
                </w:tcPr>
                <w:p w14:paraId="4A5C4F32">
                  <w:pPr>
                    <w:pStyle w:val="41"/>
                    <w:bidi w:val="0"/>
                    <w:jc w:val="center"/>
                    <w:rPr>
                      <w:rFonts w:hint="default"/>
                      <w:color w:val="auto"/>
                      <w:highlight w:val="none"/>
                      <w:lang w:val="en-US" w:eastAsia="zh-CN"/>
                    </w:rPr>
                  </w:pPr>
                  <w:r>
                    <w:rPr>
                      <w:rFonts w:hint="eastAsia"/>
                      <w:color w:val="auto"/>
                      <w:highlight w:val="none"/>
                    </w:rPr>
                    <w:t>TC1000</w:t>
                  </w:r>
                </w:p>
              </w:tc>
              <w:tc>
                <w:tcPr>
                  <w:tcW w:w="1145" w:type="pct"/>
                  <w:noWrap w:val="0"/>
                  <w:vAlign w:val="center"/>
                </w:tcPr>
                <w:p w14:paraId="3FB00436">
                  <w:pPr>
                    <w:pStyle w:val="41"/>
                    <w:bidi w:val="0"/>
                    <w:jc w:val="center"/>
                    <w:rPr>
                      <w:rFonts w:hint="default"/>
                      <w:color w:val="auto"/>
                      <w:highlight w:val="none"/>
                      <w:lang w:val="en-US" w:eastAsia="zh-CN"/>
                    </w:rPr>
                  </w:pPr>
                  <w:r>
                    <w:rPr>
                      <w:color w:val="auto"/>
                      <w:highlight w:val="none"/>
                    </w:rPr>
                    <w:t>1</w:t>
                  </w:r>
                </w:p>
              </w:tc>
              <w:tc>
                <w:tcPr>
                  <w:tcW w:w="812" w:type="pct"/>
                  <w:vMerge w:val="continue"/>
                  <w:noWrap w:val="0"/>
                  <w:vAlign w:val="center"/>
                </w:tcPr>
                <w:p w14:paraId="39E8BDB6">
                  <w:pPr>
                    <w:pStyle w:val="41"/>
                    <w:bidi w:val="0"/>
                    <w:jc w:val="center"/>
                    <w:rPr>
                      <w:rFonts w:hint="default"/>
                      <w:color w:val="auto"/>
                      <w:highlight w:val="none"/>
                      <w:lang w:val="en-US" w:eastAsia="zh-CN"/>
                    </w:rPr>
                  </w:pPr>
                </w:p>
              </w:tc>
            </w:tr>
            <w:tr w14:paraId="2DCBD6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2F8D896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78AF5EB1">
                  <w:pPr>
                    <w:pStyle w:val="41"/>
                    <w:bidi w:val="0"/>
                    <w:jc w:val="center"/>
                    <w:rPr>
                      <w:rFonts w:hint="default"/>
                      <w:color w:val="auto"/>
                      <w:highlight w:val="none"/>
                      <w:lang w:val="en-US" w:eastAsia="zh-CN"/>
                    </w:rPr>
                  </w:pPr>
                  <w:r>
                    <w:rPr>
                      <w:color w:val="auto"/>
                      <w:highlight w:val="none"/>
                      <w:lang w:val="zh-CN"/>
                    </w:rPr>
                    <w:t>低温离心机</w:t>
                  </w:r>
                </w:p>
              </w:tc>
              <w:tc>
                <w:tcPr>
                  <w:tcW w:w="1330" w:type="pct"/>
                  <w:noWrap w:val="0"/>
                  <w:vAlign w:val="center"/>
                </w:tcPr>
                <w:p w14:paraId="3706F99D">
                  <w:pPr>
                    <w:pStyle w:val="41"/>
                    <w:bidi w:val="0"/>
                    <w:jc w:val="center"/>
                    <w:rPr>
                      <w:rFonts w:hint="default"/>
                      <w:color w:val="auto"/>
                      <w:highlight w:val="none"/>
                      <w:lang w:val="en-US" w:eastAsia="zh-CN"/>
                    </w:rPr>
                  </w:pPr>
                  <w:r>
                    <w:rPr>
                      <w:rFonts w:hint="eastAsia"/>
                      <w:color w:val="auto"/>
                      <w:highlight w:val="none"/>
                    </w:rPr>
                    <w:t>BY-R220</w:t>
                  </w:r>
                </w:p>
              </w:tc>
              <w:tc>
                <w:tcPr>
                  <w:tcW w:w="1145" w:type="pct"/>
                  <w:noWrap w:val="0"/>
                  <w:vAlign w:val="center"/>
                </w:tcPr>
                <w:p w14:paraId="016DE703">
                  <w:pPr>
                    <w:pStyle w:val="41"/>
                    <w:bidi w:val="0"/>
                    <w:jc w:val="center"/>
                    <w:rPr>
                      <w:rFonts w:hint="default"/>
                      <w:color w:val="auto"/>
                      <w:highlight w:val="none"/>
                      <w:lang w:val="en-US" w:eastAsia="zh-CN"/>
                    </w:rPr>
                  </w:pPr>
                  <w:r>
                    <w:rPr>
                      <w:color w:val="auto"/>
                      <w:highlight w:val="none"/>
                    </w:rPr>
                    <w:t>2</w:t>
                  </w:r>
                </w:p>
              </w:tc>
              <w:tc>
                <w:tcPr>
                  <w:tcW w:w="812" w:type="pct"/>
                  <w:vMerge w:val="continue"/>
                  <w:noWrap w:val="0"/>
                  <w:vAlign w:val="center"/>
                </w:tcPr>
                <w:p w14:paraId="7DBCF935">
                  <w:pPr>
                    <w:pStyle w:val="41"/>
                    <w:bidi w:val="0"/>
                    <w:jc w:val="center"/>
                    <w:rPr>
                      <w:rFonts w:hint="default"/>
                      <w:color w:val="auto"/>
                      <w:highlight w:val="none"/>
                      <w:lang w:val="en-US" w:eastAsia="zh-CN"/>
                    </w:rPr>
                  </w:pPr>
                </w:p>
              </w:tc>
            </w:tr>
            <w:tr w14:paraId="098FE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45AFC21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39053DBA">
                  <w:pPr>
                    <w:pStyle w:val="41"/>
                    <w:bidi w:val="0"/>
                    <w:jc w:val="center"/>
                    <w:rPr>
                      <w:rFonts w:hint="default"/>
                      <w:color w:val="auto"/>
                      <w:highlight w:val="none"/>
                      <w:lang w:val="en-US" w:eastAsia="zh-CN"/>
                    </w:rPr>
                  </w:pPr>
                  <w:r>
                    <w:rPr>
                      <w:color w:val="auto"/>
                      <w:highlight w:val="none"/>
                      <w:lang w:val="zh-CN"/>
                    </w:rPr>
                    <w:t>8连管小型离心机</w:t>
                  </w:r>
                </w:p>
              </w:tc>
              <w:tc>
                <w:tcPr>
                  <w:tcW w:w="1330" w:type="pct"/>
                  <w:noWrap w:val="0"/>
                  <w:vAlign w:val="center"/>
                </w:tcPr>
                <w:p w14:paraId="1CE16051">
                  <w:pPr>
                    <w:pStyle w:val="41"/>
                    <w:bidi w:val="0"/>
                    <w:jc w:val="center"/>
                    <w:rPr>
                      <w:rFonts w:hint="default"/>
                      <w:color w:val="auto"/>
                      <w:highlight w:val="none"/>
                      <w:lang w:val="en-US" w:eastAsia="zh-CN"/>
                    </w:rPr>
                  </w:pPr>
                  <w:r>
                    <w:rPr>
                      <w:rFonts w:hint="eastAsia"/>
                      <w:color w:val="auto"/>
                      <w:highlight w:val="none"/>
                    </w:rPr>
                    <w:t>D</w:t>
                  </w:r>
                  <w:r>
                    <w:rPr>
                      <w:color w:val="auto"/>
                      <w:highlight w:val="none"/>
                    </w:rPr>
                    <w:t>1008</w:t>
                  </w:r>
                </w:p>
              </w:tc>
              <w:tc>
                <w:tcPr>
                  <w:tcW w:w="1145" w:type="pct"/>
                  <w:noWrap w:val="0"/>
                  <w:vAlign w:val="center"/>
                </w:tcPr>
                <w:p w14:paraId="705EAEBA">
                  <w:pPr>
                    <w:pStyle w:val="41"/>
                    <w:bidi w:val="0"/>
                    <w:jc w:val="center"/>
                    <w:rPr>
                      <w:rFonts w:hint="default"/>
                      <w:color w:val="auto"/>
                      <w:highlight w:val="none"/>
                      <w:lang w:val="en-US" w:eastAsia="zh-CN"/>
                    </w:rPr>
                  </w:pPr>
                  <w:r>
                    <w:rPr>
                      <w:color w:val="auto"/>
                      <w:highlight w:val="none"/>
                    </w:rPr>
                    <w:t>1</w:t>
                  </w:r>
                </w:p>
              </w:tc>
              <w:tc>
                <w:tcPr>
                  <w:tcW w:w="812" w:type="pct"/>
                  <w:vMerge w:val="continue"/>
                  <w:noWrap w:val="0"/>
                  <w:vAlign w:val="center"/>
                </w:tcPr>
                <w:p w14:paraId="581A5FBE">
                  <w:pPr>
                    <w:pStyle w:val="41"/>
                    <w:bidi w:val="0"/>
                    <w:jc w:val="center"/>
                    <w:rPr>
                      <w:rFonts w:hint="default"/>
                      <w:color w:val="auto"/>
                      <w:highlight w:val="none"/>
                      <w:lang w:val="en-US" w:eastAsia="zh-CN"/>
                    </w:rPr>
                  </w:pPr>
                </w:p>
              </w:tc>
            </w:tr>
            <w:tr w14:paraId="3A515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5B4CEA2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4D32E0AE">
                  <w:pPr>
                    <w:pStyle w:val="41"/>
                    <w:bidi w:val="0"/>
                    <w:jc w:val="center"/>
                    <w:rPr>
                      <w:rFonts w:hint="default"/>
                      <w:color w:val="auto"/>
                      <w:highlight w:val="none"/>
                      <w:lang w:val="en-US" w:eastAsia="zh-CN"/>
                    </w:rPr>
                  </w:pPr>
                  <w:r>
                    <w:rPr>
                      <w:rFonts w:hint="eastAsia"/>
                      <w:color w:val="auto"/>
                      <w:highlight w:val="none"/>
                    </w:rPr>
                    <w:t>电子分析天平</w:t>
                  </w:r>
                </w:p>
              </w:tc>
              <w:tc>
                <w:tcPr>
                  <w:tcW w:w="1330" w:type="pct"/>
                  <w:noWrap w:val="0"/>
                  <w:vAlign w:val="center"/>
                </w:tcPr>
                <w:p w14:paraId="782F8D60">
                  <w:pPr>
                    <w:pStyle w:val="41"/>
                    <w:bidi w:val="0"/>
                    <w:jc w:val="center"/>
                    <w:rPr>
                      <w:rFonts w:hint="default"/>
                      <w:color w:val="auto"/>
                      <w:highlight w:val="none"/>
                      <w:lang w:val="en-US" w:eastAsia="zh-CN"/>
                    </w:rPr>
                  </w:pPr>
                  <w:r>
                    <w:rPr>
                      <w:rFonts w:hint="eastAsia"/>
                      <w:color w:val="auto"/>
                      <w:highlight w:val="none"/>
                    </w:rPr>
                    <w:t>KF10002</w:t>
                  </w:r>
                </w:p>
              </w:tc>
              <w:tc>
                <w:tcPr>
                  <w:tcW w:w="1145" w:type="pct"/>
                  <w:noWrap w:val="0"/>
                  <w:vAlign w:val="center"/>
                </w:tcPr>
                <w:p w14:paraId="7FD7EAD5">
                  <w:pPr>
                    <w:pStyle w:val="41"/>
                    <w:bidi w:val="0"/>
                    <w:jc w:val="center"/>
                    <w:rPr>
                      <w:rFonts w:hint="default"/>
                      <w:color w:val="auto"/>
                      <w:highlight w:val="none"/>
                      <w:lang w:val="en-US" w:eastAsia="zh-CN"/>
                    </w:rPr>
                  </w:pPr>
                  <w:r>
                    <w:rPr>
                      <w:color w:val="auto"/>
                      <w:highlight w:val="none"/>
                    </w:rPr>
                    <w:t>1</w:t>
                  </w:r>
                </w:p>
              </w:tc>
              <w:tc>
                <w:tcPr>
                  <w:tcW w:w="812" w:type="pct"/>
                  <w:vMerge w:val="continue"/>
                  <w:noWrap w:val="0"/>
                  <w:vAlign w:val="center"/>
                </w:tcPr>
                <w:p w14:paraId="3F98999D">
                  <w:pPr>
                    <w:pStyle w:val="41"/>
                    <w:bidi w:val="0"/>
                    <w:jc w:val="center"/>
                    <w:rPr>
                      <w:rFonts w:hint="default"/>
                      <w:color w:val="auto"/>
                      <w:highlight w:val="none"/>
                      <w:lang w:val="en-US" w:eastAsia="zh-CN"/>
                    </w:rPr>
                  </w:pPr>
                </w:p>
              </w:tc>
            </w:tr>
            <w:tr w14:paraId="4019C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1CCBA09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3F9EFAFF">
                  <w:pPr>
                    <w:pStyle w:val="41"/>
                    <w:bidi w:val="0"/>
                    <w:jc w:val="center"/>
                    <w:rPr>
                      <w:rFonts w:hint="default"/>
                      <w:color w:val="auto"/>
                      <w:highlight w:val="none"/>
                      <w:lang w:val="en-US" w:eastAsia="zh-CN"/>
                    </w:rPr>
                  </w:pPr>
                  <w:r>
                    <w:rPr>
                      <w:color w:val="auto"/>
                      <w:highlight w:val="none"/>
                    </w:rPr>
                    <w:t>万分之一天平</w:t>
                  </w:r>
                </w:p>
              </w:tc>
              <w:tc>
                <w:tcPr>
                  <w:tcW w:w="1330" w:type="pct"/>
                  <w:noWrap w:val="0"/>
                  <w:vAlign w:val="center"/>
                </w:tcPr>
                <w:p w14:paraId="067947F9">
                  <w:pPr>
                    <w:pStyle w:val="41"/>
                    <w:bidi w:val="0"/>
                    <w:jc w:val="center"/>
                    <w:rPr>
                      <w:rFonts w:hint="default"/>
                      <w:color w:val="auto"/>
                      <w:highlight w:val="none"/>
                      <w:lang w:val="en-US" w:eastAsia="zh-CN"/>
                    </w:rPr>
                  </w:pPr>
                  <w:r>
                    <w:rPr>
                      <w:color w:val="auto"/>
                      <w:highlight w:val="none"/>
                    </w:rPr>
                    <w:t>ME204</w:t>
                  </w:r>
                </w:p>
              </w:tc>
              <w:tc>
                <w:tcPr>
                  <w:tcW w:w="1145" w:type="pct"/>
                  <w:noWrap w:val="0"/>
                  <w:vAlign w:val="center"/>
                </w:tcPr>
                <w:p w14:paraId="65012D32">
                  <w:pPr>
                    <w:pStyle w:val="41"/>
                    <w:bidi w:val="0"/>
                    <w:jc w:val="center"/>
                    <w:rPr>
                      <w:rFonts w:hint="default"/>
                      <w:color w:val="auto"/>
                      <w:highlight w:val="none"/>
                      <w:lang w:val="en-US" w:eastAsia="zh-CN"/>
                    </w:rPr>
                  </w:pPr>
                  <w:r>
                    <w:rPr>
                      <w:color w:val="auto"/>
                      <w:highlight w:val="none"/>
                    </w:rPr>
                    <w:t>1</w:t>
                  </w:r>
                </w:p>
              </w:tc>
              <w:tc>
                <w:tcPr>
                  <w:tcW w:w="812" w:type="pct"/>
                  <w:vMerge w:val="continue"/>
                  <w:noWrap w:val="0"/>
                  <w:vAlign w:val="center"/>
                </w:tcPr>
                <w:p w14:paraId="321ED6CD">
                  <w:pPr>
                    <w:pStyle w:val="41"/>
                    <w:bidi w:val="0"/>
                    <w:jc w:val="center"/>
                    <w:rPr>
                      <w:rFonts w:hint="default"/>
                      <w:color w:val="auto"/>
                      <w:highlight w:val="none"/>
                      <w:lang w:val="en-US" w:eastAsia="zh-CN"/>
                    </w:rPr>
                  </w:pPr>
                </w:p>
              </w:tc>
            </w:tr>
            <w:tr w14:paraId="647CC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0AE6517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08F38CD9">
                  <w:pPr>
                    <w:pStyle w:val="41"/>
                    <w:bidi w:val="0"/>
                    <w:jc w:val="center"/>
                    <w:rPr>
                      <w:rFonts w:hint="default"/>
                      <w:color w:val="auto"/>
                      <w:highlight w:val="none"/>
                      <w:lang w:val="en-US" w:eastAsia="zh-CN"/>
                    </w:rPr>
                  </w:pPr>
                  <w:r>
                    <w:rPr>
                      <w:color w:val="auto"/>
                      <w:highlight w:val="none"/>
                    </w:rPr>
                    <w:t>十万分之一天平</w:t>
                  </w:r>
                </w:p>
              </w:tc>
              <w:tc>
                <w:tcPr>
                  <w:tcW w:w="1330" w:type="pct"/>
                  <w:noWrap w:val="0"/>
                  <w:vAlign w:val="center"/>
                </w:tcPr>
                <w:p w14:paraId="7A7CBAB1">
                  <w:pPr>
                    <w:pStyle w:val="41"/>
                    <w:bidi w:val="0"/>
                    <w:jc w:val="center"/>
                    <w:rPr>
                      <w:rFonts w:hint="default"/>
                      <w:color w:val="auto"/>
                      <w:highlight w:val="none"/>
                      <w:lang w:val="en-US" w:eastAsia="zh-CN"/>
                    </w:rPr>
                  </w:pPr>
                  <w:r>
                    <w:rPr>
                      <w:color w:val="auto"/>
                      <w:highlight w:val="none"/>
                    </w:rPr>
                    <w:t>XS205DU</w:t>
                  </w:r>
                </w:p>
              </w:tc>
              <w:tc>
                <w:tcPr>
                  <w:tcW w:w="1145" w:type="pct"/>
                  <w:noWrap w:val="0"/>
                  <w:vAlign w:val="center"/>
                </w:tcPr>
                <w:p w14:paraId="141989A6">
                  <w:pPr>
                    <w:pStyle w:val="41"/>
                    <w:bidi w:val="0"/>
                    <w:jc w:val="center"/>
                    <w:rPr>
                      <w:rFonts w:hint="default"/>
                      <w:color w:val="auto"/>
                      <w:highlight w:val="none"/>
                      <w:lang w:val="en-US" w:eastAsia="zh-CN"/>
                    </w:rPr>
                  </w:pPr>
                  <w:r>
                    <w:rPr>
                      <w:color w:val="auto"/>
                      <w:highlight w:val="none"/>
                    </w:rPr>
                    <w:t>1</w:t>
                  </w:r>
                </w:p>
              </w:tc>
              <w:tc>
                <w:tcPr>
                  <w:tcW w:w="812" w:type="pct"/>
                  <w:vMerge w:val="continue"/>
                  <w:noWrap w:val="0"/>
                  <w:vAlign w:val="center"/>
                </w:tcPr>
                <w:p w14:paraId="28D644DC">
                  <w:pPr>
                    <w:pStyle w:val="41"/>
                    <w:bidi w:val="0"/>
                    <w:jc w:val="center"/>
                    <w:rPr>
                      <w:rFonts w:hint="default"/>
                      <w:color w:val="auto"/>
                      <w:highlight w:val="none"/>
                      <w:lang w:val="en-US" w:eastAsia="zh-CN"/>
                    </w:rPr>
                  </w:pPr>
                </w:p>
              </w:tc>
            </w:tr>
            <w:tr w14:paraId="667CC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17BB562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1B8B4C83">
                  <w:pPr>
                    <w:pStyle w:val="41"/>
                    <w:bidi w:val="0"/>
                    <w:jc w:val="center"/>
                    <w:rPr>
                      <w:rFonts w:hint="default"/>
                      <w:color w:val="auto"/>
                      <w:highlight w:val="none"/>
                      <w:lang w:val="en-US" w:eastAsia="zh-CN"/>
                    </w:rPr>
                  </w:pPr>
                  <w:r>
                    <w:rPr>
                      <w:color w:val="auto"/>
                      <w:highlight w:val="none"/>
                    </w:rPr>
                    <w:t>超声机</w:t>
                  </w:r>
                </w:p>
              </w:tc>
              <w:tc>
                <w:tcPr>
                  <w:tcW w:w="1330" w:type="pct"/>
                  <w:noWrap w:val="0"/>
                  <w:vAlign w:val="center"/>
                </w:tcPr>
                <w:p w14:paraId="3FA1D440">
                  <w:pPr>
                    <w:pStyle w:val="41"/>
                    <w:bidi w:val="0"/>
                    <w:jc w:val="center"/>
                    <w:rPr>
                      <w:rFonts w:hint="default"/>
                      <w:color w:val="auto"/>
                      <w:highlight w:val="none"/>
                      <w:lang w:val="en-US" w:eastAsia="zh-CN"/>
                    </w:rPr>
                  </w:pPr>
                  <w:r>
                    <w:rPr>
                      <w:color w:val="auto"/>
                      <w:highlight w:val="none"/>
                    </w:rPr>
                    <w:t>KH-250B</w:t>
                  </w:r>
                </w:p>
              </w:tc>
              <w:tc>
                <w:tcPr>
                  <w:tcW w:w="1145" w:type="pct"/>
                  <w:noWrap w:val="0"/>
                  <w:vAlign w:val="center"/>
                </w:tcPr>
                <w:p w14:paraId="07CEA57D">
                  <w:pPr>
                    <w:pStyle w:val="41"/>
                    <w:bidi w:val="0"/>
                    <w:jc w:val="center"/>
                    <w:rPr>
                      <w:rFonts w:hint="default"/>
                      <w:color w:val="auto"/>
                      <w:highlight w:val="none"/>
                      <w:lang w:val="en-US" w:eastAsia="zh-CN"/>
                    </w:rPr>
                  </w:pPr>
                  <w:r>
                    <w:rPr>
                      <w:color w:val="auto"/>
                      <w:highlight w:val="none"/>
                    </w:rPr>
                    <w:t>1</w:t>
                  </w:r>
                </w:p>
              </w:tc>
              <w:tc>
                <w:tcPr>
                  <w:tcW w:w="812" w:type="pct"/>
                  <w:vMerge w:val="continue"/>
                  <w:noWrap w:val="0"/>
                  <w:vAlign w:val="center"/>
                </w:tcPr>
                <w:p w14:paraId="52D95F0E">
                  <w:pPr>
                    <w:pStyle w:val="41"/>
                    <w:bidi w:val="0"/>
                    <w:jc w:val="center"/>
                    <w:rPr>
                      <w:rFonts w:hint="default"/>
                      <w:color w:val="auto"/>
                      <w:highlight w:val="none"/>
                      <w:lang w:val="en-US" w:eastAsia="zh-CN"/>
                    </w:rPr>
                  </w:pPr>
                </w:p>
              </w:tc>
            </w:tr>
            <w:tr w14:paraId="7855F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1D4D47F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5079DAC4">
                  <w:pPr>
                    <w:pStyle w:val="41"/>
                    <w:bidi w:val="0"/>
                    <w:jc w:val="center"/>
                    <w:rPr>
                      <w:rFonts w:hint="default"/>
                      <w:color w:val="auto"/>
                      <w:highlight w:val="none"/>
                      <w:lang w:val="en-US" w:eastAsia="zh-CN"/>
                    </w:rPr>
                  </w:pPr>
                  <w:r>
                    <w:rPr>
                      <w:color w:val="auto"/>
                      <w:highlight w:val="none"/>
                    </w:rPr>
                    <w:t>纯水仪</w:t>
                  </w:r>
                </w:p>
              </w:tc>
              <w:tc>
                <w:tcPr>
                  <w:tcW w:w="1330" w:type="pct"/>
                  <w:noWrap w:val="0"/>
                  <w:vAlign w:val="center"/>
                </w:tcPr>
                <w:p w14:paraId="4324B7DC">
                  <w:pPr>
                    <w:pStyle w:val="41"/>
                    <w:bidi w:val="0"/>
                    <w:jc w:val="center"/>
                    <w:rPr>
                      <w:rFonts w:hint="default"/>
                      <w:color w:val="auto"/>
                      <w:highlight w:val="none"/>
                      <w:lang w:val="en-US" w:eastAsia="zh-CN"/>
                    </w:rPr>
                  </w:pPr>
                  <w:r>
                    <w:rPr>
                      <w:color w:val="auto"/>
                      <w:highlight w:val="none"/>
                    </w:rPr>
                    <w:t>Pacific+Genpure</w:t>
                  </w:r>
                </w:p>
              </w:tc>
              <w:tc>
                <w:tcPr>
                  <w:tcW w:w="1145" w:type="pct"/>
                  <w:noWrap w:val="0"/>
                  <w:vAlign w:val="center"/>
                </w:tcPr>
                <w:p w14:paraId="6B478FDC">
                  <w:pPr>
                    <w:pStyle w:val="41"/>
                    <w:bidi w:val="0"/>
                    <w:jc w:val="center"/>
                    <w:rPr>
                      <w:rFonts w:hint="default"/>
                      <w:color w:val="auto"/>
                      <w:highlight w:val="none"/>
                      <w:lang w:val="en-US" w:eastAsia="zh-CN"/>
                    </w:rPr>
                  </w:pPr>
                  <w:r>
                    <w:rPr>
                      <w:color w:val="auto"/>
                      <w:highlight w:val="none"/>
                    </w:rPr>
                    <w:t>1</w:t>
                  </w:r>
                </w:p>
              </w:tc>
              <w:tc>
                <w:tcPr>
                  <w:tcW w:w="812" w:type="pct"/>
                  <w:vMerge w:val="continue"/>
                  <w:noWrap w:val="0"/>
                  <w:vAlign w:val="center"/>
                </w:tcPr>
                <w:p w14:paraId="218C117C">
                  <w:pPr>
                    <w:pStyle w:val="41"/>
                    <w:bidi w:val="0"/>
                    <w:jc w:val="center"/>
                    <w:rPr>
                      <w:rFonts w:hint="default"/>
                      <w:color w:val="auto"/>
                      <w:highlight w:val="none"/>
                      <w:lang w:val="en-US" w:eastAsia="zh-CN"/>
                    </w:rPr>
                  </w:pPr>
                </w:p>
              </w:tc>
            </w:tr>
            <w:tr w14:paraId="72FB6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307F5A7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0DABDB69">
                  <w:pPr>
                    <w:pStyle w:val="41"/>
                    <w:bidi w:val="0"/>
                    <w:jc w:val="center"/>
                    <w:rPr>
                      <w:rFonts w:hint="default"/>
                      <w:color w:val="auto"/>
                      <w:highlight w:val="none"/>
                      <w:lang w:val="en-US" w:eastAsia="zh-CN"/>
                    </w:rPr>
                  </w:pPr>
                  <w:r>
                    <w:rPr>
                      <w:color w:val="auto"/>
                      <w:highlight w:val="none"/>
                    </w:rPr>
                    <w:t>冻干机</w:t>
                  </w:r>
                </w:p>
              </w:tc>
              <w:tc>
                <w:tcPr>
                  <w:tcW w:w="1330" w:type="pct"/>
                  <w:noWrap w:val="0"/>
                  <w:vAlign w:val="center"/>
                </w:tcPr>
                <w:p w14:paraId="6CE45367">
                  <w:pPr>
                    <w:pStyle w:val="41"/>
                    <w:bidi w:val="0"/>
                    <w:jc w:val="center"/>
                    <w:rPr>
                      <w:rFonts w:hint="default"/>
                      <w:color w:val="auto"/>
                      <w:highlight w:val="none"/>
                      <w:lang w:val="en-US" w:eastAsia="zh-CN"/>
                    </w:rPr>
                  </w:pPr>
                  <w:r>
                    <w:rPr>
                      <w:color w:val="auto"/>
                      <w:highlight w:val="none"/>
                    </w:rPr>
                    <w:t>Freezone2.5</w:t>
                  </w:r>
                </w:p>
              </w:tc>
              <w:tc>
                <w:tcPr>
                  <w:tcW w:w="1145" w:type="pct"/>
                  <w:noWrap w:val="0"/>
                  <w:vAlign w:val="center"/>
                </w:tcPr>
                <w:p w14:paraId="675631A7">
                  <w:pPr>
                    <w:pStyle w:val="41"/>
                    <w:bidi w:val="0"/>
                    <w:jc w:val="center"/>
                    <w:rPr>
                      <w:rFonts w:hint="default"/>
                      <w:color w:val="auto"/>
                      <w:highlight w:val="none"/>
                      <w:lang w:val="en-US" w:eastAsia="zh-CN"/>
                    </w:rPr>
                  </w:pPr>
                  <w:r>
                    <w:rPr>
                      <w:color w:val="auto"/>
                      <w:highlight w:val="none"/>
                    </w:rPr>
                    <w:t>1</w:t>
                  </w:r>
                </w:p>
              </w:tc>
              <w:tc>
                <w:tcPr>
                  <w:tcW w:w="812" w:type="pct"/>
                  <w:vMerge w:val="continue"/>
                  <w:noWrap w:val="0"/>
                  <w:vAlign w:val="center"/>
                </w:tcPr>
                <w:p w14:paraId="79B7D508">
                  <w:pPr>
                    <w:pStyle w:val="41"/>
                    <w:bidi w:val="0"/>
                    <w:jc w:val="center"/>
                    <w:rPr>
                      <w:rFonts w:hint="default"/>
                      <w:color w:val="auto"/>
                      <w:highlight w:val="none"/>
                      <w:lang w:val="en-US" w:eastAsia="zh-CN"/>
                    </w:rPr>
                  </w:pPr>
                </w:p>
              </w:tc>
            </w:tr>
            <w:tr w14:paraId="7A7AA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253920C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120B93D0">
                  <w:pPr>
                    <w:pStyle w:val="41"/>
                    <w:bidi w:val="0"/>
                    <w:jc w:val="center"/>
                    <w:rPr>
                      <w:rFonts w:hint="default"/>
                      <w:color w:val="auto"/>
                      <w:highlight w:val="none"/>
                      <w:lang w:val="en-US" w:eastAsia="zh-CN"/>
                    </w:rPr>
                  </w:pPr>
                  <w:r>
                    <w:rPr>
                      <w:color w:val="auto"/>
                      <w:highlight w:val="none"/>
                    </w:rPr>
                    <w:t>烘箱</w:t>
                  </w:r>
                </w:p>
              </w:tc>
              <w:tc>
                <w:tcPr>
                  <w:tcW w:w="1330" w:type="pct"/>
                  <w:noWrap w:val="0"/>
                  <w:vAlign w:val="center"/>
                </w:tcPr>
                <w:p w14:paraId="1BD98DAA">
                  <w:pPr>
                    <w:pStyle w:val="41"/>
                    <w:bidi w:val="0"/>
                    <w:jc w:val="center"/>
                    <w:rPr>
                      <w:rFonts w:hint="default"/>
                      <w:color w:val="auto"/>
                      <w:highlight w:val="none"/>
                      <w:lang w:val="en-US" w:eastAsia="zh-CN"/>
                    </w:rPr>
                  </w:pPr>
                  <w:r>
                    <w:rPr>
                      <w:color w:val="auto"/>
                      <w:highlight w:val="none"/>
                    </w:rPr>
                    <w:t>DHG-9023A</w:t>
                  </w:r>
                </w:p>
              </w:tc>
              <w:tc>
                <w:tcPr>
                  <w:tcW w:w="1145" w:type="pct"/>
                  <w:noWrap w:val="0"/>
                  <w:vAlign w:val="center"/>
                </w:tcPr>
                <w:p w14:paraId="3F913F59">
                  <w:pPr>
                    <w:pStyle w:val="41"/>
                    <w:bidi w:val="0"/>
                    <w:jc w:val="center"/>
                    <w:rPr>
                      <w:rFonts w:hint="default"/>
                      <w:color w:val="auto"/>
                      <w:highlight w:val="none"/>
                      <w:lang w:val="en-US" w:eastAsia="zh-CN"/>
                    </w:rPr>
                  </w:pPr>
                  <w:r>
                    <w:rPr>
                      <w:color w:val="auto"/>
                      <w:highlight w:val="none"/>
                    </w:rPr>
                    <w:t>2</w:t>
                  </w:r>
                </w:p>
              </w:tc>
              <w:tc>
                <w:tcPr>
                  <w:tcW w:w="812" w:type="pct"/>
                  <w:vMerge w:val="continue"/>
                  <w:noWrap w:val="0"/>
                  <w:vAlign w:val="center"/>
                </w:tcPr>
                <w:p w14:paraId="44274F13">
                  <w:pPr>
                    <w:pStyle w:val="41"/>
                    <w:bidi w:val="0"/>
                    <w:jc w:val="center"/>
                    <w:rPr>
                      <w:rFonts w:hint="default"/>
                      <w:color w:val="auto"/>
                      <w:highlight w:val="none"/>
                      <w:lang w:val="en-US" w:eastAsia="zh-CN"/>
                    </w:rPr>
                  </w:pPr>
                </w:p>
              </w:tc>
            </w:tr>
            <w:tr w14:paraId="55964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6D8660F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5703F5DE">
                  <w:pPr>
                    <w:pStyle w:val="41"/>
                    <w:bidi w:val="0"/>
                    <w:jc w:val="center"/>
                    <w:rPr>
                      <w:rFonts w:hint="default"/>
                      <w:color w:val="auto"/>
                      <w:highlight w:val="none"/>
                      <w:lang w:val="en-US" w:eastAsia="zh-CN"/>
                    </w:rPr>
                  </w:pPr>
                  <w:r>
                    <w:rPr>
                      <w:color w:val="auto"/>
                      <w:highlight w:val="none"/>
                    </w:rPr>
                    <w:t>-80超低温冰箱</w:t>
                  </w:r>
                </w:p>
              </w:tc>
              <w:tc>
                <w:tcPr>
                  <w:tcW w:w="1330" w:type="pct"/>
                  <w:noWrap w:val="0"/>
                  <w:vAlign w:val="center"/>
                </w:tcPr>
                <w:p w14:paraId="5207A6E6">
                  <w:pPr>
                    <w:pStyle w:val="41"/>
                    <w:bidi w:val="0"/>
                    <w:jc w:val="center"/>
                    <w:rPr>
                      <w:rFonts w:hint="default"/>
                      <w:color w:val="auto"/>
                      <w:highlight w:val="none"/>
                      <w:lang w:val="en-US" w:eastAsia="zh-CN"/>
                    </w:rPr>
                  </w:pPr>
                  <w:r>
                    <w:rPr>
                      <w:color w:val="auto"/>
                      <w:highlight w:val="none"/>
                    </w:rPr>
                    <w:t>902-ULTS</w:t>
                  </w:r>
                </w:p>
              </w:tc>
              <w:tc>
                <w:tcPr>
                  <w:tcW w:w="1145" w:type="pct"/>
                  <w:noWrap w:val="0"/>
                  <w:vAlign w:val="center"/>
                </w:tcPr>
                <w:p w14:paraId="00CD010D">
                  <w:pPr>
                    <w:pStyle w:val="41"/>
                    <w:bidi w:val="0"/>
                    <w:jc w:val="center"/>
                    <w:rPr>
                      <w:rFonts w:hint="default"/>
                      <w:color w:val="auto"/>
                      <w:highlight w:val="none"/>
                      <w:lang w:val="en-US" w:eastAsia="zh-CN"/>
                    </w:rPr>
                  </w:pPr>
                  <w:r>
                    <w:rPr>
                      <w:color w:val="auto"/>
                      <w:highlight w:val="none"/>
                    </w:rPr>
                    <w:t>1</w:t>
                  </w:r>
                </w:p>
              </w:tc>
              <w:tc>
                <w:tcPr>
                  <w:tcW w:w="812" w:type="pct"/>
                  <w:vMerge w:val="continue"/>
                  <w:noWrap w:val="0"/>
                  <w:vAlign w:val="center"/>
                </w:tcPr>
                <w:p w14:paraId="17AE757D">
                  <w:pPr>
                    <w:pStyle w:val="41"/>
                    <w:bidi w:val="0"/>
                    <w:jc w:val="center"/>
                    <w:rPr>
                      <w:rFonts w:hint="default"/>
                      <w:color w:val="auto"/>
                      <w:highlight w:val="none"/>
                      <w:lang w:val="en-US" w:eastAsia="zh-CN"/>
                    </w:rPr>
                  </w:pPr>
                </w:p>
              </w:tc>
            </w:tr>
            <w:tr w14:paraId="623D4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7B7EB8D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29458011">
                  <w:pPr>
                    <w:pStyle w:val="41"/>
                    <w:bidi w:val="0"/>
                    <w:jc w:val="center"/>
                    <w:rPr>
                      <w:rFonts w:hint="default"/>
                      <w:color w:val="auto"/>
                      <w:highlight w:val="none"/>
                      <w:lang w:val="en-US" w:eastAsia="zh-CN"/>
                    </w:rPr>
                  </w:pPr>
                  <w:r>
                    <w:rPr>
                      <w:color w:val="auto"/>
                      <w:highlight w:val="none"/>
                    </w:rPr>
                    <w:t>灭菌锅</w:t>
                  </w:r>
                </w:p>
              </w:tc>
              <w:tc>
                <w:tcPr>
                  <w:tcW w:w="1330" w:type="pct"/>
                  <w:noWrap w:val="0"/>
                  <w:vAlign w:val="center"/>
                </w:tcPr>
                <w:p w14:paraId="03D4D98B">
                  <w:pPr>
                    <w:pStyle w:val="41"/>
                    <w:bidi w:val="0"/>
                    <w:jc w:val="center"/>
                    <w:rPr>
                      <w:rFonts w:hint="default"/>
                      <w:color w:val="auto"/>
                      <w:highlight w:val="none"/>
                      <w:lang w:val="en-US" w:eastAsia="zh-CN"/>
                    </w:rPr>
                  </w:pPr>
                  <w:r>
                    <w:rPr>
                      <w:color w:val="auto"/>
                      <w:highlight w:val="none"/>
                    </w:rPr>
                    <w:t>MLS-3750</w:t>
                  </w:r>
                </w:p>
              </w:tc>
              <w:tc>
                <w:tcPr>
                  <w:tcW w:w="1145" w:type="pct"/>
                  <w:noWrap w:val="0"/>
                  <w:vAlign w:val="center"/>
                </w:tcPr>
                <w:p w14:paraId="026EF026">
                  <w:pPr>
                    <w:pStyle w:val="41"/>
                    <w:bidi w:val="0"/>
                    <w:jc w:val="center"/>
                    <w:rPr>
                      <w:rFonts w:hint="default"/>
                      <w:color w:val="auto"/>
                      <w:highlight w:val="none"/>
                      <w:lang w:val="en-US" w:eastAsia="zh-CN"/>
                    </w:rPr>
                  </w:pPr>
                  <w:r>
                    <w:rPr>
                      <w:color w:val="auto"/>
                      <w:highlight w:val="none"/>
                    </w:rPr>
                    <w:t>1</w:t>
                  </w:r>
                </w:p>
              </w:tc>
              <w:tc>
                <w:tcPr>
                  <w:tcW w:w="812" w:type="pct"/>
                  <w:vMerge w:val="continue"/>
                  <w:noWrap w:val="0"/>
                  <w:vAlign w:val="center"/>
                </w:tcPr>
                <w:p w14:paraId="377E9DE1">
                  <w:pPr>
                    <w:pStyle w:val="41"/>
                    <w:bidi w:val="0"/>
                    <w:jc w:val="center"/>
                    <w:rPr>
                      <w:rFonts w:hint="default"/>
                      <w:color w:val="auto"/>
                      <w:highlight w:val="none"/>
                      <w:lang w:val="en-US" w:eastAsia="zh-CN"/>
                    </w:rPr>
                  </w:pPr>
                </w:p>
              </w:tc>
            </w:tr>
            <w:tr w14:paraId="68FEFB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3C8471A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56B69FFF">
                  <w:pPr>
                    <w:pStyle w:val="41"/>
                    <w:bidi w:val="0"/>
                    <w:jc w:val="center"/>
                    <w:rPr>
                      <w:rFonts w:hint="default"/>
                      <w:color w:val="auto"/>
                      <w:highlight w:val="none"/>
                      <w:lang w:val="en-US" w:eastAsia="zh-CN"/>
                    </w:rPr>
                  </w:pPr>
                  <w:r>
                    <w:rPr>
                      <w:color w:val="auto"/>
                      <w:highlight w:val="none"/>
                    </w:rPr>
                    <w:t>冰柜</w:t>
                  </w:r>
                </w:p>
              </w:tc>
              <w:tc>
                <w:tcPr>
                  <w:tcW w:w="1330" w:type="pct"/>
                  <w:noWrap w:val="0"/>
                  <w:vAlign w:val="center"/>
                </w:tcPr>
                <w:p w14:paraId="159F186F">
                  <w:pPr>
                    <w:pStyle w:val="41"/>
                    <w:bidi w:val="0"/>
                    <w:jc w:val="center"/>
                    <w:rPr>
                      <w:rFonts w:hint="default"/>
                      <w:color w:val="auto"/>
                      <w:highlight w:val="none"/>
                      <w:lang w:val="en-US" w:eastAsia="zh-CN"/>
                    </w:rPr>
                  </w:pPr>
                  <w:r>
                    <w:rPr>
                      <w:color w:val="auto"/>
                      <w:highlight w:val="none"/>
                    </w:rPr>
                    <w:t>BC/BD-519HEK</w:t>
                  </w:r>
                </w:p>
              </w:tc>
              <w:tc>
                <w:tcPr>
                  <w:tcW w:w="1145" w:type="pct"/>
                  <w:noWrap w:val="0"/>
                  <w:vAlign w:val="center"/>
                </w:tcPr>
                <w:p w14:paraId="0FA65CEF">
                  <w:pPr>
                    <w:pStyle w:val="41"/>
                    <w:bidi w:val="0"/>
                    <w:jc w:val="center"/>
                    <w:rPr>
                      <w:rFonts w:hint="default"/>
                      <w:color w:val="auto"/>
                      <w:highlight w:val="none"/>
                      <w:lang w:val="en-US" w:eastAsia="zh-CN"/>
                    </w:rPr>
                  </w:pPr>
                  <w:r>
                    <w:rPr>
                      <w:color w:val="auto"/>
                      <w:highlight w:val="none"/>
                    </w:rPr>
                    <w:t>2</w:t>
                  </w:r>
                </w:p>
              </w:tc>
              <w:tc>
                <w:tcPr>
                  <w:tcW w:w="812" w:type="pct"/>
                  <w:vMerge w:val="continue"/>
                  <w:noWrap w:val="0"/>
                  <w:vAlign w:val="center"/>
                </w:tcPr>
                <w:p w14:paraId="1294A601">
                  <w:pPr>
                    <w:pStyle w:val="41"/>
                    <w:bidi w:val="0"/>
                    <w:jc w:val="center"/>
                    <w:rPr>
                      <w:rFonts w:hint="default"/>
                      <w:color w:val="auto"/>
                      <w:highlight w:val="none"/>
                      <w:lang w:val="en-US" w:eastAsia="zh-CN"/>
                    </w:rPr>
                  </w:pPr>
                </w:p>
              </w:tc>
            </w:tr>
            <w:tr w14:paraId="6978B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344AFA9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49946CDB">
                  <w:pPr>
                    <w:pStyle w:val="41"/>
                    <w:bidi w:val="0"/>
                    <w:jc w:val="center"/>
                    <w:rPr>
                      <w:rFonts w:hint="default"/>
                      <w:color w:val="auto"/>
                      <w:highlight w:val="none"/>
                      <w:lang w:val="en-US" w:eastAsia="zh-CN"/>
                    </w:rPr>
                  </w:pPr>
                  <w:r>
                    <w:rPr>
                      <w:color w:val="auto"/>
                      <w:highlight w:val="none"/>
                    </w:rPr>
                    <w:t>酶标仪</w:t>
                  </w:r>
                </w:p>
              </w:tc>
              <w:tc>
                <w:tcPr>
                  <w:tcW w:w="1330" w:type="pct"/>
                  <w:noWrap w:val="0"/>
                  <w:vAlign w:val="center"/>
                </w:tcPr>
                <w:p w14:paraId="623C24CA">
                  <w:pPr>
                    <w:pStyle w:val="41"/>
                    <w:bidi w:val="0"/>
                    <w:jc w:val="center"/>
                    <w:rPr>
                      <w:rFonts w:hint="default"/>
                      <w:color w:val="auto"/>
                      <w:highlight w:val="none"/>
                      <w:lang w:val="en-US" w:eastAsia="zh-CN"/>
                    </w:rPr>
                  </w:pPr>
                  <w:r>
                    <w:rPr>
                      <w:color w:val="auto"/>
                      <w:highlight w:val="none"/>
                    </w:rPr>
                    <w:t>DNM-9602G</w:t>
                  </w:r>
                </w:p>
              </w:tc>
              <w:tc>
                <w:tcPr>
                  <w:tcW w:w="1145" w:type="pct"/>
                  <w:noWrap w:val="0"/>
                  <w:vAlign w:val="center"/>
                </w:tcPr>
                <w:p w14:paraId="4407BA62">
                  <w:pPr>
                    <w:pStyle w:val="41"/>
                    <w:bidi w:val="0"/>
                    <w:jc w:val="center"/>
                    <w:rPr>
                      <w:rFonts w:hint="default"/>
                      <w:color w:val="auto"/>
                      <w:highlight w:val="none"/>
                      <w:lang w:val="en-US" w:eastAsia="zh-CN"/>
                    </w:rPr>
                  </w:pPr>
                  <w:r>
                    <w:rPr>
                      <w:color w:val="auto"/>
                      <w:highlight w:val="none"/>
                    </w:rPr>
                    <w:t>2</w:t>
                  </w:r>
                </w:p>
              </w:tc>
              <w:tc>
                <w:tcPr>
                  <w:tcW w:w="812" w:type="pct"/>
                  <w:vMerge w:val="continue"/>
                  <w:noWrap w:val="0"/>
                  <w:vAlign w:val="center"/>
                </w:tcPr>
                <w:p w14:paraId="6A3C5194">
                  <w:pPr>
                    <w:pStyle w:val="41"/>
                    <w:bidi w:val="0"/>
                    <w:jc w:val="center"/>
                    <w:rPr>
                      <w:rFonts w:hint="default"/>
                      <w:color w:val="auto"/>
                      <w:highlight w:val="none"/>
                      <w:lang w:val="en-US" w:eastAsia="zh-CN"/>
                    </w:rPr>
                  </w:pPr>
                </w:p>
              </w:tc>
            </w:tr>
            <w:tr w14:paraId="3FCAB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6955072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539D7A59">
                  <w:pPr>
                    <w:pStyle w:val="41"/>
                    <w:bidi w:val="0"/>
                    <w:jc w:val="center"/>
                    <w:rPr>
                      <w:rFonts w:hint="default"/>
                      <w:color w:val="auto"/>
                      <w:highlight w:val="none"/>
                      <w:lang w:val="en-US" w:eastAsia="zh-CN"/>
                    </w:rPr>
                  </w:pPr>
                  <w:r>
                    <w:rPr>
                      <w:color w:val="auto"/>
                      <w:highlight w:val="none"/>
                    </w:rPr>
                    <w:t>15ml/50ml离心机</w:t>
                  </w:r>
                </w:p>
              </w:tc>
              <w:tc>
                <w:tcPr>
                  <w:tcW w:w="1330" w:type="pct"/>
                  <w:noWrap w:val="0"/>
                  <w:vAlign w:val="center"/>
                </w:tcPr>
                <w:p w14:paraId="0C0A9012">
                  <w:pPr>
                    <w:pStyle w:val="41"/>
                    <w:bidi w:val="0"/>
                    <w:jc w:val="center"/>
                    <w:rPr>
                      <w:rFonts w:hint="default"/>
                      <w:color w:val="auto"/>
                      <w:highlight w:val="none"/>
                      <w:lang w:val="en-US" w:eastAsia="zh-CN"/>
                    </w:rPr>
                  </w:pPr>
                  <w:r>
                    <w:rPr>
                      <w:color w:val="auto"/>
                      <w:highlight w:val="none"/>
                    </w:rPr>
                    <w:t>BY-R20</w:t>
                  </w:r>
                </w:p>
              </w:tc>
              <w:tc>
                <w:tcPr>
                  <w:tcW w:w="1145" w:type="pct"/>
                  <w:noWrap w:val="0"/>
                  <w:vAlign w:val="center"/>
                </w:tcPr>
                <w:p w14:paraId="02C16160">
                  <w:pPr>
                    <w:pStyle w:val="41"/>
                    <w:bidi w:val="0"/>
                    <w:jc w:val="center"/>
                    <w:rPr>
                      <w:rFonts w:hint="default"/>
                      <w:color w:val="auto"/>
                      <w:highlight w:val="none"/>
                      <w:lang w:val="en-US" w:eastAsia="zh-CN"/>
                    </w:rPr>
                  </w:pPr>
                  <w:r>
                    <w:rPr>
                      <w:color w:val="auto"/>
                      <w:highlight w:val="none"/>
                    </w:rPr>
                    <w:t>4</w:t>
                  </w:r>
                </w:p>
              </w:tc>
              <w:tc>
                <w:tcPr>
                  <w:tcW w:w="812" w:type="pct"/>
                  <w:vMerge w:val="continue"/>
                  <w:noWrap w:val="0"/>
                  <w:vAlign w:val="center"/>
                </w:tcPr>
                <w:p w14:paraId="6CFD99AF">
                  <w:pPr>
                    <w:pStyle w:val="41"/>
                    <w:bidi w:val="0"/>
                    <w:jc w:val="center"/>
                    <w:rPr>
                      <w:rFonts w:hint="default"/>
                      <w:color w:val="auto"/>
                      <w:highlight w:val="none"/>
                      <w:lang w:val="en-US" w:eastAsia="zh-CN"/>
                    </w:rPr>
                  </w:pPr>
                </w:p>
              </w:tc>
            </w:tr>
            <w:tr w14:paraId="30FBA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2EB4374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73185627">
                  <w:pPr>
                    <w:pStyle w:val="41"/>
                    <w:bidi w:val="0"/>
                    <w:jc w:val="center"/>
                    <w:rPr>
                      <w:rFonts w:hint="default"/>
                      <w:color w:val="auto"/>
                      <w:highlight w:val="none"/>
                      <w:lang w:val="en-US" w:eastAsia="zh-CN"/>
                    </w:rPr>
                  </w:pPr>
                  <w:r>
                    <w:rPr>
                      <w:color w:val="auto"/>
                      <w:highlight w:val="none"/>
                    </w:rPr>
                    <w:t>水浴锅</w:t>
                  </w:r>
                </w:p>
              </w:tc>
              <w:tc>
                <w:tcPr>
                  <w:tcW w:w="1330" w:type="pct"/>
                  <w:noWrap w:val="0"/>
                  <w:vAlign w:val="center"/>
                </w:tcPr>
                <w:p w14:paraId="75CAD2F6">
                  <w:pPr>
                    <w:pStyle w:val="41"/>
                    <w:bidi w:val="0"/>
                    <w:jc w:val="center"/>
                    <w:rPr>
                      <w:rFonts w:hint="default"/>
                      <w:color w:val="auto"/>
                      <w:highlight w:val="none"/>
                      <w:lang w:val="en-US" w:eastAsia="zh-CN"/>
                    </w:rPr>
                  </w:pPr>
                  <w:r>
                    <w:rPr>
                      <w:color w:val="auto"/>
                      <w:highlight w:val="none"/>
                    </w:rPr>
                    <w:t>HH-4</w:t>
                  </w:r>
                </w:p>
              </w:tc>
              <w:tc>
                <w:tcPr>
                  <w:tcW w:w="1145" w:type="pct"/>
                  <w:noWrap w:val="0"/>
                  <w:vAlign w:val="center"/>
                </w:tcPr>
                <w:p w14:paraId="5448DED1">
                  <w:pPr>
                    <w:pStyle w:val="41"/>
                    <w:bidi w:val="0"/>
                    <w:jc w:val="center"/>
                    <w:rPr>
                      <w:rFonts w:hint="default"/>
                      <w:color w:val="auto"/>
                      <w:highlight w:val="none"/>
                      <w:lang w:val="en-US" w:eastAsia="zh-CN"/>
                    </w:rPr>
                  </w:pPr>
                  <w:r>
                    <w:rPr>
                      <w:color w:val="auto"/>
                      <w:highlight w:val="none"/>
                    </w:rPr>
                    <w:t>3</w:t>
                  </w:r>
                </w:p>
              </w:tc>
              <w:tc>
                <w:tcPr>
                  <w:tcW w:w="812" w:type="pct"/>
                  <w:vMerge w:val="continue"/>
                  <w:noWrap w:val="0"/>
                  <w:vAlign w:val="center"/>
                </w:tcPr>
                <w:p w14:paraId="5DC21062">
                  <w:pPr>
                    <w:pStyle w:val="41"/>
                    <w:bidi w:val="0"/>
                    <w:jc w:val="center"/>
                    <w:rPr>
                      <w:rFonts w:hint="default"/>
                      <w:color w:val="auto"/>
                      <w:highlight w:val="none"/>
                      <w:lang w:val="en-US" w:eastAsia="zh-CN"/>
                    </w:rPr>
                  </w:pPr>
                </w:p>
              </w:tc>
            </w:tr>
            <w:tr w14:paraId="44FE2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67DD547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1A7D6915">
                  <w:pPr>
                    <w:pStyle w:val="41"/>
                    <w:bidi w:val="0"/>
                    <w:jc w:val="center"/>
                    <w:rPr>
                      <w:rFonts w:hint="default"/>
                      <w:color w:val="auto"/>
                      <w:highlight w:val="none"/>
                      <w:lang w:val="en-US" w:eastAsia="zh-CN"/>
                    </w:rPr>
                  </w:pPr>
                  <w:r>
                    <w:rPr>
                      <w:color w:val="auto"/>
                      <w:highlight w:val="none"/>
                    </w:rPr>
                    <w:t>超净工作台</w:t>
                  </w:r>
                </w:p>
              </w:tc>
              <w:tc>
                <w:tcPr>
                  <w:tcW w:w="1330" w:type="pct"/>
                  <w:noWrap w:val="0"/>
                  <w:vAlign w:val="center"/>
                </w:tcPr>
                <w:p w14:paraId="226366B0">
                  <w:pPr>
                    <w:pStyle w:val="41"/>
                    <w:bidi w:val="0"/>
                    <w:jc w:val="center"/>
                    <w:rPr>
                      <w:rFonts w:hint="default"/>
                      <w:color w:val="auto"/>
                      <w:highlight w:val="none"/>
                      <w:lang w:val="en-US" w:eastAsia="zh-CN"/>
                    </w:rPr>
                  </w:pPr>
                  <w:r>
                    <w:rPr>
                      <w:color w:val="auto"/>
                      <w:highlight w:val="none"/>
                    </w:rPr>
                    <w:t>SW-CJ-2J</w:t>
                  </w:r>
                </w:p>
              </w:tc>
              <w:tc>
                <w:tcPr>
                  <w:tcW w:w="1145" w:type="pct"/>
                  <w:noWrap w:val="0"/>
                  <w:vAlign w:val="center"/>
                </w:tcPr>
                <w:p w14:paraId="12B00A23">
                  <w:pPr>
                    <w:pStyle w:val="41"/>
                    <w:bidi w:val="0"/>
                    <w:jc w:val="center"/>
                    <w:rPr>
                      <w:rFonts w:hint="default"/>
                      <w:color w:val="auto"/>
                      <w:highlight w:val="none"/>
                      <w:lang w:val="en-US" w:eastAsia="zh-CN"/>
                    </w:rPr>
                  </w:pPr>
                  <w:r>
                    <w:rPr>
                      <w:color w:val="auto"/>
                      <w:highlight w:val="none"/>
                    </w:rPr>
                    <w:t>3</w:t>
                  </w:r>
                </w:p>
              </w:tc>
              <w:tc>
                <w:tcPr>
                  <w:tcW w:w="812" w:type="pct"/>
                  <w:vMerge w:val="continue"/>
                  <w:noWrap w:val="0"/>
                  <w:vAlign w:val="center"/>
                </w:tcPr>
                <w:p w14:paraId="3E338707">
                  <w:pPr>
                    <w:pStyle w:val="41"/>
                    <w:bidi w:val="0"/>
                    <w:jc w:val="center"/>
                    <w:rPr>
                      <w:rFonts w:hint="default"/>
                      <w:color w:val="auto"/>
                      <w:highlight w:val="none"/>
                      <w:lang w:val="en-US" w:eastAsia="zh-CN"/>
                    </w:rPr>
                  </w:pPr>
                </w:p>
              </w:tc>
            </w:tr>
            <w:tr w14:paraId="4C231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14DBB21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3E8C7DE4">
                  <w:pPr>
                    <w:pStyle w:val="41"/>
                    <w:bidi w:val="0"/>
                    <w:jc w:val="center"/>
                    <w:rPr>
                      <w:rFonts w:hint="default"/>
                      <w:color w:val="auto"/>
                      <w:highlight w:val="none"/>
                      <w:lang w:val="en-US" w:eastAsia="zh-CN"/>
                    </w:rPr>
                  </w:pPr>
                  <w:r>
                    <w:rPr>
                      <w:rFonts w:hint="eastAsia"/>
                      <w:color w:val="auto"/>
                      <w:highlight w:val="none"/>
                    </w:rPr>
                    <w:t>C</w:t>
                  </w:r>
                  <w:r>
                    <w:rPr>
                      <w:color w:val="auto"/>
                      <w:highlight w:val="none"/>
                    </w:rPr>
                    <w:t>O</w:t>
                  </w:r>
                  <w:r>
                    <w:rPr>
                      <w:rFonts w:hint="eastAsia"/>
                      <w:color w:val="auto"/>
                      <w:highlight w:val="none"/>
                      <w:vertAlign w:val="subscript"/>
                    </w:rPr>
                    <w:t>2</w:t>
                  </w:r>
                  <w:r>
                    <w:rPr>
                      <w:color w:val="auto"/>
                      <w:highlight w:val="none"/>
                    </w:rPr>
                    <w:t>培养箱</w:t>
                  </w:r>
                </w:p>
              </w:tc>
              <w:tc>
                <w:tcPr>
                  <w:tcW w:w="1330" w:type="pct"/>
                  <w:noWrap w:val="0"/>
                  <w:vAlign w:val="center"/>
                </w:tcPr>
                <w:p w14:paraId="35EFC0F3">
                  <w:pPr>
                    <w:pStyle w:val="41"/>
                    <w:bidi w:val="0"/>
                    <w:jc w:val="center"/>
                    <w:rPr>
                      <w:rFonts w:hint="default"/>
                      <w:color w:val="auto"/>
                      <w:highlight w:val="none"/>
                      <w:lang w:val="en-US" w:eastAsia="zh-CN"/>
                    </w:rPr>
                  </w:pPr>
                  <w:r>
                    <w:rPr>
                      <w:color w:val="auto"/>
                      <w:highlight w:val="none"/>
                    </w:rPr>
                    <w:t>HH.CP-7</w:t>
                  </w:r>
                </w:p>
              </w:tc>
              <w:tc>
                <w:tcPr>
                  <w:tcW w:w="1145" w:type="pct"/>
                  <w:noWrap w:val="0"/>
                  <w:vAlign w:val="center"/>
                </w:tcPr>
                <w:p w14:paraId="42868E32">
                  <w:pPr>
                    <w:pStyle w:val="41"/>
                    <w:bidi w:val="0"/>
                    <w:jc w:val="center"/>
                    <w:rPr>
                      <w:rFonts w:hint="default"/>
                      <w:color w:val="auto"/>
                      <w:highlight w:val="none"/>
                      <w:lang w:val="en-US" w:eastAsia="zh-CN"/>
                    </w:rPr>
                  </w:pPr>
                  <w:r>
                    <w:rPr>
                      <w:color w:val="auto"/>
                      <w:highlight w:val="none"/>
                    </w:rPr>
                    <w:t>2</w:t>
                  </w:r>
                </w:p>
              </w:tc>
              <w:tc>
                <w:tcPr>
                  <w:tcW w:w="812" w:type="pct"/>
                  <w:vMerge w:val="continue"/>
                  <w:noWrap w:val="0"/>
                  <w:vAlign w:val="center"/>
                </w:tcPr>
                <w:p w14:paraId="1017EC56">
                  <w:pPr>
                    <w:pStyle w:val="41"/>
                    <w:bidi w:val="0"/>
                    <w:jc w:val="center"/>
                    <w:rPr>
                      <w:rFonts w:hint="default"/>
                      <w:color w:val="auto"/>
                      <w:highlight w:val="none"/>
                      <w:lang w:val="en-US" w:eastAsia="zh-CN"/>
                    </w:rPr>
                  </w:pPr>
                </w:p>
              </w:tc>
            </w:tr>
            <w:tr w14:paraId="3CC91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noWrap w:val="0"/>
                  <w:vAlign w:val="center"/>
                </w:tcPr>
                <w:p w14:paraId="1524DFD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noWrap w:val="0"/>
                  <w:vAlign w:val="center"/>
                </w:tcPr>
                <w:p w14:paraId="09B736DC">
                  <w:pPr>
                    <w:pStyle w:val="41"/>
                    <w:bidi w:val="0"/>
                    <w:jc w:val="center"/>
                    <w:rPr>
                      <w:rFonts w:hint="default"/>
                      <w:color w:val="auto"/>
                      <w:highlight w:val="none"/>
                      <w:lang w:val="en-US" w:eastAsia="zh-CN"/>
                    </w:rPr>
                  </w:pPr>
                  <w:r>
                    <w:rPr>
                      <w:color w:val="auto"/>
                      <w:highlight w:val="none"/>
                    </w:rPr>
                    <w:t>UPS电源</w:t>
                  </w:r>
                </w:p>
              </w:tc>
              <w:tc>
                <w:tcPr>
                  <w:tcW w:w="1330" w:type="pct"/>
                  <w:noWrap w:val="0"/>
                  <w:vAlign w:val="center"/>
                </w:tcPr>
                <w:p w14:paraId="50C8957E">
                  <w:pPr>
                    <w:pStyle w:val="41"/>
                    <w:bidi w:val="0"/>
                    <w:jc w:val="center"/>
                    <w:rPr>
                      <w:rFonts w:hint="default"/>
                      <w:color w:val="auto"/>
                      <w:highlight w:val="none"/>
                      <w:lang w:val="en-US" w:eastAsia="zh-CN"/>
                    </w:rPr>
                  </w:pPr>
                  <w:r>
                    <w:rPr>
                      <w:color w:val="auto"/>
                      <w:highlight w:val="none"/>
                    </w:rPr>
                    <w:t>Castle-5K</w:t>
                  </w:r>
                </w:p>
              </w:tc>
              <w:tc>
                <w:tcPr>
                  <w:tcW w:w="1145" w:type="pct"/>
                  <w:noWrap w:val="0"/>
                  <w:vAlign w:val="center"/>
                </w:tcPr>
                <w:p w14:paraId="4D3C3C08">
                  <w:pPr>
                    <w:pStyle w:val="41"/>
                    <w:bidi w:val="0"/>
                    <w:jc w:val="center"/>
                    <w:rPr>
                      <w:rFonts w:hint="default"/>
                      <w:color w:val="auto"/>
                      <w:highlight w:val="none"/>
                      <w:lang w:val="en-US" w:eastAsia="zh-CN"/>
                    </w:rPr>
                  </w:pPr>
                  <w:r>
                    <w:rPr>
                      <w:color w:val="auto"/>
                      <w:highlight w:val="none"/>
                    </w:rPr>
                    <w:t>4</w:t>
                  </w:r>
                </w:p>
              </w:tc>
              <w:tc>
                <w:tcPr>
                  <w:tcW w:w="812" w:type="pct"/>
                  <w:vMerge w:val="continue"/>
                  <w:noWrap w:val="0"/>
                  <w:vAlign w:val="center"/>
                </w:tcPr>
                <w:p w14:paraId="5FE2F015">
                  <w:pPr>
                    <w:pStyle w:val="41"/>
                    <w:bidi w:val="0"/>
                    <w:jc w:val="center"/>
                    <w:rPr>
                      <w:rFonts w:hint="default"/>
                      <w:color w:val="auto"/>
                      <w:highlight w:val="none"/>
                      <w:lang w:val="en-US" w:eastAsia="zh-CN"/>
                    </w:rPr>
                  </w:pPr>
                </w:p>
              </w:tc>
            </w:tr>
            <w:tr w14:paraId="04364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520210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D3F3220">
                  <w:pPr>
                    <w:pStyle w:val="41"/>
                    <w:bidi w:val="0"/>
                    <w:jc w:val="center"/>
                    <w:rPr>
                      <w:rFonts w:hint="default"/>
                      <w:color w:val="auto"/>
                      <w:highlight w:val="none"/>
                      <w:lang w:val="en-US" w:eastAsia="zh-CN"/>
                    </w:rPr>
                  </w:pPr>
                  <w:r>
                    <w:rPr>
                      <w:color w:val="auto"/>
                      <w:highlight w:val="none"/>
                    </w:rPr>
                    <w:t>涡旋仪</w:t>
                  </w:r>
                </w:p>
              </w:tc>
              <w:tc>
                <w:tcPr>
                  <w:tcW w:w="1330" w:type="pct"/>
                  <w:vAlign w:val="center"/>
                </w:tcPr>
                <w:p w14:paraId="1A49C9F1">
                  <w:pPr>
                    <w:pStyle w:val="41"/>
                    <w:bidi w:val="0"/>
                    <w:jc w:val="center"/>
                    <w:rPr>
                      <w:rFonts w:hint="default"/>
                      <w:color w:val="auto"/>
                      <w:highlight w:val="none"/>
                      <w:lang w:val="en-US" w:eastAsia="zh-CN"/>
                    </w:rPr>
                  </w:pPr>
                  <w:r>
                    <w:rPr>
                      <w:color w:val="auto"/>
                      <w:highlight w:val="none"/>
                    </w:rPr>
                    <w:t>Vortex-Genie 2T</w:t>
                  </w:r>
                </w:p>
              </w:tc>
              <w:tc>
                <w:tcPr>
                  <w:tcW w:w="1145" w:type="pct"/>
                  <w:vAlign w:val="center"/>
                </w:tcPr>
                <w:p w14:paraId="3C44BC2B">
                  <w:pPr>
                    <w:pStyle w:val="41"/>
                    <w:bidi w:val="0"/>
                    <w:jc w:val="center"/>
                    <w:rPr>
                      <w:rFonts w:hint="default"/>
                      <w:color w:val="auto"/>
                      <w:highlight w:val="none"/>
                      <w:lang w:val="en-US" w:eastAsia="zh-CN"/>
                    </w:rPr>
                  </w:pPr>
                  <w:r>
                    <w:rPr>
                      <w:color w:val="auto"/>
                      <w:highlight w:val="none"/>
                    </w:rPr>
                    <w:t>7</w:t>
                  </w:r>
                </w:p>
              </w:tc>
              <w:tc>
                <w:tcPr>
                  <w:tcW w:w="812" w:type="pct"/>
                  <w:vMerge w:val="continue"/>
                  <w:vAlign w:val="center"/>
                </w:tcPr>
                <w:p w14:paraId="08CC217D">
                  <w:pPr>
                    <w:pStyle w:val="41"/>
                    <w:bidi w:val="0"/>
                    <w:jc w:val="center"/>
                    <w:rPr>
                      <w:rFonts w:hint="default"/>
                      <w:color w:val="auto"/>
                      <w:highlight w:val="none"/>
                      <w:lang w:val="en-US" w:eastAsia="zh-CN"/>
                    </w:rPr>
                  </w:pPr>
                </w:p>
              </w:tc>
            </w:tr>
            <w:tr w14:paraId="05C78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E2DAB0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2D461AB">
                  <w:pPr>
                    <w:pStyle w:val="41"/>
                    <w:bidi w:val="0"/>
                    <w:jc w:val="center"/>
                    <w:rPr>
                      <w:rFonts w:hint="default"/>
                      <w:color w:val="auto"/>
                      <w:highlight w:val="none"/>
                      <w:lang w:val="en-US" w:eastAsia="zh-CN"/>
                    </w:rPr>
                  </w:pPr>
                  <w:r>
                    <w:rPr>
                      <w:color w:val="auto"/>
                      <w:highlight w:val="none"/>
                    </w:rPr>
                    <w:t>显微镜</w:t>
                  </w:r>
                </w:p>
              </w:tc>
              <w:tc>
                <w:tcPr>
                  <w:tcW w:w="1330" w:type="pct"/>
                  <w:vAlign w:val="center"/>
                </w:tcPr>
                <w:p w14:paraId="02E6B370">
                  <w:pPr>
                    <w:pStyle w:val="41"/>
                    <w:bidi w:val="0"/>
                    <w:jc w:val="center"/>
                    <w:rPr>
                      <w:rFonts w:hint="default"/>
                      <w:color w:val="auto"/>
                      <w:highlight w:val="none"/>
                      <w:lang w:val="en-US" w:eastAsia="zh-CN"/>
                    </w:rPr>
                  </w:pPr>
                  <w:r>
                    <w:rPr>
                      <w:color w:val="auto"/>
                      <w:highlight w:val="none"/>
                    </w:rPr>
                    <w:t>CSK31</w:t>
                  </w:r>
                </w:p>
              </w:tc>
              <w:tc>
                <w:tcPr>
                  <w:tcW w:w="1145" w:type="pct"/>
                  <w:vAlign w:val="center"/>
                </w:tcPr>
                <w:p w14:paraId="531C5A4D">
                  <w:pPr>
                    <w:pStyle w:val="41"/>
                    <w:bidi w:val="0"/>
                    <w:jc w:val="center"/>
                    <w:rPr>
                      <w:rFonts w:hint="default"/>
                      <w:color w:val="auto"/>
                      <w:highlight w:val="none"/>
                      <w:lang w:val="en-US" w:eastAsia="zh-CN"/>
                    </w:rPr>
                  </w:pPr>
                  <w:r>
                    <w:rPr>
                      <w:color w:val="auto"/>
                      <w:highlight w:val="none"/>
                    </w:rPr>
                    <w:t>2</w:t>
                  </w:r>
                </w:p>
              </w:tc>
              <w:tc>
                <w:tcPr>
                  <w:tcW w:w="812" w:type="pct"/>
                  <w:vMerge w:val="continue"/>
                  <w:vAlign w:val="center"/>
                </w:tcPr>
                <w:p w14:paraId="0C32A670">
                  <w:pPr>
                    <w:pStyle w:val="41"/>
                    <w:bidi w:val="0"/>
                    <w:jc w:val="center"/>
                    <w:rPr>
                      <w:rFonts w:hint="default"/>
                      <w:color w:val="auto"/>
                      <w:highlight w:val="none"/>
                      <w:lang w:val="en-US" w:eastAsia="zh-CN"/>
                    </w:rPr>
                  </w:pPr>
                </w:p>
              </w:tc>
            </w:tr>
            <w:tr w14:paraId="4DCBE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8F47E0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4D752CC">
                  <w:pPr>
                    <w:pStyle w:val="41"/>
                    <w:bidi w:val="0"/>
                    <w:jc w:val="center"/>
                    <w:rPr>
                      <w:rFonts w:hint="default"/>
                      <w:color w:val="auto"/>
                      <w:highlight w:val="none"/>
                      <w:lang w:val="en-US" w:eastAsia="zh-CN"/>
                    </w:rPr>
                  </w:pPr>
                  <w:r>
                    <w:rPr>
                      <w:color w:val="auto"/>
                      <w:highlight w:val="none"/>
                    </w:rPr>
                    <w:t>冰箱</w:t>
                  </w:r>
                </w:p>
              </w:tc>
              <w:tc>
                <w:tcPr>
                  <w:tcW w:w="1330" w:type="pct"/>
                  <w:vAlign w:val="center"/>
                </w:tcPr>
                <w:p w14:paraId="39047EFB">
                  <w:pPr>
                    <w:pStyle w:val="41"/>
                    <w:bidi w:val="0"/>
                    <w:jc w:val="center"/>
                    <w:rPr>
                      <w:rFonts w:hint="default"/>
                      <w:color w:val="auto"/>
                      <w:highlight w:val="none"/>
                      <w:lang w:val="en-US" w:eastAsia="zh-CN"/>
                    </w:rPr>
                  </w:pPr>
                  <w:r>
                    <w:rPr>
                      <w:rFonts w:hint="eastAsia"/>
                      <w:color w:val="auto"/>
                      <w:highlight w:val="none"/>
                    </w:rPr>
                    <w:t>B</w:t>
                  </w:r>
                  <w:r>
                    <w:rPr>
                      <w:color w:val="auto"/>
                      <w:highlight w:val="none"/>
                    </w:rPr>
                    <w:t>CD-215STPD</w:t>
                  </w:r>
                </w:p>
              </w:tc>
              <w:tc>
                <w:tcPr>
                  <w:tcW w:w="1145" w:type="pct"/>
                  <w:vAlign w:val="center"/>
                </w:tcPr>
                <w:p w14:paraId="2098CAAE">
                  <w:pPr>
                    <w:pStyle w:val="41"/>
                    <w:bidi w:val="0"/>
                    <w:jc w:val="center"/>
                    <w:rPr>
                      <w:rFonts w:hint="default"/>
                      <w:color w:val="auto"/>
                      <w:highlight w:val="none"/>
                      <w:lang w:val="en-US" w:eastAsia="zh-CN"/>
                    </w:rPr>
                  </w:pPr>
                  <w:r>
                    <w:rPr>
                      <w:color w:val="auto"/>
                      <w:highlight w:val="none"/>
                    </w:rPr>
                    <w:t>2</w:t>
                  </w:r>
                </w:p>
              </w:tc>
              <w:tc>
                <w:tcPr>
                  <w:tcW w:w="812" w:type="pct"/>
                  <w:vMerge w:val="continue"/>
                  <w:vAlign w:val="center"/>
                </w:tcPr>
                <w:p w14:paraId="6F75F838">
                  <w:pPr>
                    <w:pStyle w:val="41"/>
                    <w:bidi w:val="0"/>
                    <w:jc w:val="center"/>
                    <w:rPr>
                      <w:rFonts w:hint="default"/>
                      <w:color w:val="auto"/>
                      <w:highlight w:val="none"/>
                      <w:lang w:val="en-US" w:eastAsia="zh-CN"/>
                    </w:rPr>
                  </w:pPr>
                </w:p>
              </w:tc>
            </w:tr>
            <w:tr w14:paraId="64282D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D98CA2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D17A9E4">
                  <w:pPr>
                    <w:pStyle w:val="41"/>
                    <w:bidi w:val="0"/>
                    <w:jc w:val="center"/>
                    <w:rPr>
                      <w:rFonts w:hint="default"/>
                      <w:color w:val="auto"/>
                      <w:highlight w:val="none"/>
                      <w:lang w:val="en-US" w:eastAsia="zh-CN"/>
                    </w:rPr>
                  </w:pPr>
                  <w:r>
                    <w:rPr>
                      <w:color w:val="auto"/>
                      <w:highlight w:val="none"/>
                    </w:rPr>
                    <w:t>大容积冰箱</w:t>
                  </w:r>
                </w:p>
              </w:tc>
              <w:tc>
                <w:tcPr>
                  <w:tcW w:w="1330" w:type="pct"/>
                  <w:vAlign w:val="center"/>
                </w:tcPr>
                <w:p w14:paraId="4B126FBC">
                  <w:pPr>
                    <w:pStyle w:val="41"/>
                    <w:bidi w:val="0"/>
                    <w:jc w:val="center"/>
                    <w:rPr>
                      <w:rFonts w:hint="default"/>
                      <w:color w:val="auto"/>
                      <w:highlight w:val="none"/>
                      <w:lang w:val="en-US" w:eastAsia="zh-CN"/>
                    </w:rPr>
                  </w:pPr>
                  <w:r>
                    <w:rPr>
                      <w:rFonts w:hint="eastAsia"/>
                      <w:color w:val="auto"/>
                      <w:highlight w:val="none"/>
                    </w:rPr>
                    <w:t>BCD-539WT</w:t>
                  </w:r>
                </w:p>
              </w:tc>
              <w:tc>
                <w:tcPr>
                  <w:tcW w:w="1145" w:type="pct"/>
                  <w:vAlign w:val="center"/>
                </w:tcPr>
                <w:p w14:paraId="07A4E2BA">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6D826CF0">
                  <w:pPr>
                    <w:pStyle w:val="41"/>
                    <w:bidi w:val="0"/>
                    <w:jc w:val="center"/>
                    <w:rPr>
                      <w:rFonts w:hint="default"/>
                      <w:color w:val="auto"/>
                      <w:highlight w:val="none"/>
                      <w:lang w:val="en-US" w:eastAsia="zh-CN"/>
                    </w:rPr>
                  </w:pPr>
                </w:p>
              </w:tc>
            </w:tr>
            <w:tr w14:paraId="034F4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D2C26D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75BE5C2">
                  <w:pPr>
                    <w:pStyle w:val="41"/>
                    <w:bidi w:val="0"/>
                    <w:jc w:val="center"/>
                    <w:rPr>
                      <w:rFonts w:hint="default"/>
                      <w:color w:val="auto"/>
                      <w:highlight w:val="none"/>
                      <w:lang w:val="en-US" w:eastAsia="zh-CN"/>
                    </w:rPr>
                  </w:pPr>
                  <w:r>
                    <w:rPr>
                      <w:rFonts w:hint="eastAsia"/>
                      <w:color w:val="auto"/>
                      <w:highlight w:val="none"/>
                    </w:rPr>
                    <w:t>数显</w:t>
                  </w:r>
                  <w:r>
                    <w:rPr>
                      <w:color w:val="auto"/>
                      <w:highlight w:val="none"/>
                    </w:rPr>
                    <w:t>摇床</w:t>
                  </w:r>
                </w:p>
              </w:tc>
              <w:tc>
                <w:tcPr>
                  <w:tcW w:w="1330" w:type="pct"/>
                  <w:vAlign w:val="center"/>
                </w:tcPr>
                <w:p w14:paraId="1727F9AB">
                  <w:pPr>
                    <w:pStyle w:val="41"/>
                    <w:bidi w:val="0"/>
                    <w:jc w:val="center"/>
                    <w:rPr>
                      <w:rFonts w:hint="default"/>
                      <w:color w:val="auto"/>
                      <w:highlight w:val="none"/>
                      <w:lang w:val="en-US" w:eastAsia="zh-CN"/>
                    </w:rPr>
                  </w:pPr>
                  <w:r>
                    <w:rPr>
                      <w:color w:val="auto"/>
                      <w:highlight w:val="none"/>
                    </w:rPr>
                    <w:t>HY-4</w:t>
                  </w:r>
                </w:p>
              </w:tc>
              <w:tc>
                <w:tcPr>
                  <w:tcW w:w="1145" w:type="pct"/>
                  <w:vAlign w:val="center"/>
                </w:tcPr>
                <w:p w14:paraId="003AC62B">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22C99973">
                  <w:pPr>
                    <w:pStyle w:val="41"/>
                    <w:bidi w:val="0"/>
                    <w:jc w:val="center"/>
                    <w:rPr>
                      <w:rFonts w:hint="default"/>
                      <w:color w:val="auto"/>
                      <w:highlight w:val="none"/>
                      <w:lang w:val="en-US" w:eastAsia="zh-CN"/>
                    </w:rPr>
                  </w:pPr>
                </w:p>
              </w:tc>
            </w:tr>
            <w:tr w14:paraId="50C2C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1BB859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3CF040B">
                  <w:pPr>
                    <w:pStyle w:val="41"/>
                    <w:bidi w:val="0"/>
                    <w:jc w:val="center"/>
                    <w:rPr>
                      <w:rFonts w:hint="default"/>
                      <w:color w:val="auto"/>
                      <w:highlight w:val="none"/>
                      <w:lang w:val="en-US" w:eastAsia="zh-CN"/>
                    </w:rPr>
                  </w:pPr>
                  <w:r>
                    <w:rPr>
                      <w:color w:val="auto"/>
                      <w:highlight w:val="none"/>
                    </w:rPr>
                    <w:t>细胞计数仪</w:t>
                  </w:r>
                </w:p>
              </w:tc>
              <w:tc>
                <w:tcPr>
                  <w:tcW w:w="1330" w:type="pct"/>
                  <w:vAlign w:val="center"/>
                </w:tcPr>
                <w:p w14:paraId="48741159">
                  <w:pPr>
                    <w:pStyle w:val="41"/>
                    <w:bidi w:val="0"/>
                    <w:jc w:val="center"/>
                    <w:rPr>
                      <w:rFonts w:hint="default"/>
                      <w:color w:val="auto"/>
                      <w:highlight w:val="none"/>
                      <w:lang w:val="en-US" w:eastAsia="zh-CN"/>
                    </w:rPr>
                  </w:pPr>
                  <w:r>
                    <w:rPr>
                      <w:color w:val="auto"/>
                      <w:highlight w:val="none"/>
                    </w:rPr>
                    <w:t>2185A16110633</w:t>
                  </w:r>
                </w:p>
              </w:tc>
              <w:tc>
                <w:tcPr>
                  <w:tcW w:w="1145" w:type="pct"/>
                  <w:vAlign w:val="center"/>
                </w:tcPr>
                <w:p w14:paraId="79F4376B">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4E29B57A">
                  <w:pPr>
                    <w:pStyle w:val="41"/>
                    <w:bidi w:val="0"/>
                    <w:jc w:val="center"/>
                    <w:rPr>
                      <w:rFonts w:hint="default"/>
                      <w:color w:val="auto"/>
                      <w:highlight w:val="none"/>
                      <w:lang w:val="en-US" w:eastAsia="zh-CN"/>
                    </w:rPr>
                  </w:pPr>
                </w:p>
              </w:tc>
            </w:tr>
            <w:tr w14:paraId="210E5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271769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06B20E9">
                  <w:pPr>
                    <w:pStyle w:val="41"/>
                    <w:bidi w:val="0"/>
                    <w:jc w:val="center"/>
                    <w:rPr>
                      <w:rFonts w:hint="default"/>
                      <w:color w:val="auto"/>
                      <w:highlight w:val="none"/>
                      <w:lang w:val="en-US" w:eastAsia="zh-CN"/>
                    </w:rPr>
                  </w:pPr>
                  <w:r>
                    <w:rPr>
                      <w:color w:val="auto"/>
                      <w:highlight w:val="none"/>
                    </w:rPr>
                    <w:t>细胞冻存液氮罐</w:t>
                  </w:r>
                </w:p>
              </w:tc>
              <w:tc>
                <w:tcPr>
                  <w:tcW w:w="1330" w:type="pct"/>
                  <w:vAlign w:val="center"/>
                </w:tcPr>
                <w:p w14:paraId="6BF2772B">
                  <w:pPr>
                    <w:pStyle w:val="41"/>
                    <w:bidi w:val="0"/>
                    <w:jc w:val="center"/>
                    <w:rPr>
                      <w:rFonts w:hint="default"/>
                      <w:color w:val="auto"/>
                      <w:highlight w:val="none"/>
                      <w:lang w:val="en-US" w:eastAsia="zh-CN"/>
                    </w:rPr>
                  </w:pPr>
                  <w:r>
                    <w:rPr>
                      <w:color w:val="auto"/>
                      <w:highlight w:val="none"/>
                    </w:rPr>
                    <w:t>YDS-35B-125</w:t>
                  </w:r>
                </w:p>
              </w:tc>
              <w:tc>
                <w:tcPr>
                  <w:tcW w:w="1145" w:type="pct"/>
                  <w:vAlign w:val="center"/>
                </w:tcPr>
                <w:p w14:paraId="7F51F007">
                  <w:pPr>
                    <w:pStyle w:val="41"/>
                    <w:bidi w:val="0"/>
                    <w:jc w:val="center"/>
                    <w:rPr>
                      <w:rFonts w:hint="default"/>
                      <w:color w:val="auto"/>
                      <w:highlight w:val="none"/>
                      <w:lang w:val="en-US" w:eastAsia="zh-CN"/>
                    </w:rPr>
                  </w:pPr>
                  <w:r>
                    <w:rPr>
                      <w:color w:val="auto"/>
                      <w:highlight w:val="none"/>
                    </w:rPr>
                    <w:t>2</w:t>
                  </w:r>
                </w:p>
              </w:tc>
              <w:tc>
                <w:tcPr>
                  <w:tcW w:w="812" w:type="pct"/>
                  <w:vMerge w:val="continue"/>
                  <w:vAlign w:val="center"/>
                </w:tcPr>
                <w:p w14:paraId="591FDEA0">
                  <w:pPr>
                    <w:pStyle w:val="41"/>
                    <w:bidi w:val="0"/>
                    <w:jc w:val="center"/>
                    <w:rPr>
                      <w:rFonts w:hint="default"/>
                      <w:color w:val="auto"/>
                      <w:highlight w:val="none"/>
                      <w:lang w:val="en-US" w:eastAsia="zh-CN"/>
                    </w:rPr>
                  </w:pPr>
                </w:p>
              </w:tc>
            </w:tr>
            <w:tr w14:paraId="39081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D82949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7D32F7F">
                  <w:pPr>
                    <w:pStyle w:val="41"/>
                    <w:bidi w:val="0"/>
                    <w:jc w:val="center"/>
                    <w:rPr>
                      <w:rFonts w:hint="default"/>
                      <w:color w:val="auto"/>
                      <w:highlight w:val="none"/>
                      <w:lang w:val="en-US" w:eastAsia="zh-CN"/>
                    </w:rPr>
                  </w:pPr>
                  <w:r>
                    <w:rPr>
                      <w:color w:val="auto"/>
                      <w:highlight w:val="none"/>
                    </w:rPr>
                    <w:t>气瓶柜</w:t>
                  </w:r>
                </w:p>
              </w:tc>
              <w:tc>
                <w:tcPr>
                  <w:tcW w:w="1330" w:type="pct"/>
                  <w:vAlign w:val="center"/>
                </w:tcPr>
                <w:p w14:paraId="1C7D7C5D">
                  <w:pPr>
                    <w:pStyle w:val="41"/>
                    <w:bidi w:val="0"/>
                    <w:jc w:val="center"/>
                    <w:rPr>
                      <w:rFonts w:hint="default"/>
                      <w:color w:val="auto"/>
                      <w:highlight w:val="none"/>
                      <w:lang w:val="en-US" w:eastAsia="zh-CN"/>
                    </w:rPr>
                  </w:pPr>
                  <w:r>
                    <w:rPr>
                      <w:color w:val="auto"/>
                      <w:highlight w:val="none"/>
                    </w:rPr>
                    <w:t>MQ-2 Comdustidle</w:t>
                  </w:r>
                </w:p>
              </w:tc>
              <w:tc>
                <w:tcPr>
                  <w:tcW w:w="1145" w:type="pct"/>
                  <w:vAlign w:val="center"/>
                </w:tcPr>
                <w:p w14:paraId="62D4DC7E">
                  <w:pPr>
                    <w:pStyle w:val="41"/>
                    <w:bidi w:val="0"/>
                    <w:jc w:val="center"/>
                    <w:rPr>
                      <w:rFonts w:hint="default"/>
                      <w:color w:val="auto"/>
                      <w:highlight w:val="none"/>
                      <w:lang w:val="en-US" w:eastAsia="zh-CN"/>
                    </w:rPr>
                  </w:pPr>
                  <w:r>
                    <w:rPr>
                      <w:color w:val="auto"/>
                      <w:highlight w:val="none"/>
                    </w:rPr>
                    <w:t>4</w:t>
                  </w:r>
                </w:p>
              </w:tc>
              <w:tc>
                <w:tcPr>
                  <w:tcW w:w="812" w:type="pct"/>
                  <w:vMerge w:val="continue"/>
                  <w:vAlign w:val="center"/>
                </w:tcPr>
                <w:p w14:paraId="06BE8D5C">
                  <w:pPr>
                    <w:pStyle w:val="41"/>
                    <w:bidi w:val="0"/>
                    <w:jc w:val="center"/>
                    <w:rPr>
                      <w:rFonts w:hint="default"/>
                      <w:color w:val="auto"/>
                      <w:highlight w:val="none"/>
                      <w:lang w:val="en-US" w:eastAsia="zh-CN"/>
                    </w:rPr>
                  </w:pPr>
                </w:p>
              </w:tc>
            </w:tr>
            <w:tr w14:paraId="4FE01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D4DA88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3EBD94D">
                  <w:pPr>
                    <w:pStyle w:val="41"/>
                    <w:bidi w:val="0"/>
                    <w:jc w:val="center"/>
                    <w:rPr>
                      <w:rFonts w:hint="default"/>
                      <w:color w:val="auto"/>
                      <w:highlight w:val="none"/>
                      <w:lang w:val="en-US" w:eastAsia="zh-CN"/>
                    </w:rPr>
                  </w:pPr>
                  <w:r>
                    <w:rPr>
                      <w:color w:val="auto"/>
                      <w:highlight w:val="none"/>
                    </w:rPr>
                    <w:t>高分辨</w:t>
                  </w:r>
                  <w:r>
                    <w:rPr>
                      <w:rFonts w:hint="eastAsia"/>
                      <w:color w:val="auto"/>
                      <w:highlight w:val="none"/>
                    </w:rPr>
                    <w:t>串联</w:t>
                  </w:r>
                  <w:r>
                    <w:rPr>
                      <w:rFonts w:hint="eastAsia"/>
                      <w:color w:val="auto"/>
                      <w:highlight w:val="none"/>
                      <w:lang w:eastAsia="zh-CN"/>
                    </w:rPr>
                    <w:t>质谱仪</w:t>
                  </w:r>
                  <w:r>
                    <w:rPr>
                      <w:color w:val="auto"/>
                      <w:highlight w:val="none"/>
                    </w:rPr>
                    <w:t>（大分子）</w:t>
                  </w:r>
                </w:p>
              </w:tc>
              <w:tc>
                <w:tcPr>
                  <w:tcW w:w="1330" w:type="pct"/>
                  <w:vAlign w:val="center"/>
                </w:tcPr>
                <w:p w14:paraId="0F8DD1D1">
                  <w:pPr>
                    <w:pStyle w:val="41"/>
                    <w:bidi w:val="0"/>
                    <w:jc w:val="center"/>
                    <w:rPr>
                      <w:rFonts w:hint="default"/>
                      <w:color w:val="auto"/>
                      <w:highlight w:val="none"/>
                      <w:lang w:val="en-US" w:eastAsia="zh-CN"/>
                    </w:rPr>
                  </w:pPr>
                  <w:r>
                    <w:rPr>
                      <w:rFonts w:hint="eastAsia"/>
                      <w:color w:val="auto"/>
                      <w:highlight w:val="none"/>
                    </w:rPr>
                    <w:t>Thermo</w:t>
                  </w:r>
                  <w:r>
                    <w:rPr>
                      <w:color w:val="auto"/>
                      <w:highlight w:val="none"/>
                    </w:rPr>
                    <w:t xml:space="preserve"> </w:t>
                  </w:r>
                  <w:r>
                    <w:rPr>
                      <w:rFonts w:hint="eastAsia"/>
                      <w:color w:val="auto"/>
                      <w:highlight w:val="none"/>
                    </w:rPr>
                    <w:t>4</w:t>
                  </w:r>
                  <w:r>
                    <w:rPr>
                      <w:color w:val="auto"/>
                      <w:highlight w:val="none"/>
                    </w:rPr>
                    <w:t>80</w:t>
                  </w:r>
                </w:p>
              </w:tc>
              <w:tc>
                <w:tcPr>
                  <w:tcW w:w="1145" w:type="pct"/>
                  <w:vAlign w:val="center"/>
                </w:tcPr>
                <w:p w14:paraId="0801BD80">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630C7F42">
                  <w:pPr>
                    <w:pStyle w:val="41"/>
                    <w:bidi w:val="0"/>
                    <w:jc w:val="center"/>
                    <w:rPr>
                      <w:rFonts w:hint="default"/>
                      <w:color w:val="auto"/>
                      <w:highlight w:val="none"/>
                      <w:lang w:val="en-US" w:eastAsia="zh-CN"/>
                    </w:rPr>
                  </w:pPr>
                </w:p>
              </w:tc>
            </w:tr>
            <w:tr w14:paraId="318D4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7C47D3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2C57B79">
                  <w:pPr>
                    <w:pStyle w:val="41"/>
                    <w:bidi w:val="0"/>
                    <w:jc w:val="center"/>
                    <w:rPr>
                      <w:rFonts w:hint="default"/>
                      <w:color w:val="auto"/>
                      <w:highlight w:val="none"/>
                      <w:lang w:val="en-US" w:eastAsia="zh-CN"/>
                    </w:rPr>
                  </w:pPr>
                  <w:r>
                    <w:rPr>
                      <w:color w:val="auto"/>
                      <w:highlight w:val="none"/>
                    </w:rPr>
                    <w:t>三重四极杆</w:t>
                  </w:r>
                  <w:r>
                    <w:rPr>
                      <w:rFonts w:hint="eastAsia"/>
                      <w:color w:val="auto"/>
                      <w:highlight w:val="none"/>
                    </w:rPr>
                    <w:t>串联质谱</w:t>
                  </w:r>
                  <w:r>
                    <w:rPr>
                      <w:color w:val="auto"/>
                      <w:highlight w:val="none"/>
                    </w:rPr>
                    <w:t>仪</w:t>
                  </w:r>
                </w:p>
              </w:tc>
              <w:tc>
                <w:tcPr>
                  <w:tcW w:w="1330" w:type="pct"/>
                  <w:vAlign w:val="center"/>
                </w:tcPr>
                <w:p w14:paraId="27293A6A">
                  <w:pPr>
                    <w:pStyle w:val="41"/>
                    <w:bidi w:val="0"/>
                    <w:jc w:val="center"/>
                    <w:rPr>
                      <w:rFonts w:hint="default"/>
                      <w:color w:val="auto"/>
                      <w:highlight w:val="none"/>
                      <w:lang w:val="en-US" w:eastAsia="zh-CN"/>
                    </w:rPr>
                  </w:pPr>
                  <w:r>
                    <w:rPr>
                      <w:rFonts w:hint="eastAsia"/>
                      <w:color w:val="auto"/>
                      <w:highlight w:val="none"/>
                    </w:rPr>
                    <w:t>AB6</w:t>
                  </w:r>
                  <w:r>
                    <w:rPr>
                      <w:color w:val="auto"/>
                      <w:highlight w:val="none"/>
                    </w:rPr>
                    <w:t>500</w:t>
                  </w:r>
                </w:p>
              </w:tc>
              <w:tc>
                <w:tcPr>
                  <w:tcW w:w="1145" w:type="pct"/>
                  <w:vAlign w:val="center"/>
                </w:tcPr>
                <w:p w14:paraId="64B857B9">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07286438">
                  <w:pPr>
                    <w:pStyle w:val="41"/>
                    <w:bidi w:val="0"/>
                    <w:jc w:val="center"/>
                    <w:rPr>
                      <w:rFonts w:hint="default"/>
                      <w:color w:val="auto"/>
                      <w:highlight w:val="none"/>
                      <w:lang w:val="en-US" w:eastAsia="zh-CN"/>
                    </w:rPr>
                  </w:pPr>
                </w:p>
              </w:tc>
            </w:tr>
            <w:tr w14:paraId="1638E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D375B6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D51BB56">
                  <w:pPr>
                    <w:pStyle w:val="41"/>
                    <w:bidi w:val="0"/>
                    <w:jc w:val="center"/>
                    <w:rPr>
                      <w:rFonts w:hint="default"/>
                      <w:color w:val="auto"/>
                      <w:highlight w:val="none"/>
                      <w:lang w:val="en-US" w:eastAsia="zh-CN"/>
                    </w:rPr>
                  </w:pPr>
                  <w:r>
                    <w:rPr>
                      <w:color w:val="auto"/>
                      <w:highlight w:val="none"/>
                    </w:rPr>
                    <w:t>三重四极杆气质联用仪GCMSMS</w:t>
                  </w:r>
                </w:p>
              </w:tc>
              <w:tc>
                <w:tcPr>
                  <w:tcW w:w="1330" w:type="pct"/>
                  <w:vAlign w:val="center"/>
                </w:tcPr>
                <w:p w14:paraId="08B56177">
                  <w:pPr>
                    <w:pStyle w:val="41"/>
                    <w:bidi w:val="0"/>
                    <w:jc w:val="center"/>
                    <w:rPr>
                      <w:rFonts w:hint="default"/>
                      <w:color w:val="auto"/>
                      <w:highlight w:val="none"/>
                      <w:lang w:val="en-US" w:eastAsia="zh-CN"/>
                    </w:rPr>
                  </w:pPr>
                  <w:r>
                    <w:rPr>
                      <w:rFonts w:hint="eastAsia"/>
                      <w:color w:val="auto"/>
                      <w:highlight w:val="none"/>
                    </w:rPr>
                    <w:t>TQ</w:t>
                  </w:r>
                  <w:r>
                    <w:rPr>
                      <w:color w:val="auto"/>
                      <w:highlight w:val="none"/>
                    </w:rPr>
                    <w:t>8040NX</w:t>
                  </w:r>
                </w:p>
              </w:tc>
              <w:tc>
                <w:tcPr>
                  <w:tcW w:w="1145" w:type="pct"/>
                  <w:vAlign w:val="center"/>
                </w:tcPr>
                <w:p w14:paraId="5A8BA618">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28DDB8E">
                  <w:pPr>
                    <w:pStyle w:val="41"/>
                    <w:bidi w:val="0"/>
                    <w:jc w:val="center"/>
                    <w:rPr>
                      <w:rFonts w:hint="default"/>
                      <w:color w:val="auto"/>
                      <w:highlight w:val="none"/>
                      <w:lang w:val="en-US" w:eastAsia="zh-CN"/>
                    </w:rPr>
                  </w:pPr>
                </w:p>
              </w:tc>
            </w:tr>
            <w:tr w14:paraId="5062E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38C113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ECD2602">
                  <w:pPr>
                    <w:pStyle w:val="41"/>
                    <w:bidi w:val="0"/>
                    <w:jc w:val="center"/>
                    <w:rPr>
                      <w:rFonts w:hint="default"/>
                      <w:color w:val="auto"/>
                      <w:highlight w:val="none"/>
                      <w:lang w:val="en-US" w:eastAsia="zh-CN"/>
                    </w:rPr>
                  </w:pPr>
                  <w:r>
                    <w:rPr>
                      <w:color w:val="auto"/>
                      <w:highlight w:val="none"/>
                    </w:rPr>
                    <w:t>PEAKS Studio （蛋白组）</w:t>
                  </w:r>
                </w:p>
              </w:tc>
              <w:tc>
                <w:tcPr>
                  <w:tcW w:w="1330" w:type="pct"/>
                  <w:vAlign w:val="center"/>
                </w:tcPr>
                <w:p w14:paraId="444FAE7C">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58A416E0">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463AAFAF">
                  <w:pPr>
                    <w:pStyle w:val="41"/>
                    <w:bidi w:val="0"/>
                    <w:jc w:val="center"/>
                    <w:rPr>
                      <w:rFonts w:hint="default"/>
                      <w:color w:val="auto"/>
                      <w:highlight w:val="none"/>
                      <w:lang w:val="en-US" w:eastAsia="zh-CN"/>
                    </w:rPr>
                  </w:pPr>
                </w:p>
              </w:tc>
            </w:tr>
            <w:tr w14:paraId="4C343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695E39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EAC765F">
                  <w:pPr>
                    <w:pStyle w:val="41"/>
                    <w:bidi w:val="0"/>
                    <w:jc w:val="center"/>
                    <w:rPr>
                      <w:rFonts w:hint="default"/>
                      <w:color w:val="auto"/>
                      <w:highlight w:val="none"/>
                      <w:lang w:val="en-US" w:eastAsia="zh-CN"/>
                    </w:rPr>
                  </w:pPr>
                  <w:r>
                    <w:rPr>
                      <w:color w:val="auto"/>
                      <w:highlight w:val="none"/>
                    </w:rPr>
                    <w:t>氮气发生器</w:t>
                  </w:r>
                </w:p>
              </w:tc>
              <w:tc>
                <w:tcPr>
                  <w:tcW w:w="1330" w:type="pct"/>
                  <w:vAlign w:val="center"/>
                </w:tcPr>
                <w:p w14:paraId="5942612F">
                  <w:pPr>
                    <w:pStyle w:val="41"/>
                    <w:bidi w:val="0"/>
                    <w:jc w:val="center"/>
                    <w:rPr>
                      <w:rFonts w:hint="default"/>
                      <w:color w:val="auto"/>
                      <w:highlight w:val="none"/>
                      <w:lang w:val="en-US" w:eastAsia="zh-CN"/>
                    </w:rPr>
                  </w:pPr>
                  <w:r>
                    <w:rPr>
                      <w:color w:val="auto"/>
                      <w:highlight w:val="none"/>
                    </w:rPr>
                    <w:t>PEAK ABN2ZA</w:t>
                  </w:r>
                </w:p>
              </w:tc>
              <w:tc>
                <w:tcPr>
                  <w:tcW w:w="1145" w:type="pct"/>
                  <w:vAlign w:val="center"/>
                </w:tcPr>
                <w:p w14:paraId="387C85B7">
                  <w:pPr>
                    <w:pStyle w:val="41"/>
                    <w:bidi w:val="0"/>
                    <w:jc w:val="center"/>
                    <w:rPr>
                      <w:rFonts w:hint="default"/>
                      <w:color w:val="auto"/>
                      <w:highlight w:val="none"/>
                      <w:lang w:val="en-US" w:eastAsia="zh-CN"/>
                    </w:rPr>
                  </w:pPr>
                  <w:r>
                    <w:rPr>
                      <w:color w:val="auto"/>
                      <w:highlight w:val="none"/>
                    </w:rPr>
                    <w:t>2</w:t>
                  </w:r>
                </w:p>
              </w:tc>
              <w:tc>
                <w:tcPr>
                  <w:tcW w:w="812" w:type="pct"/>
                  <w:vMerge w:val="continue"/>
                  <w:vAlign w:val="center"/>
                </w:tcPr>
                <w:p w14:paraId="7EB5455C">
                  <w:pPr>
                    <w:pStyle w:val="41"/>
                    <w:bidi w:val="0"/>
                    <w:jc w:val="center"/>
                    <w:rPr>
                      <w:rFonts w:hint="default"/>
                      <w:color w:val="auto"/>
                      <w:highlight w:val="none"/>
                      <w:lang w:val="en-US" w:eastAsia="zh-CN"/>
                    </w:rPr>
                  </w:pPr>
                </w:p>
              </w:tc>
            </w:tr>
            <w:tr w14:paraId="4F930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53B010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A7380E0">
                  <w:pPr>
                    <w:pStyle w:val="41"/>
                    <w:bidi w:val="0"/>
                    <w:jc w:val="center"/>
                    <w:rPr>
                      <w:rFonts w:hint="default"/>
                      <w:color w:val="auto"/>
                      <w:highlight w:val="none"/>
                      <w:lang w:val="en-US" w:eastAsia="zh-CN"/>
                    </w:rPr>
                  </w:pPr>
                  <w:r>
                    <w:rPr>
                      <w:color w:val="auto"/>
                      <w:highlight w:val="none"/>
                    </w:rPr>
                    <w:t>凝胶扫描成像仪</w:t>
                  </w:r>
                </w:p>
              </w:tc>
              <w:tc>
                <w:tcPr>
                  <w:tcW w:w="1330" w:type="pct"/>
                  <w:vAlign w:val="center"/>
                </w:tcPr>
                <w:p w14:paraId="736429EF">
                  <w:pPr>
                    <w:pStyle w:val="41"/>
                    <w:bidi w:val="0"/>
                    <w:jc w:val="center"/>
                    <w:rPr>
                      <w:rFonts w:hint="default"/>
                      <w:color w:val="auto"/>
                      <w:highlight w:val="none"/>
                      <w:lang w:val="en-US" w:eastAsia="zh-CN"/>
                    </w:rPr>
                  </w:pPr>
                  <w:r>
                    <w:rPr>
                      <w:color w:val="auto"/>
                      <w:highlight w:val="none"/>
                    </w:rPr>
                    <w:t>Chemi Doc XRS+</w:t>
                  </w:r>
                </w:p>
              </w:tc>
              <w:tc>
                <w:tcPr>
                  <w:tcW w:w="1145" w:type="pct"/>
                  <w:vAlign w:val="center"/>
                </w:tcPr>
                <w:p w14:paraId="671605D6">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252DB0EB">
                  <w:pPr>
                    <w:pStyle w:val="41"/>
                    <w:bidi w:val="0"/>
                    <w:jc w:val="center"/>
                    <w:rPr>
                      <w:rFonts w:hint="default"/>
                      <w:color w:val="auto"/>
                      <w:highlight w:val="none"/>
                      <w:lang w:val="en-US" w:eastAsia="zh-CN"/>
                    </w:rPr>
                  </w:pPr>
                </w:p>
              </w:tc>
            </w:tr>
            <w:tr w14:paraId="76A7A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5DE2DA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6B90154">
                  <w:pPr>
                    <w:pStyle w:val="41"/>
                    <w:bidi w:val="0"/>
                    <w:jc w:val="center"/>
                    <w:rPr>
                      <w:rFonts w:hint="default"/>
                      <w:color w:val="auto"/>
                      <w:highlight w:val="none"/>
                      <w:lang w:val="en-US" w:eastAsia="zh-CN"/>
                    </w:rPr>
                  </w:pPr>
                  <w:r>
                    <w:rPr>
                      <w:color w:val="auto"/>
                      <w:highlight w:val="none"/>
                    </w:rPr>
                    <w:t>Metlin数据库更新</w:t>
                  </w:r>
                </w:p>
              </w:tc>
              <w:tc>
                <w:tcPr>
                  <w:tcW w:w="1330" w:type="pct"/>
                  <w:vAlign w:val="center"/>
                </w:tcPr>
                <w:p w14:paraId="25B11ECA">
                  <w:pPr>
                    <w:pStyle w:val="41"/>
                    <w:bidi w:val="0"/>
                    <w:jc w:val="center"/>
                    <w:rPr>
                      <w:rFonts w:hint="default"/>
                      <w:color w:val="auto"/>
                      <w:highlight w:val="none"/>
                      <w:lang w:val="en-US" w:eastAsia="zh-CN"/>
                    </w:rPr>
                  </w:pPr>
                  <w:r>
                    <w:rPr>
                      <w:rFonts w:hint="eastAsia"/>
                      <w:color w:val="auto"/>
                      <w:highlight w:val="none"/>
                    </w:rPr>
                    <w:t>A</w:t>
                  </w:r>
                  <w:r>
                    <w:rPr>
                      <w:color w:val="auto"/>
                      <w:highlight w:val="none"/>
                    </w:rPr>
                    <w:t>gilent</w:t>
                  </w:r>
                </w:p>
              </w:tc>
              <w:tc>
                <w:tcPr>
                  <w:tcW w:w="1145" w:type="pct"/>
                  <w:vAlign w:val="center"/>
                </w:tcPr>
                <w:p w14:paraId="230F6B4A">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0AE33F8E">
                  <w:pPr>
                    <w:pStyle w:val="41"/>
                    <w:bidi w:val="0"/>
                    <w:jc w:val="center"/>
                    <w:rPr>
                      <w:rFonts w:hint="default"/>
                      <w:color w:val="auto"/>
                      <w:highlight w:val="none"/>
                      <w:lang w:val="en-US" w:eastAsia="zh-CN"/>
                    </w:rPr>
                  </w:pPr>
                </w:p>
              </w:tc>
            </w:tr>
            <w:tr w14:paraId="635C7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D98810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F820195">
                  <w:pPr>
                    <w:pStyle w:val="41"/>
                    <w:bidi w:val="0"/>
                    <w:jc w:val="center"/>
                    <w:rPr>
                      <w:rFonts w:hint="default"/>
                      <w:color w:val="auto"/>
                      <w:highlight w:val="none"/>
                      <w:lang w:val="en-US" w:eastAsia="zh-CN"/>
                    </w:rPr>
                  </w:pPr>
                  <w:r>
                    <w:rPr>
                      <w:color w:val="auto"/>
                      <w:highlight w:val="none"/>
                    </w:rPr>
                    <w:t>单细胞自动制备系统</w:t>
                  </w:r>
                </w:p>
              </w:tc>
              <w:tc>
                <w:tcPr>
                  <w:tcW w:w="1330" w:type="pct"/>
                  <w:vAlign w:val="center"/>
                </w:tcPr>
                <w:p w14:paraId="6DB2A8BA">
                  <w:pPr>
                    <w:pStyle w:val="41"/>
                    <w:bidi w:val="0"/>
                    <w:jc w:val="center"/>
                    <w:rPr>
                      <w:rFonts w:hint="default"/>
                      <w:color w:val="auto"/>
                      <w:highlight w:val="none"/>
                      <w:lang w:val="en-US" w:eastAsia="zh-CN"/>
                    </w:rPr>
                  </w:pPr>
                  <w:r>
                    <w:rPr>
                      <w:color w:val="auto"/>
                      <w:highlight w:val="none"/>
                    </w:rPr>
                    <w:t>Chromium Controller</w:t>
                  </w:r>
                </w:p>
              </w:tc>
              <w:tc>
                <w:tcPr>
                  <w:tcW w:w="1145" w:type="pct"/>
                  <w:vAlign w:val="center"/>
                </w:tcPr>
                <w:p w14:paraId="0DC05359">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63ED30C7">
                  <w:pPr>
                    <w:pStyle w:val="41"/>
                    <w:bidi w:val="0"/>
                    <w:jc w:val="center"/>
                    <w:rPr>
                      <w:rFonts w:hint="default"/>
                      <w:color w:val="auto"/>
                      <w:highlight w:val="none"/>
                      <w:lang w:val="en-US" w:eastAsia="zh-CN"/>
                    </w:rPr>
                  </w:pPr>
                </w:p>
              </w:tc>
            </w:tr>
            <w:tr w14:paraId="5FDF4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FE54FF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91590EF">
                  <w:pPr>
                    <w:pStyle w:val="41"/>
                    <w:bidi w:val="0"/>
                    <w:jc w:val="center"/>
                    <w:rPr>
                      <w:rFonts w:hint="default"/>
                      <w:color w:val="auto"/>
                      <w:highlight w:val="none"/>
                      <w:lang w:val="en-US" w:eastAsia="zh-CN"/>
                    </w:rPr>
                  </w:pPr>
                  <w:r>
                    <w:rPr>
                      <w:color w:val="auto"/>
                      <w:highlight w:val="none"/>
                    </w:rPr>
                    <w:t>Hamilton自动化移液工作站 STAR系列</w:t>
                  </w:r>
                </w:p>
              </w:tc>
              <w:tc>
                <w:tcPr>
                  <w:tcW w:w="1330" w:type="pct"/>
                  <w:vAlign w:val="center"/>
                </w:tcPr>
                <w:p w14:paraId="39441DDE">
                  <w:pPr>
                    <w:pStyle w:val="41"/>
                    <w:bidi w:val="0"/>
                    <w:jc w:val="center"/>
                    <w:rPr>
                      <w:rFonts w:hint="default"/>
                      <w:color w:val="auto"/>
                      <w:highlight w:val="none"/>
                      <w:lang w:val="en-US" w:eastAsia="zh-CN"/>
                    </w:rPr>
                  </w:pPr>
                  <w:r>
                    <w:rPr>
                      <w:color w:val="auto"/>
                      <w:highlight w:val="none"/>
                    </w:rPr>
                    <w:t>STAR系列</w:t>
                  </w:r>
                </w:p>
              </w:tc>
              <w:tc>
                <w:tcPr>
                  <w:tcW w:w="1145" w:type="pct"/>
                  <w:vAlign w:val="center"/>
                </w:tcPr>
                <w:p w14:paraId="3EFA816E">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69FEFB8E">
                  <w:pPr>
                    <w:pStyle w:val="41"/>
                    <w:bidi w:val="0"/>
                    <w:jc w:val="center"/>
                    <w:rPr>
                      <w:rFonts w:hint="default"/>
                      <w:color w:val="auto"/>
                      <w:highlight w:val="none"/>
                      <w:lang w:val="en-US" w:eastAsia="zh-CN"/>
                    </w:rPr>
                  </w:pPr>
                </w:p>
              </w:tc>
            </w:tr>
            <w:tr w14:paraId="38453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DFB1AC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B9948BB">
                  <w:pPr>
                    <w:pStyle w:val="41"/>
                    <w:bidi w:val="0"/>
                    <w:jc w:val="center"/>
                    <w:rPr>
                      <w:rFonts w:hint="default"/>
                      <w:color w:val="auto"/>
                      <w:highlight w:val="none"/>
                      <w:lang w:val="en-US" w:eastAsia="zh-CN"/>
                    </w:rPr>
                  </w:pPr>
                  <w:r>
                    <w:rPr>
                      <w:color w:val="auto"/>
                      <w:highlight w:val="none"/>
                    </w:rPr>
                    <w:t>冰冻切片机</w:t>
                  </w:r>
                </w:p>
              </w:tc>
              <w:tc>
                <w:tcPr>
                  <w:tcW w:w="1330" w:type="pct"/>
                  <w:vAlign w:val="center"/>
                </w:tcPr>
                <w:p w14:paraId="4D0C48C2">
                  <w:pPr>
                    <w:pStyle w:val="41"/>
                    <w:bidi w:val="0"/>
                    <w:jc w:val="center"/>
                    <w:rPr>
                      <w:rFonts w:hint="default"/>
                      <w:color w:val="auto"/>
                      <w:highlight w:val="none"/>
                      <w:lang w:val="en-US" w:eastAsia="zh-CN"/>
                    </w:rPr>
                  </w:pPr>
                  <w:r>
                    <w:rPr>
                      <w:color w:val="auto"/>
                      <w:highlight w:val="none"/>
                    </w:rPr>
                    <w:t>CM1950</w:t>
                  </w:r>
                </w:p>
              </w:tc>
              <w:tc>
                <w:tcPr>
                  <w:tcW w:w="1145" w:type="pct"/>
                  <w:vAlign w:val="center"/>
                </w:tcPr>
                <w:p w14:paraId="41B29321">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2A87AC93">
                  <w:pPr>
                    <w:pStyle w:val="41"/>
                    <w:bidi w:val="0"/>
                    <w:jc w:val="center"/>
                    <w:rPr>
                      <w:rFonts w:hint="default"/>
                      <w:color w:val="auto"/>
                      <w:highlight w:val="none"/>
                      <w:lang w:val="en-US" w:eastAsia="zh-CN"/>
                    </w:rPr>
                  </w:pPr>
                </w:p>
              </w:tc>
            </w:tr>
            <w:tr w14:paraId="1B757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037677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324F2DB">
                  <w:pPr>
                    <w:pStyle w:val="41"/>
                    <w:bidi w:val="0"/>
                    <w:jc w:val="center"/>
                    <w:rPr>
                      <w:rFonts w:hint="default"/>
                      <w:color w:val="auto"/>
                      <w:highlight w:val="none"/>
                      <w:lang w:val="en-US" w:eastAsia="zh-CN"/>
                    </w:rPr>
                  </w:pPr>
                  <w:r>
                    <w:rPr>
                      <w:color w:val="auto"/>
                      <w:highlight w:val="none"/>
                    </w:rPr>
                    <w:t>玻片扫描系统</w:t>
                  </w:r>
                </w:p>
              </w:tc>
              <w:tc>
                <w:tcPr>
                  <w:tcW w:w="1330" w:type="pct"/>
                  <w:vAlign w:val="center"/>
                </w:tcPr>
                <w:p w14:paraId="1D8F342A">
                  <w:pPr>
                    <w:pStyle w:val="41"/>
                    <w:bidi w:val="0"/>
                    <w:jc w:val="center"/>
                    <w:rPr>
                      <w:rFonts w:hint="default"/>
                      <w:color w:val="auto"/>
                      <w:highlight w:val="none"/>
                      <w:lang w:val="en-US" w:eastAsia="zh-CN"/>
                    </w:rPr>
                  </w:pPr>
                  <w:r>
                    <w:rPr>
                      <w:color w:val="auto"/>
                      <w:highlight w:val="none"/>
                    </w:rPr>
                    <w:t>VS200（210片</w:t>
                  </w:r>
                  <w:r>
                    <w:rPr>
                      <w:rFonts w:hint="eastAsia"/>
                      <w:color w:val="auto"/>
                      <w:highlight w:val="none"/>
                      <w:lang w:eastAsia="zh-CN"/>
                    </w:rPr>
                    <w:t>）</w:t>
                  </w:r>
                </w:p>
              </w:tc>
              <w:tc>
                <w:tcPr>
                  <w:tcW w:w="1145" w:type="pct"/>
                  <w:vAlign w:val="center"/>
                </w:tcPr>
                <w:p w14:paraId="4287835B">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035502F">
                  <w:pPr>
                    <w:pStyle w:val="41"/>
                    <w:bidi w:val="0"/>
                    <w:jc w:val="center"/>
                    <w:rPr>
                      <w:rFonts w:hint="default"/>
                      <w:color w:val="auto"/>
                      <w:highlight w:val="none"/>
                      <w:lang w:val="en-US" w:eastAsia="zh-CN"/>
                    </w:rPr>
                  </w:pPr>
                </w:p>
              </w:tc>
            </w:tr>
            <w:tr w14:paraId="529C7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F3659A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D7E1119">
                  <w:pPr>
                    <w:pStyle w:val="41"/>
                    <w:bidi w:val="0"/>
                    <w:jc w:val="center"/>
                    <w:rPr>
                      <w:rFonts w:hint="default"/>
                      <w:color w:val="auto"/>
                      <w:highlight w:val="none"/>
                      <w:lang w:val="en-US" w:eastAsia="zh-CN"/>
                    </w:rPr>
                  </w:pPr>
                  <w:r>
                    <w:rPr>
                      <w:color w:val="auto"/>
                      <w:highlight w:val="none"/>
                    </w:rPr>
                    <w:t>基因分析仪/毛细管电泳系统</w:t>
                  </w:r>
                </w:p>
              </w:tc>
              <w:tc>
                <w:tcPr>
                  <w:tcW w:w="1330" w:type="pct"/>
                  <w:vAlign w:val="center"/>
                </w:tcPr>
                <w:p w14:paraId="565F99EB">
                  <w:pPr>
                    <w:pStyle w:val="41"/>
                    <w:bidi w:val="0"/>
                    <w:jc w:val="center"/>
                    <w:rPr>
                      <w:rFonts w:hint="default"/>
                      <w:color w:val="auto"/>
                      <w:highlight w:val="none"/>
                      <w:lang w:val="en-US" w:eastAsia="zh-CN"/>
                    </w:rPr>
                  </w:pPr>
                  <w:r>
                    <w:rPr>
                      <w:color w:val="auto"/>
                      <w:highlight w:val="none"/>
                    </w:rPr>
                    <w:t>SeqStudio</w:t>
                  </w:r>
                </w:p>
              </w:tc>
              <w:tc>
                <w:tcPr>
                  <w:tcW w:w="1145" w:type="pct"/>
                  <w:vAlign w:val="center"/>
                </w:tcPr>
                <w:p w14:paraId="09B9847C">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073D573A">
                  <w:pPr>
                    <w:pStyle w:val="41"/>
                    <w:bidi w:val="0"/>
                    <w:jc w:val="center"/>
                    <w:rPr>
                      <w:rFonts w:hint="default"/>
                      <w:color w:val="auto"/>
                      <w:highlight w:val="none"/>
                      <w:lang w:val="en-US" w:eastAsia="zh-CN"/>
                    </w:rPr>
                  </w:pPr>
                </w:p>
              </w:tc>
            </w:tr>
            <w:tr w14:paraId="6DBD2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85FBC4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BDB4FE6">
                  <w:pPr>
                    <w:pStyle w:val="41"/>
                    <w:bidi w:val="0"/>
                    <w:jc w:val="center"/>
                    <w:rPr>
                      <w:rFonts w:hint="default"/>
                      <w:color w:val="auto"/>
                      <w:highlight w:val="none"/>
                      <w:lang w:val="en-US" w:eastAsia="zh-CN"/>
                    </w:rPr>
                  </w:pPr>
                  <w:r>
                    <w:rPr>
                      <w:color w:val="auto"/>
                      <w:highlight w:val="none"/>
                    </w:rPr>
                    <w:t>荧光实时定量PCR仪</w:t>
                  </w:r>
                </w:p>
              </w:tc>
              <w:tc>
                <w:tcPr>
                  <w:tcW w:w="1330" w:type="pct"/>
                  <w:vAlign w:val="center"/>
                </w:tcPr>
                <w:p w14:paraId="6505D7D4">
                  <w:pPr>
                    <w:pStyle w:val="41"/>
                    <w:bidi w:val="0"/>
                    <w:jc w:val="center"/>
                    <w:rPr>
                      <w:rFonts w:hint="default"/>
                      <w:color w:val="auto"/>
                      <w:highlight w:val="none"/>
                      <w:lang w:val="en-US" w:eastAsia="zh-CN"/>
                    </w:rPr>
                  </w:pPr>
                  <w:r>
                    <w:rPr>
                      <w:color w:val="auto"/>
                      <w:highlight w:val="none"/>
                    </w:rPr>
                    <w:t>ABI 7500</w:t>
                  </w:r>
                </w:p>
              </w:tc>
              <w:tc>
                <w:tcPr>
                  <w:tcW w:w="1145" w:type="pct"/>
                  <w:vAlign w:val="center"/>
                </w:tcPr>
                <w:p w14:paraId="72D0F20D">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DA760ED">
                  <w:pPr>
                    <w:pStyle w:val="41"/>
                    <w:bidi w:val="0"/>
                    <w:jc w:val="center"/>
                    <w:rPr>
                      <w:rFonts w:hint="default"/>
                      <w:color w:val="auto"/>
                      <w:highlight w:val="none"/>
                      <w:lang w:val="en-US" w:eastAsia="zh-CN"/>
                    </w:rPr>
                  </w:pPr>
                </w:p>
              </w:tc>
            </w:tr>
            <w:tr w14:paraId="52E01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73FD85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8D034EB">
                  <w:pPr>
                    <w:pStyle w:val="41"/>
                    <w:bidi w:val="0"/>
                    <w:jc w:val="center"/>
                    <w:rPr>
                      <w:rFonts w:hint="default"/>
                      <w:color w:val="auto"/>
                      <w:highlight w:val="none"/>
                      <w:lang w:val="en-US" w:eastAsia="zh-CN"/>
                    </w:rPr>
                  </w:pPr>
                  <w:r>
                    <w:rPr>
                      <w:color w:val="auto"/>
                      <w:highlight w:val="none"/>
                    </w:rPr>
                    <w:t>倒置显微镜</w:t>
                  </w:r>
                </w:p>
              </w:tc>
              <w:tc>
                <w:tcPr>
                  <w:tcW w:w="1330" w:type="pct"/>
                  <w:vAlign w:val="center"/>
                </w:tcPr>
                <w:p w14:paraId="6578AC3D">
                  <w:pPr>
                    <w:pStyle w:val="41"/>
                    <w:bidi w:val="0"/>
                    <w:jc w:val="center"/>
                    <w:rPr>
                      <w:rFonts w:hint="default"/>
                      <w:color w:val="auto"/>
                      <w:highlight w:val="none"/>
                      <w:lang w:val="en-US" w:eastAsia="zh-CN"/>
                    </w:rPr>
                  </w:pPr>
                  <w:r>
                    <w:rPr>
                      <w:color w:val="auto"/>
                      <w:highlight w:val="none"/>
                    </w:rPr>
                    <w:t>CKX53</w:t>
                  </w:r>
                </w:p>
              </w:tc>
              <w:tc>
                <w:tcPr>
                  <w:tcW w:w="1145" w:type="pct"/>
                  <w:vAlign w:val="center"/>
                </w:tcPr>
                <w:p w14:paraId="13D217B4">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198C145">
                  <w:pPr>
                    <w:pStyle w:val="41"/>
                    <w:bidi w:val="0"/>
                    <w:jc w:val="center"/>
                    <w:rPr>
                      <w:rFonts w:hint="default"/>
                      <w:color w:val="auto"/>
                      <w:highlight w:val="none"/>
                      <w:lang w:val="en-US" w:eastAsia="zh-CN"/>
                    </w:rPr>
                  </w:pPr>
                </w:p>
              </w:tc>
            </w:tr>
            <w:tr w14:paraId="3E847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E3A3AF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9D1773A">
                  <w:pPr>
                    <w:pStyle w:val="41"/>
                    <w:bidi w:val="0"/>
                    <w:jc w:val="center"/>
                    <w:rPr>
                      <w:rFonts w:hint="default"/>
                      <w:color w:val="auto"/>
                      <w:highlight w:val="none"/>
                      <w:lang w:val="en-US" w:eastAsia="zh-CN"/>
                    </w:rPr>
                  </w:pPr>
                  <w:r>
                    <w:rPr>
                      <w:color w:val="auto"/>
                      <w:highlight w:val="none"/>
                    </w:rPr>
                    <w:t>超净台</w:t>
                  </w:r>
                </w:p>
              </w:tc>
              <w:tc>
                <w:tcPr>
                  <w:tcW w:w="1330" w:type="pct"/>
                  <w:vAlign w:val="center"/>
                </w:tcPr>
                <w:p w14:paraId="3445A450">
                  <w:pPr>
                    <w:pStyle w:val="41"/>
                    <w:bidi w:val="0"/>
                    <w:jc w:val="center"/>
                    <w:rPr>
                      <w:rFonts w:hint="default"/>
                      <w:color w:val="auto"/>
                      <w:highlight w:val="none"/>
                      <w:lang w:val="en-US" w:eastAsia="zh-CN"/>
                    </w:rPr>
                  </w:pPr>
                  <w:r>
                    <w:rPr>
                      <w:color w:val="auto"/>
                      <w:highlight w:val="none"/>
                    </w:rPr>
                    <w:t>SW-CJ-2J</w:t>
                  </w:r>
                </w:p>
              </w:tc>
              <w:tc>
                <w:tcPr>
                  <w:tcW w:w="1145" w:type="pct"/>
                  <w:vAlign w:val="center"/>
                </w:tcPr>
                <w:p w14:paraId="75EBDDE9">
                  <w:pPr>
                    <w:pStyle w:val="41"/>
                    <w:bidi w:val="0"/>
                    <w:jc w:val="center"/>
                    <w:rPr>
                      <w:rFonts w:hint="default"/>
                      <w:color w:val="auto"/>
                      <w:highlight w:val="none"/>
                      <w:lang w:val="en-US" w:eastAsia="zh-CN"/>
                    </w:rPr>
                  </w:pPr>
                  <w:r>
                    <w:rPr>
                      <w:color w:val="auto"/>
                      <w:highlight w:val="none"/>
                    </w:rPr>
                    <w:t>5</w:t>
                  </w:r>
                </w:p>
              </w:tc>
              <w:tc>
                <w:tcPr>
                  <w:tcW w:w="812" w:type="pct"/>
                  <w:vMerge w:val="continue"/>
                  <w:vAlign w:val="center"/>
                </w:tcPr>
                <w:p w14:paraId="471DB285">
                  <w:pPr>
                    <w:pStyle w:val="41"/>
                    <w:bidi w:val="0"/>
                    <w:jc w:val="center"/>
                    <w:rPr>
                      <w:rFonts w:hint="default"/>
                      <w:color w:val="auto"/>
                      <w:highlight w:val="none"/>
                      <w:lang w:val="en-US" w:eastAsia="zh-CN"/>
                    </w:rPr>
                  </w:pPr>
                </w:p>
              </w:tc>
            </w:tr>
            <w:tr w14:paraId="2C1DF9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733601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1B27377">
                  <w:pPr>
                    <w:pStyle w:val="41"/>
                    <w:bidi w:val="0"/>
                    <w:jc w:val="center"/>
                    <w:rPr>
                      <w:rFonts w:hint="default"/>
                      <w:color w:val="auto"/>
                      <w:highlight w:val="none"/>
                      <w:lang w:val="en-US" w:eastAsia="zh-CN"/>
                    </w:rPr>
                  </w:pPr>
                  <w:r>
                    <w:rPr>
                      <w:color w:val="auto"/>
                      <w:highlight w:val="none"/>
                    </w:rPr>
                    <w:t>生物安全柜</w:t>
                  </w:r>
                </w:p>
              </w:tc>
              <w:tc>
                <w:tcPr>
                  <w:tcW w:w="1330" w:type="pct"/>
                  <w:vAlign w:val="center"/>
                </w:tcPr>
                <w:p w14:paraId="14A18359">
                  <w:pPr>
                    <w:pStyle w:val="41"/>
                    <w:bidi w:val="0"/>
                    <w:jc w:val="center"/>
                    <w:rPr>
                      <w:rFonts w:hint="default"/>
                      <w:color w:val="auto"/>
                      <w:highlight w:val="none"/>
                      <w:lang w:val="en-US" w:eastAsia="zh-CN"/>
                    </w:rPr>
                  </w:pPr>
                  <w:r>
                    <w:rPr>
                      <w:color w:val="auto"/>
                      <w:highlight w:val="none"/>
                    </w:rPr>
                    <w:t>1384</w:t>
                  </w:r>
                </w:p>
              </w:tc>
              <w:tc>
                <w:tcPr>
                  <w:tcW w:w="1145" w:type="pct"/>
                  <w:vAlign w:val="center"/>
                </w:tcPr>
                <w:p w14:paraId="1E8B56E0">
                  <w:pPr>
                    <w:pStyle w:val="41"/>
                    <w:bidi w:val="0"/>
                    <w:jc w:val="center"/>
                    <w:rPr>
                      <w:rFonts w:hint="default"/>
                      <w:color w:val="auto"/>
                      <w:highlight w:val="none"/>
                      <w:lang w:val="en-US" w:eastAsia="zh-CN"/>
                    </w:rPr>
                  </w:pPr>
                  <w:r>
                    <w:rPr>
                      <w:rFonts w:hint="eastAsia"/>
                      <w:color w:val="auto"/>
                      <w:highlight w:val="none"/>
                      <w:lang w:val="en-US" w:eastAsia="zh-CN"/>
                    </w:rPr>
                    <w:t>7</w:t>
                  </w:r>
                </w:p>
              </w:tc>
              <w:tc>
                <w:tcPr>
                  <w:tcW w:w="812" w:type="pct"/>
                  <w:vMerge w:val="continue"/>
                  <w:vAlign w:val="center"/>
                </w:tcPr>
                <w:p w14:paraId="21F96D2B">
                  <w:pPr>
                    <w:pStyle w:val="41"/>
                    <w:bidi w:val="0"/>
                    <w:jc w:val="center"/>
                    <w:rPr>
                      <w:rFonts w:hint="default"/>
                      <w:color w:val="auto"/>
                      <w:highlight w:val="none"/>
                      <w:lang w:val="en-US" w:eastAsia="zh-CN"/>
                    </w:rPr>
                  </w:pPr>
                </w:p>
              </w:tc>
            </w:tr>
            <w:tr w14:paraId="7B11C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F8EE51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6FFF3F4">
                  <w:pPr>
                    <w:pStyle w:val="41"/>
                    <w:bidi w:val="0"/>
                    <w:jc w:val="center"/>
                    <w:rPr>
                      <w:rFonts w:hint="default"/>
                      <w:color w:val="auto"/>
                      <w:highlight w:val="none"/>
                      <w:lang w:val="en-US" w:eastAsia="zh-CN"/>
                    </w:rPr>
                  </w:pPr>
                  <w:r>
                    <w:rPr>
                      <w:color w:val="auto"/>
                      <w:highlight w:val="none"/>
                    </w:rPr>
                    <w:t>高压蒸汽灭菌锅</w:t>
                  </w:r>
                </w:p>
              </w:tc>
              <w:tc>
                <w:tcPr>
                  <w:tcW w:w="1330" w:type="pct"/>
                  <w:vAlign w:val="center"/>
                </w:tcPr>
                <w:p w14:paraId="50AA6FA5">
                  <w:pPr>
                    <w:pStyle w:val="41"/>
                    <w:bidi w:val="0"/>
                    <w:jc w:val="center"/>
                    <w:rPr>
                      <w:rFonts w:hint="default"/>
                      <w:color w:val="auto"/>
                      <w:highlight w:val="none"/>
                      <w:lang w:val="en-US" w:eastAsia="zh-CN"/>
                    </w:rPr>
                  </w:pPr>
                  <w:r>
                    <w:rPr>
                      <w:color w:val="auto"/>
                      <w:highlight w:val="none"/>
                    </w:rPr>
                    <w:t>MLS-3751L-PC</w:t>
                  </w:r>
                </w:p>
              </w:tc>
              <w:tc>
                <w:tcPr>
                  <w:tcW w:w="1145" w:type="pct"/>
                  <w:vAlign w:val="center"/>
                </w:tcPr>
                <w:p w14:paraId="466FB201">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0DF7A42F">
                  <w:pPr>
                    <w:pStyle w:val="41"/>
                    <w:bidi w:val="0"/>
                    <w:jc w:val="center"/>
                    <w:rPr>
                      <w:rFonts w:hint="default"/>
                      <w:color w:val="auto"/>
                      <w:highlight w:val="none"/>
                      <w:lang w:val="en-US" w:eastAsia="zh-CN"/>
                    </w:rPr>
                  </w:pPr>
                </w:p>
              </w:tc>
            </w:tr>
            <w:tr w14:paraId="18DE05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7F2077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50C8FE8">
                  <w:pPr>
                    <w:pStyle w:val="41"/>
                    <w:bidi w:val="0"/>
                    <w:jc w:val="center"/>
                    <w:rPr>
                      <w:rFonts w:hint="default"/>
                      <w:color w:val="auto"/>
                      <w:highlight w:val="none"/>
                      <w:lang w:val="en-US" w:eastAsia="zh-CN"/>
                    </w:rPr>
                  </w:pPr>
                  <w:r>
                    <w:rPr>
                      <w:color w:val="auto"/>
                      <w:highlight w:val="none"/>
                    </w:rPr>
                    <w:t>数显恒温水浴锅</w:t>
                  </w:r>
                </w:p>
              </w:tc>
              <w:tc>
                <w:tcPr>
                  <w:tcW w:w="1330" w:type="pct"/>
                  <w:vAlign w:val="center"/>
                </w:tcPr>
                <w:p w14:paraId="1CC1B010">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03260FC1">
                  <w:pPr>
                    <w:pStyle w:val="41"/>
                    <w:bidi w:val="0"/>
                    <w:jc w:val="center"/>
                    <w:rPr>
                      <w:rFonts w:hint="default"/>
                      <w:color w:val="auto"/>
                      <w:highlight w:val="none"/>
                      <w:lang w:val="en-US" w:eastAsia="zh-CN"/>
                    </w:rPr>
                  </w:pPr>
                  <w:r>
                    <w:rPr>
                      <w:color w:val="auto"/>
                      <w:highlight w:val="none"/>
                    </w:rPr>
                    <w:t>2</w:t>
                  </w:r>
                </w:p>
              </w:tc>
              <w:tc>
                <w:tcPr>
                  <w:tcW w:w="812" w:type="pct"/>
                  <w:vMerge w:val="continue"/>
                  <w:vAlign w:val="center"/>
                </w:tcPr>
                <w:p w14:paraId="6FE30F1B">
                  <w:pPr>
                    <w:pStyle w:val="41"/>
                    <w:bidi w:val="0"/>
                    <w:jc w:val="center"/>
                    <w:rPr>
                      <w:rFonts w:hint="default"/>
                      <w:color w:val="auto"/>
                      <w:highlight w:val="none"/>
                      <w:lang w:val="en-US" w:eastAsia="zh-CN"/>
                    </w:rPr>
                  </w:pPr>
                </w:p>
              </w:tc>
            </w:tr>
            <w:tr w14:paraId="63D80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BDE241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6E3390A">
                  <w:pPr>
                    <w:pStyle w:val="41"/>
                    <w:bidi w:val="0"/>
                    <w:jc w:val="center"/>
                    <w:rPr>
                      <w:rFonts w:hint="default"/>
                      <w:color w:val="auto"/>
                      <w:highlight w:val="none"/>
                      <w:lang w:val="en-US" w:eastAsia="zh-CN"/>
                    </w:rPr>
                  </w:pPr>
                  <w:r>
                    <w:rPr>
                      <w:color w:val="auto"/>
                      <w:highlight w:val="none"/>
                    </w:rPr>
                    <w:t>细胞计数仪</w:t>
                  </w:r>
                </w:p>
              </w:tc>
              <w:tc>
                <w:tcPr>
                  <w:tcW w:w="1330" w:type="pct"/>
                  <w:vAlign w:val="center"/>
                </w:tcPr>
                <w:p w14:paraId="1543DA42">
                  <w:pPr>
                    <w:pStyle w:val="41"/>
                    <w:bidi w:val="0"/>
                    <w:jc w:val="center"/>
                    <w:rPr>
                      <w:rFonts w:hint="default"/>
                      <w:color w:val="auto"/>
                      <w:highlight w:val="none"/>
                      <w:lang w:val="en-US" w:eastAsia="zh-CN"/>
                    </w:rPr>
                  </w:pPr>
                  <w:r>
                    <w:rPr>
                      <w:color w:val="auto"/>
                      <w:highlight w:val="none"/>
                    </w:rPr>
                    <w:t>CountStar II</w:t>
                  </w:r>
                </w:p>
              </w:tc>
              <w:tc>
                <w:tcPr>
                  <w:tcW w:w="1145" w:type="pct"/>
                  <w:vAlign w:val="center"/>
                </w:tcPr>
                <w:p w14:paraId="2745EF9F">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D376072">
                  <w:pPr>
                    <w:pStyle w:val="41"/>
                    <w:bidi w:val="0"/>
                    <w:jc w:val="center"/>
                    <w:rPr>
                      <w:rFonts w:hint="default"/>
                      <w:color w:val="auto"/>
                      <w:highlight w:val="none"/>
                      <w:lang w:val="en-US" w:eastAsia="zh-CN"/>
                    </w:rPr>
                  </w:pPr>
                </w:p>
              </w:tc>
            </w:tr>
            <w:tr w14:paraId="6D6B4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3BE3C8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9EF48B8">
                  <w:pPr>
                    <w:pStyle w:val="41"/>
                    <w:bidi w:val="0"/>
                    <w:jc w:val="center"/>
                    <w:rPr>
                      <w:rFonts w:hint="default"/>
                      <w:color w:val="auto"/>
                      <w:highlight w:val="none"/>
                      <w:lang w:val="en-US" w:eastAsia="zh-CN"/>
                    </w:rPr>
                  </w:pPr>
                  <w:r>
                    <w:rPr>
                      <w:color w:val="auto"/>
                      <w:highlight w:val="none"/>
                    </w:rPr>
                    <w:t>Milli-Q超纯水系统</w:t>
                  </w:r>
                </w:p>
              </w:tc>
              <w:tc>
                <w:tcPr>
                  <w:tcW w:w="1330" w:type="pct"/>
                  <w:vAlign w:val="center"/>
                </w:tcPr>
                <w:p w14:paraId="2E741883">
                  <w:pPr>
                    <w:pStyle w:val="41"/>
                    <w:bidi w:val="0"/>
                    <w:jc w:val="center"/>
                    <w:rPr>
                      <w:rFonts w:hint="default"/>
                      <w:color w:val="auto"/>
                      <w:highlight w:val="none"/>
                      <w:lang w:val="en-US" w:eastAsia="zh-CN"/>
                    </w:rPr>
                  </w:pPr>
                  <w:r>
                    <w:rPr>
                      <w:color w:val="auto"/>
                      <w:highlight w:val="none"/>
                    </w:rPr>
                    <w:t>MilliporeSigma™</w:t>
                  </w:r>
                </w:p>
              </w:tc>
              <w:tc>
                <w:tcPr>
                  <w:tcW w:w="1145" w:type="pct"/>
                  <w:vAlign w:val="center"/>
                </w:tcPr>
                <w:p w14:paraId="0D4A5970">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56E54D3D">
                  <w:pPr>
                    <w:pStyle w:val="41"/>
                    <w:bidi w:val="0"/>
                    <w:jc w:val="center"/>
                    <w:rPr>
                      <w:rFonts w:hint="default"/>
                      <w:color w:val="auto"/>
                      <w:highlight w:val="none"/>
                      <w:lang w:val="en-US" w:eastAsia="zh-CN"/>
                    </w:rPr>
                  </w:pPr>
                </w:p>
              </w:tc>
            </w:tr>
            <w:tr w14:paraId="282F8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CA649C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7870D24">
                  <w:pPr>
                    <w:pStyle w:val="41"/>
                    <w:bidi w:val="0"/>
                    <w:jc w:val="center"/>
                    <w:rPr>
                      <w:rFonts w:hint="default"/>
                      <w:color w:val="auto"/>
                      <w:highlight w:val="none"/>
                      <w:lang w:val="en-US" w:eastAsia="zh-CN"/>
                    </w:rPr>
                  </w:pPr>
                  <w:r>
                    <w:rPr>
                      <w:color w:val="auto"/>
                      <w:highlight w:val="none"/>
                    </w:rPr>
                    <w:t>冷冻离心机</w:t>
                  </w:r>
                </w:p>
              </w:tc>
              <w:tc>
                <w:tcPr>
                  <w:tcW w:w="1330" w:type="pct"/>
                  <w:vAlign w:val="center"/>
                </w:tcPr>
                <w:p w14:paraId="3C6DB32D">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3E79BE61">
                  <w:pPr>
                    <w:pStyle w:val="41"/>
                    <w:bidi w:val="0"/>
                    <w:jc w:val="center"/>
                    <w:rPr>
                      <w:rFonts w:hint="default"/>
                      <w:color w:val="auto"/>
                      <w:highlight w:val="none"/>
                      <w:lang w:val="en-US" w:eastAsia="zh-CN"/>
                    </w:rPr>
                  </w:pPr>
                  <w:r>
                    <w:rPr>
                      <w:color w:val="auto"/>
                      <w:highlight w:val="none"/>
                    </w:rPr>
                    <w:t>2</w:t>
                  </w:r>
                </w:p>
              </w:tc>
              <w:tc>
                <w:tcPr>
                  <w:tcW w:w="812" w:type="pct"/>
                  <w:vMerge w:val="continue"/>
                  <w:vAlign w:val="center"/>
                </w:tcPr>
                <w:p w14:paraId="2FCCBDCC">
                  <w:pPr>
                    <w:pStyle w:val="41"/>
                    <w:bidi w:val="0"/>
                    <w:jc w:val="center"/>
                    <w:rPr>
                      <w:rFonts w:hint="default"/>
                      <w:color w:val="auto"/>
                      <w:highlight w:val="none"/>
                      <w:lang w:val="en-US" w:eastAsia="zh-CN"/>
                    </w:rPr>
                  </w:pPr>
                </w:p>
              </w:tc>
            </w:tr>
            <w:tr w14:paraId="305B3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B3D821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54E4CE8">
                  <w:pPr>
                    <w:pStyle w:val="41"/>
                    <w:bidi w:val="0"/>
                    <w:jc w:val="center"/>
                    <w:rPr>
                      <w:rFonts w:hint="default"/>
                      <w:color w:val="auto"/>
                      <w:highlight w:val="none"/>
                      <w:lang w:val="en-US" w:eastAsia="zh-CN"/>
                    </w:rPr>
                  </w:pPr>
                  <w:r>
                    <w:rPr>
                      <w:color w:val="auto"/>
                      <w:highlight w:val="none"/>
                    </w:rPr>
                    <w:t>大容积冰箱</w:t>
                  </w:r>
                </w:p>
              </w:tc>
              <w:tc>
                <w:tcPr>
                  <w:tcW w:w="1330" w:type="pct"/>
                  <w:vAlign w:val="center"/>
                </w:tcPr>
                <w:p w14:paraId="6593562D">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7BBB7F23">
                  <w:pPr>
                    <w:pStyle w:val="41"/>
                    <w:bidi w:val="0"/>
                    <w:jc w:val="center"/>
                    <w:rPr>
                      <w:rFonts w:hint="default"/>
                      <w:color w:val="auto"/>
                      <w:highlight w:val="none"/>
                      <w:lang w:val="en-US" w:eastAsia="zh-CN"/>
                    </w:rPr>
                  </w:pPr>
                  <w:r>
                    <w:rPr>
                      <w:color w:val="auto"/>
                      <w:highlight w:val="none"/>
                    </w:rPr>
                    <w:t>5</w:t>
                  </w:r>
                </w:p>
              </w:tc>
              <w:tc>
                <w:tcPr>
                  <w:tcW w:w="812" w:type="pct"/>
                  <w:vMerge w:val="continue"/>
                  <w:vAlign w:val="center"/>
                </w:tcPr>
                <w:p w14:paraId="6D69393A">
                  <w:pPr>
                    <w:pStyle w:val="41"/>
                    <w:bidi w:val="0"/>
                    <w:jc w:val="center"/>
                    <w:rPr>
                      <w:rFonts w:hint="default"/>
                      <w:color w:val="auto"/>
                      <w:highlight w:val="none"/>
                      <w:lang w:val="en-US" w:eastAsia="zh-CN"/>
                    </w:rPr>
                  </w:pPr>
                </w:p>
              </w:tc>
            </w:tr>
            <w:tr w14:paraId="136BB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8DE3FB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5A01DA9">
                  <w:pPr>
                    <w:pStyle w:val="41"/>
                    <w:bidi w:val="0"/>
                    <w:jc w:val="center"/>
                    <w:rPr>
                      <w:rFonts w:hint="default"/>
                      <w:color w:val="auto"/>
                      <w:highlight w:val="none"/>
                      <w:lang w:val="en-US" w:eastAsia="zh-CN"/>
                    </w:rPr>
                  </w:pPr>
                  <w:r>
                    <w:rPr>
                      <w:color w:val="auto"/>
                      <w:highlight w:val="none"/>
                    </w:rPr>
                    <w:t>UPS电源</w:t>
                  </w:r>
                </w:p>
              </w:tc>
              <w:tc>
                <w:tcPr>
                  <w:tcW w:w="1330" w:type="pct"/>
                  <w:vAlign w:val="center"/>
                </w:tcPr>
                <w:p w14:paraId="2D30A30D">
                  <w:pPr>
                    <w:pStyle w:val="41"/>
                    <w:bidi w:val="0"/>
                    <w:jc w:val="center"/>
                    <w:rPr>
                      <w:rFonts w:hint="default"/>
                      <w:color w:val="auto"/>
                      <w:highlight w:val="none"/>
                      <w:lang w:val="en-US" w:eastAsia="zh-CN"/>
                    </w:rPr>
                  </w:pPr>
                  <w:r>
                    <w:rPr>
                      <w:color w:val="auto"/>
                      <w:highlight w:val="none"/>
                    </w:rPr>
                    <w:t>CASTLE-2K</w:t>
                  </w:r>
                </w:p>
              </w:tc>
              <w:tc>
                <w:tcPr>
                  <w:tcW w:w="1145" w:type="pct"/>
                  <w:vAlign w:val="center"/>
                </w:tcPr>
                <w:p w14:paraId="73893B1F">
                  <w:pPr>
                    <w:pStyle w:val="41"/>
                    <w:bidi w:val="0"/>
                    <w:jc w:val="center"/>
                    <w:rPr>
                      <w:rFonts w:hint="default"/>
                      <w:color w:val="auto"/>
                      <w:highlight w:val="none"/>
                      <w:lang w:val="en-US" w:eastAsia="zh-CN"/>
                    </w:rPr>
                  </w:pPr>
                  <w:r>
                    <w:rPr>
                      <w:color w:val="auto"/>
                      <w:highlight w:val="none"/>
                    </w:rPr>
                    <w:t>6</w:t>
                  </w:r>
                </w:p>
              </w:tc>
              <w:tc>
                <w:tcPr>
                  <w:tcW w:w="812" w:type="pct"/>
                  <w:vMerge w:val="continue"/>
                  <w:vAlign w:val="center"/>
                </w:tcPr>
                <w:p w14:paraId="07406CB9">
                  <w:pPr>
                    <w:pStyle w:val="41"/>
                    <w:bidi w:val="0"/>
                    <w:jc w:val="center"/>
                    <w:rPr>
                      <w:rFonts w:hint="default"/>
                      <w:color w:val="auto"/>
                      <w:highlight w:val="none"/>
                      <w:lang w:val="en-US" w:eastAsia="zh-CN"/>
                    </w:rPr>
                  </w:pPr>
                </w:p>
              </w:tc>
            </w:tr>
            <w:tr w14:paraId="78FAD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701C31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D819CC8">
                  <w:pPr>
                    <w:pStyle w:val="41"/>
                    <w:bidi w:val="0"/>
                    <w:jc w:val="center"/>
                    <w:rPr>
                      <w:rFonts w:hint="default"/>
                      <w:color w:val="auto"/>
                      <w:highlight w:val="none"/>
                      <w:lang w:val="en-US" w:eastAsia="zh-CN"/>
                    </w:rPr>
                  </w:pPr>
                  <w:r>
                    <w:rPr>
                      <w:color w:val="auto"/>
                      <w:highlight w:val="none"/>
                    </w:rPr>
                    <w:t>CO2培养箱</w:t>
                  </w:r>
                </w:p>
              </w:tc>
              <w:tc>
                <w:tcPr>
                  <w:tcW w:w="1330" w:type="pct"/>
                  <w:vAlign w:val="center"/>
                </w:tcPr>
                <w:p w14:paraId="09576672">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09B6C644">
                  <w:pPr>
                    <w:pStyle w:val="41"/>
                    <w:bidi w:val="0"/>
                    <w:jc w:val="center"/>
                    <w:rPr>
                      <w:rFonts w:hint="default"/>
                      <w:color w:val="auto"/>
                      <w:highlight w:val="none"/>
                      <w:lang w:val="en-US" w:eastAsia="zh-CN"/>
                    </w:rPr>
                  </w:pPr>
                  <w:r>
                    <w:rPr>
                      <w:color w:val="auto"/>
                      <w:highlight w:val="none"/>
                    </w:rPr>
                    <w:t>2</w:t>
                  </w:r>
                </w:p>
              </w:tc>
              <w:tc>
                <w:tcPr>
                  <w:tcW w:w="812" w:type="pct"/>
                  <w:vMerge w:val="continue"/>
                  <w:vAlign w:val="center"/>
                </w:tcPr>
                <w:p w14:paraId="20200A28">
                  <w:pPr>
                    <w:pStyle w:val="41"/>
                    <w:bidi w:val="0"/>
                    <w:jc w:val="center"/>
                    <w:rPr>
                      <w:rFonts w:hint="default"/>
                      <w:color w:val="auto"/>
                      <w:highlight w:val="none"/>
                      <w:lang w:val="en-US" w:eastAsia="zh-CN"/>
                    </w:rPr>
                  </w:pPr>
                </w:p>
              </w:tc>
            </w:tr>
            <w:tr w14:paraId="7BAFD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9EA6F2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57675C8">
                  <w:pPr>
                    <w:pStyle w:val="41"/>
                    <w:bidi w:val="0"/>
                    <w:jc w:val="center"/>
                    <w:rPr>
                      <w:rFonts w:hint="default"/>
                      <w:color w:val="auto"/>
                      <w:highlight w:val="none"/>
                      <w:lang w:val="en-US" w:eastAsia="zh-CN"/>
                    </w:rPr>
                  </w:pPr>
                  <w:r>
                    <w:rPr>
                      <w:color w:val="auto"/>
                      <w:highlight w:val="none"/>
                    </w:rPr>
                    <w:t>-86°C 立式超低温冰箱</w:t>
                  </w:r>
                </w:p>
              </w:tc>
              <w:tc>
                <w:tcPr>
                  <w:tcW w:w="1330" w:type="pct"/>
                  <w:vAlign w:val="center"/>
                </w:tcPr>
                <w:p w14:paraId="3C7633FB">
                  <w:pPr>
                    <w:pStyle w:val="41"/>
                    <w:bidi w:val="0"/>
                    <w:jc w:val="center"/>
                    <w:rPr>
                      <w:rFonts w:hint="default"/>
                      <w:color w:val="auto"/>
                      <w:highlight w:val="none"/>
                      <w:lang w:val="en-US" w:eastAsia="zh-CN"/>
                    </w:rPr>
                  </w:pPr>
                  <w:r>
                    <w:rPr>
                      <w:color w:val="auto"/>
                      <w:highlight w:val="none"/>
                    </w:rPr>
                    <w:t>Forma™ 907</w:t>
                  </w:r>
                </w:p>
              </w:tc>
              <w:tc>
                <w:tcPr>
                  <w:tcW w:w="1145" w:type="pct"/>
                  <w:vAlign w:val="center"/>
                </w:tcPr>
                <w:p w14:paraId="4A14E095">
                  <w:pPr>
                    <w:pStyle w:val="41"/>
                    <w:bidi w:val="0"/>
                    <w:jc w:val="center"/>
                    <w:rPr>
                      <w:rFonts w:hint="default"/>
                      <w:color w:val="auto"/>
                      <w:highlight w:val="none"/>
                      <w:lang w:val="en-US" w:eastAsia="zh-CN"/>
                    </w:rPr>
                  </w:pPr>
                  <w:r>
                    <w:rPr>
                      <w:color w:val="auto"/>
                      <w:highlight w:val="none"/>
                    </w:rPr>
                    <w:t>2</w:t>
                  </w:r>
                </w:p>
              </w:tc>
              <w:tc>
                <w:tcPr>
                  <w:tcW w:w="812" w:type="pct"/>
                  <w:vMerge w:val="continue"/>
                  <w:vAlign w:val="center"/>
                </w:tcPr>
                <w:p w14:paraId="3C3FADB7">
                  <w:pPr>
                    <w:pStyle w:val="41"/>
                    <w:bidi w:val="0"/>
                    <w:jc w:val="center"/>
                    <w:rPr>
                      <w:rFonts w:hint="default"/>
                      <w:color w:val="auto"/>
                      <w:highlight w:val="none"/>
                      <w:lang w:val="en-US" w:eastAsia="zh-CN"/>
                    </w:rPr>
                  </w:pPr>
                </w:p>
              </w:tc>
            </w:tr>
            <w:tr w14:paraId="30BCD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43E882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A6FFEF7">
                  <w:pPr>
                    <w:pStyle w:val="41"/>
                    <w:bidi w:val="0"/>
                    <w:jc w:val="center"/>
                    <w:rPr>
                      <w:rFonts w:hint="default"/>
                      <w:color w:val="auto"/>
                      <w:highlight w:val="none"/>
                      <w:lang w:val="en-US" w:eastAsia="zh-CN"/>
                    </w:rPr>
                  </w:pPr>
                  <w:r>
                    <w:rPr>
                      <w:color w:val="auto"/>
                      <w:highlight w:val="none"/>
                    </w:rPr>
                    <w:t>激光共聚焦显微镜</w:t>
                  </w:r>
                </w:p>
              </w:tc>
              <w:tc>
                <w:tcPr>
                  <w:tcW w:w="1330" w:type="pct"/>
                  <w:vAlign w:val="center"/>
                </w:tcPr>
                <w:p w14:paraId="34EA6B3F">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4F220576">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CE86B24">
                  <w:pPr>
                    <w:pStyle w:val="41"/>
                    <w:bidi w:val="0"/>
                    <w:jc w:val="center"/>
                    <w:rPr>
                      <w:rFonts w:hint="default"/>
                      <w:color w:val="auto"/>
                      <w:highlight w:val="none"/>
                      <w:lang w:val="en-US" w:eastAsia="zh-CN"/>
                    </w:rPr>
                  </w:pPr>
                </w:p>
              </w:tc>
            </w:tr>
            <w:tr w14:paraId="7BEDC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F361E5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99D819D">
                  <w:pPr>
                    <w:pStyle w:val="41"/>
                    <w:bidi w:val="0"/>
                    <w:jc w:val="center"/>
                    <w:rPr>
                      <w:rFonts w:hint="default"/>
                      <w:color w:val="auto"/>
                      <w:highlight w:val="none"/>
                      <w:lang w:val="en-US" w:eastAsia="zh-CN"/>
                    </w:rPr>
                  </w:pPr>
                  <w:r>
                    <w:rPr>
                      <w:color w:val="auto"/>
                      <w:highlight w:val="none"/>
                    </w:rPr>
                    <w:t>SpaceMax Paradigm 多模式检测平台</w:t>
                  </w:r>
                </w:p>
              </w:tc>
              <w:tc>
                <w:tcPr>
                  <w:tcW w:w="1330" w:type="pct"/>
                  <w:vAlign w:val="center"/>
                </w:tcPr>
                <w:p w14:paraId="4C96BDD8">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2EBF5D9A">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39EB16D7">
                  <w:pPr>
                    <w:pStyle w:val="41"/>
                    <w:bidi w:val="0"/>
                    <w:jc w:val="center"/>
                    <w:rPr>
                      <w:rFonts w:hint="default"/>
                      <w:color w:val="auto"/>
                      <w:highlight w:val="none"/>
                      <w:lang w:val="en-US" w:eastAsia="zh-CN"/>
                    </w:rPr>
                  </w:pPr>
                </w:p>
              </w:tc>
            </w:tr>
            <w:tr w14:paraId="78E880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29578B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6DB32B7">
                  <w:pPr>
                    <w:pStyle w:val="41"/>
                    <w:bidi w:val="0"/>
                    <w:jc w:val="center"/>
                    <w:rPr>
                      <w:rFonts w:hint="default"/>
                      <w:color w:val="auto"/>
                      <w:highlight w:val="none"/>
                      <w:lang w:val="en-US" w:eastAsia="zh-CN"/>
                    </w:rPr>
                  </w:pPr>
                  <w:r>
                    <w:rPr>
                      <w:color w:val="auto"/>
                      <w:highlight w:val="none"/>
                    </w:rPr>
                    <w:t>凝胶扫描成像仪</w:t>
                  </w:r>
                </w:p>
              </w:tc>
              <w:tc>
                <w:tcPr>
                  <w:tcW w:w="1330" w:type="pct"/>
                  <w:vAlign w:val="center"/>
                </w:tcPr>
                <w:p w14:paraId="545ECC64">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5464D264">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C048F7D">
                  <w:pPr>
                    <w:pStyle w:val="41"/>
                    <w:bidi w:val="0"/>
                    <w:jc w:val="center"/>
                    <w:rPr>
                      <w:rFonts w:hint="default"/>
                      <w:color w:val="auto"/>
                      <w:highlight w:val="none"/>
                      <w:lang w:val="en-US" w:eastAsia="zh-CN"/>
                    </w:rPr>
                  </w:pPr>
                </w:p>
              </w:tc>
            </w:tr>
            <w:tr w14:paraId="6BA64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656F00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CBD0DBD">
                  <w:pPr>
                    <w:pStyle w:val="41"/>
                    <w:bidi w:val="0"/>
                    <w:jc w:val="center"/>
                    <w:rPr>
                      <w:rFonts w:hint="default"/>
                      <w:color w:val="auto"/>
                      <w:highlight w:val="none"/>
                      <w:lang w:val="en-US" w:eastAsia="zh-CN"/>
                    </w:rPr>
                  </w:pPr>
                  <w:r>
                    <w:rPr>
                      <w:color w:val="auto"/>
                      <w:highlight w:val="none"/>
                    </w:rPr>
                    <w:t>蛋白层析色谱仪</w:t>
                  </w:r>
                </w:p>
              </w:tc>
              <w:tc>
                <w:tcPr>
                  <w:tcW w:w="1330" w:type="pct"/>
                  <w:vAlign w:val="center"/>
                </w:tcPr>
                <w:p w14:paraId="69369281">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44D24FC0">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2230CA1B">
                  <w:pPr>
                    <w:pStyle w:val="41"/>
                    <w:bidi w:val="0"/>
                    <w:jc w:val="center"/>
                    <w:rPr>
                      <w:rFonts w:hint="default"/>
                      <w:color w:val="auto"/>
                      <w:highlight w:val="none"/>
                      <w:lang w:val="en-US" w:eastAsia="zh-CN"/>
                    </w:rPr>
                  </w:pPr>
                </w:p>
              </w:tc>
            </w:tr>
            <w:tr w14:paraId="6D9E8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018D8E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C1D601C">
                  <w:pPr>
                    <w:pStyle w:val="41"/>
                    <w:bidi w:val="0"/>
                    <w:jc w:val="center"/>
                    <w:rPr>
                      <w:rFonts w:hint="default"/>
                      <w:color w:val="auto"/>
                      <w:highlight w:val="none"/>
                      <w:lang w:val="en-US" w:eastAsia="zh-CN"/>
                    </w:rPr>
                  </w:pPr>
                  <w:r>
                    <w:rPr>
                      <w:color w:val="auto"/>
                      <w:highlight w:val="none"/>
                    </w:rPr>
                    <w:t>-86°C 立式超低温冰箱</w:t>
                  </w:r>
                </w:p>
              </w:tc>
              <w:tc>
                <w:tcPr>
                  <w:tcW w:w="1330" w:type="pct"/>
                  <w:vAlign w:val="center"/>
                </w:tcPr>
                <w:p w14:paraId="3159121D">
                  <w:pPr>
                    <w:pStyle w:val="41"/>
                    <w:bidi w:val="0"/>
                    <w:jc w:val="center"/>
                    <w:rPr>
                      <w:rFonts w:hint="default"/>
                      <w:color w:val="auto"/>
                      <w:highlight w:val="none"/>
                      <w:lang w:val="en-US" w:eastAsia="zh-CN"/>
                    </w:rPr>
                  </w:pPr>
                  <w:r>
                    <w:rPr>
                      <w:color w:val="auto"/>
                      <w:highlight w:val="none"/>
                    </w:rPr>
                    <w:t>Forma™ 907</w:t>
                  </w:r>
                </w:p>
              </w:tc>
              <w:tc>
                <w:tcPr>
                  <w:tcW w:w="1145" w:type="pct"/>
                  <w:vAlign w:val="center"/>
                </w:tcPr>
                <w:p w14:paraId="1758CCB9">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2EF07207">
                  <w:pPr>
                    <w:pStyle w:val="41"/>
                    <w:bidi w:val="0"/>
                    <w:jc w:val="center"/>
                    <w:rPr>
                      <w:rFonts w:hint="default"/>
                      <w:color w:val="auto"/>
                      <w:highlight w:val="none"/>
                      <w:lang w:val="en-US" w:eastAsia="zh-CN"/>
                    </w:rPr>
                  </w:pPr>
                </w:p>
              </w:tc>
            </w:tr>
            <w:tr w14:paraId="3B790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65D84F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66A3D45">
                  <w:pPr>
                    <w:pStyle w:val="41"/>
                    <w:bidi w:val="0"/>
                    <w:jc w:val="center"/>
                    <w:rPr>
                      <w:rFonts w:hint="default"/>
                      <w:color w:val="auto"/>
                      <w:highlight w:val="none"/>
                      <w:lang w:val="en-US" w:eastAsia="zh-CN"/>
                    </w:rPr>
                  </w:pPr>
                  <w:r>
                    <w:rPr>
                      <w:color w:val="auto"/>
                      <w:highlight w:val="none"/>
                    </w:rPr>
                    <w:t>恒温金属浴</w:t>
                  </w:r>
                </w:p>
              </w:tc>
              <w:tc>
                <w:tcPr>
                  <w:tcW w:w="1330" w:type="pct"/>
                  <w:vAlign w:val="center"/>
                </w:tcPr>
                <w:p w14:paraId="132B404C">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2CE216A7">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52EA96DE">
                  <w:pPr>
                    <w:pStyle w:val="41"/>
                    <w:bidi w:val="0"/>
                    <w:jc w:val="center"/>
                    <w:rPr>
                      <w:rFonts w:hint="default"/>
                      <w:color w:val="auto"/>
                      <w:highlight w:val="none"/>
                      <w:lang w:val="en-US" w:eastAsia="zh-CN"/>
                    </w:rPr>
                  </w:pPr>
                </w:p>
              </w:tc>
            </w:tr>
            <w:tr w14:paraId="50A8C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96E483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0371EFA">
                  <w:pPr>
                    <w:pStyle w:val="41"/>
                    <w:bidi w:val="0"/>
                    <w:jc w:val="center"/>
                    <w:rPr>
                      <w:rFonts w:hint="default"/>
                      <w:color w:val="auto"/>
                      <w:highlight w:val="none"/>
                      <w:lang w:val="en-US" w:eastAsia="zh-CN"/>
                    </w:rPr>
                  </w:pPr>
                  <w:r>
                    <w:rPr>
                      <w:color w:val="auto"/>
                      <w:highlight w:val="none"/>
                    </w:rPr>
                    <w:t>小型台式高速离心机</w:t>
                  </w:r>
                </w:p>
              </w:tc>
              <w:tc>
                <w:tcPr>
                  <w:tcW w:w="1330" w:type="pct"/>
                  <w:vAlign w:val="center"/>
                </w:tcPr>
                <w:p w14:paraId="7F285F94">
                  <w:pPr>
                    <w:pStyle w:val="41"/>
                    <w:bidi w:val="0"/>
                    <w:jc w:val="center"/>
                    <w:rPr>
                      <w:rFonts w:hint="default"/>
                      <w:color w:val="auto"/>
                      <w:highlight w:val="none"/>
                      <w:lang w:val="en-US" w:eastAsia="zh-CN"/>
                    </w:rPr>
                  </w:pPr>
                  <w:r>
                    <w:rPr>
                      <w:color w:val="auto"/>
                      <w:highlight w:val="none"/>
                    </w:rPr>
                    <w:t>5425</w:t>
                  </w:r>
                </w:p>
              </w:tc>
              <w:tc>
                <w:tcPr>
                  <w:tcW w:w="1145" w:type="pct"/>
                  <w:vAlign w:val="center"/>
                </w:tcPr>
                <w:p w14:paraId="1729300C">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2F935272">
                  <w:pPr>
                    <w:pStyle w:val="41"/>
                    <w:bidi w:val="0"/>
                    <w:jc w:val="center"/>
                    <w:rPr>
                      <w:rFonts w:hint="default"/>
                      <w:color w:val="auto"/>
                      <w:highlight w:val="none"/>
                      <w:lang w:val="en-US" w:eastAsia="zh-CN"/>
                    </w:rPr>
                  </w:pPr>
                </w:p>
              </w:tc>
            </w:tr>
            <w:tr w14:paraId="108CF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02A955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422EC97">
                  <w:pPr>
                    <w:pStyle w:val="41"/>
                    <w:bidi w:val="0"/>
                    <w:jc w:val="center"/>
                    <w:rPr>
                      <w:rFonts w:hint="default"/>
                      <w:color w:val="auto"/>
                      <w:highlight w:val="none"/>
                      <w:lang w:val="en-US" w:eastAsia="zh-CN"/>
                    </w:rPr>
                  </w:pPr>
                  <w:r>
                    <w:rPr>
                      <w:color w:val="auto"/>
                      <w:highlight w:val="none"/>
                    </w:rPr>
                    <w:t>小型台式高速冷冻离心机</w:t>
                  </w:r>
                </w:p>
              </w:tc>
              <w:tc>
                <w:tcPr>
                  <w:tcW w:w="1330" w:type="pct"/>
                  <w:vAlign w:val="center"/>
                </w:tcPr>
                <w:p w14:paraId="69FB235B">
                  <w:pPr>
                    <w:pStyle w:val="41"/>
                    <w:bidi w:val="0"/>
                    <w:jc w:val="center"/>
                    <w:rPr>
                      <w:rFonts w:hint="default"/>
                      <w:color w:val="auto"/>
                      <w:highlight w:val="none"/>
                      <w:lang w:val="en-US" w:eastAsia="zh-CN"/>
                    </w:rPr>
                  </w:pPr>
                  <w:r>
                    <w:rPr>
                      <w:color w:val="auto"/>
                      <w:highlight w:val="none"/>
                    </w:rPr>
                    <w:t>5425R</w:t>
                  </w:r>
                </w:p>
              </w:tc>
              <w:tc>
                <w:tcPr>
                  <w:tcW w:w="1145" w:type="pct"/>
                  <w:vAlign w:val="center"/>
                </w:tcPr>
                <w:p w14:paraId="000817A6">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73E9419">
                  <w:pPr>
                    <w:pStyle w:val="41"/>
                    <w:bidi w:val="0"/>
                    <w:jc w:val="center"/>
                    <w:rPr>
                      <w:rFonts w:hint="default"/>
                      <w:color w:val="auto"/>
                      <w:highlight w:val="none"/>
                      <w:lang w:val="en-US" w:eastAsia="zh-CN"/>
                    </w:rPr>
                  </w:pPr>
                </w:p>
              </w:tc>
            </w:tr>
            <w:tr w14:paraId="08145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7D890D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AA503E2">
                  <w:pPr>
                    <w:pStyle w:val="41"/>
                    <w:bidi w:val="0"/>
                    <w:jc w:val="center"/>
                    <w:rPr>
                      <w:rFonts w:hint="default"/>
                      <w:color w:val="auto"/>
                      <w:highlight w:val="none"/>
                      <w:lang w:val="en-US" w:eastAsia="zh-CN"/>
                    </w:rPr>
                  </w:pPr>
                  <w:r>
                    <w:rPr>
                      <w:color w:val="auto"/>
                      <w:highlight w:val="none"/>
                    </w:rPr>
                    <w:t>恒温培养2D摇摆摇床</w:t>
                  </w:r>
                </w:p>
              </w:tc>
              <w:tc>
                <w:tcPr>
                  <w:tcW w:w="1330" w:type="pct"/>
                  <w:vAlign w:val="center"/>
                </w:tcPr>
                <w:p w14:paraId="30CB5982">
                  <w:pPr>
                    <w:pStyle w:val="41"/>
                    <w:bidi w:val="0"/>
                    <w:jc w:val="center"/>
                    <w:rPr>
                      <w:rFonts w:hint="default"/>
                      <w:color w:val="auto"/>
                      <w:highlight w:val="none"/>
                      <w:lang w:val="en-US" w:eastAsia="zh-CN"/>
                    </w:rPr>
                  </w:pPr>
                  <w:r>
                    <w:rPr>
                      <w:color w:val="auto"/>
                      <w:highlight w:val="none"/>
                    </w:rPr>
                    <w:t>ISRK04HDG</w:t>
                  </w:r>
                </w:p>
              </w:tc>
              <w:tc>
                <w:tcPr>
                  <w:tcW w:w="1145" w:type="pct"/>
                  <w:vAlign w:val="center"/>
                </w:tcPr>
                <w:p w14:paraId="2B7C22C9">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4C73E150">
                  <w:pPr>
                    <w:pStyle w:val="41"/>
                    <w:bidi w:val="0"/>
                    <w:jc w:val="center"/>
                    <w:rPr>
                      <w:rFonts w:hint="default"/>
                      <w:color w:val="auto"/>
                      <w:highlight w:val="none"/>
                      <w:lang w:val="en-US" w:eastAsia="zh-CN"/>
                    </w:rPr>
                  </w:pPr>
                </w:p>
              </w:tc>
            </w:tr>
            <w:tr w14:paraId="4B185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EA913D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865F8C3">
                  <w:pPr>
                    <w:pStyle w:val="41"/>
                    <w:bidi w:val="0"/>
                    <w:jc w:val="center"/>
                    <w:rPr>
                      <w:rFonts w:hint="default"/>
                      <w:color w:val="auto"/>
                      <w:highlight w:val="none"/>
                      <w:lang w:val="en-US" w:eastAsia="zh-CN"/>
                    </w:rPr>
                  </w:pPr>
                  <w:r>
                    <w:rPr>
                      <w:color w:val="auto"/>
                      <w:highlight w:val="none"/>
                    </w:rPr>
                    <w:t>万分之一电子分析天平</w:t>
                  </w:r>
                </w:p>
              </w:tc>
              <w:tc>
                <w:tcPr>
                  <w:tcW w:w="1330" w:type="pct"/>
                  <w:vAlign w:val="center"/>
                </w:tcPr>
                <w:p w14:paraId="0131D1AE">
                  <w:pPr>
                    <w:pStyle w:val="41"/>
                    <w:bidi w:val="0"/>
                    <w:jc w:val="center"/>
                    <w:rPr>
                      <w:rFonts w:hint="default"/>
                      <w:color w:val="auto"/>
                      <w:highlight w:val="none"/>
                      <w:lang w:val="en-US" w:eastAsia="zh-CN"/>
                    </w:rPr>
                  </w:pPr>
                  <w:r>
                    <w:rPr>
                      <w:color w:val="auto"/>
                      <w:highlight w:val="none"/>
                    </w:rPr>
                    <w:t>HZK-FA110</w:t>
                  </w:r>
                </w:p>
              </w:tc>
              <w:tc>
                <w:tcPr>
                  <w:tcW w:w="1145" w:type="pct"/>
                  <w:vAlign w:val="center"/>
                </w:tcPr>
                <w:p w14:paraId="402CBD71">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2832E514">
                  <w:pPr>
                    <w:pStyle w:val="41"/>
                    <w:bidi w:val="0"/>
                    <w:jc w:val="center"/>
                    <w:rPr>
                      <w:rFonts w:hint="default"/>
                      <w:color w:val="auto"/>
                      <w:highlight w:val="none"/>
                      <w:lang w:val="en-US" w:eastAsia="zh-CN"/>
                    </w:rPr>
                  </w:pPr>
                </w:p>
              </w:tc>
            </w:tr>
            <w:tr w14:paraId="0C3F1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7BFE2E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C2F97A8">
                  <w:pPr>
                    <w:pStyle w:val="41"/>
                    <w:bidi w:val="0"/>
                    <w:jc w:val="center"/>
                    <w:rPr>
                      <w:rFonts w:hint="default"/>
                      <w:color w:val="auto"/>
                      <w:highlight w:val="none"/>
                      <w:lang w:val="en-US" w:eastAsia="zh-CN"/>
                    </w:rPr>
                  </w:pPr>
                  <w:r>
                    <w:rPr>
                      <w:color w:val="auto"/>
                      <w:highlight w:val="none"/>
                    </w:rPr>
                    <w:t>2D摇摆摇床</w:t>
                  </w:r>
                </w:p>
              </w:tc>
              <w:tc>
                <w:tcPr>
                  <w:tcW w:w="1330" w:type="pct"/>
                  <w:vAlign w:val="center"/>
                </w:tcPr>
                <w:p w14:paraId="2462EBE9">
                  <w:pPr>
                    <w:pStyle w:val="41"/>
                    <w:bidi w:val="0"/>
                    <w:jc w:val="center"/>
                    <w:rPr>
                      <w:rFonts w:hint="default"/>
                      <w:color w:val="auto"/>
                      <w:highlight w:val="none"/>
                      <w:lang w:val="en-US" w:eastAsia="zh-CN"/>
                    </w:rPr>
                  </w:pPr>
                  <w:r>
                    <w:rPr>
                      <w:color w:val="auto"/>
                      <w:highlight w:val="none"/>
                    </w:rPr>
                    <w:t>SHRK07AL2</w:t>
                  </w:r>
                </w:p>
              </w:tc>
              <w:tc>
                <w:tcPr>
                  <w:tcW w:w="1145" w:type="pct"/>
                  <w:vAlign w:val="center"/>
                </w:tcPr>
                <w:p w14:paraId="5DF09ECF">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2C252D0">
                  <w:pPr>
                    <w:pStyle w:val="41"/>
                    <w:bidi w:val="0"/>
                    <w:jc w:val="center"/>
                    <w:rPr>
                      <w:rFonts w:hint="default"/>
                      <w:color w:val="auto"/>
                      <w:highlight w:val="none"/>
                      <w:lang w:val="en-US" w:eastAsia="zh-CN"/>
                    </w:rPr>
                  </w:pPr>
                </w:p>
              </w:tc>
            </w:tr>
            <w:tr w14:paraId="2C9A1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D9B859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106797E">
                  <w:pPr>
                    <w:pStyle w:val="41"/>
                    <w:bidi w:val="0"/>
                    <w:jc w:val="center"/>
                    <w:rPr>
                      <w:rFonts w:hint="default"/>
                      <w:color w:val="auto"/>
                      <w:highlight w:val="none"/>
                      <w:lang w:val="en-US" w:eastAsia="zh-CN"/>
                    </w:rPr>
                  </w:pPr>
                  <w:r>
                    <w:rPr>
                      <w:color w:val="auto"/>
                      <w:highlight w:val="none"/>
                    </w:rPr>
                    <w:t>全自动活细胞显微成像系统</w:t>
                  </w:r>
                </w:p>
              </w:tc>
              <w:tc>
                <w:tcPr>
                  <w:tcW w:w="1330" w:type="pct"/>
                  <w:vAlign w:val="center"/>
                </w:tcPr>
                <w:p w14:paraId="01F00412">
                  <w:pPr>
                    <w:pStyle w:val="41"/>
                    <w:bidi w:val="0"/>
                    <w:jc w:val="center"/>
                    <w:rPr>
                      <w:rFonts w:hint="default"/>
                      <w:color w:val="auto"/>
                      <w:highlight w:val="none"/>
                      <w:lang w:val="en-US" w:eastAsia="zh-CN"/>
                    </w:rPr>
                  </w:pPr>
                  <w:r>
                    <w:rPr>
                      <w:color w:val="auto"/>
                      <w:highlight w:val="none"/>
                    </w:rPr>
                    <w:t>Nikon Ti2-E</w:t>
                  </w:r>
                </w:p>
              </w:tc>
              <w:tc>
                <w:tcPr>
                  <w:tcW w:w="1145" w:type="pct"/>
                  <w:vAlign w:val="center"/>
                </w:tcPr>
                <w:p w14:paraId="096F130B">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44BB0CE9">
                  <w:pPr>
                    <w:pStyle w:val="41"/>
                    <w:bidi w:val="0"/>
                    <w:jc w:val="center"/>
                    <w:rPr>
                      <w:rFonts w:hint="default"/>
                      <w:color w:val="auto"/>
                      <w:highlight w:val="none"/>
                      <w:lang w:val="en-US" w:eastAsia="zh-CN"/>
                    </w:rPr>
                  </w:pPr>
                </w:p>
              </w:tc>
            </w:tr>
            <w:tr w14:paraId="5143B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416951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BCC3C7D">
                  <w:pPr>
                    <w:pStyle w:val="41"/>
                    <w:bidi w:val="0"/>
                    <w:jc w:val="center"/>
                    <w:rPr>
                      <w:rFonts w:hint="default"/>
                      <w:color w:val="auto"/>
                      <w:highlight w:val="none"/>
                      <w:lang w:val="en-US" w:eastAsia="zh-CN"/>
                    </w:rPr>
                  </w:pPr>
                  <w:r>
                    <w:rPr>
                      <w:color w:val="auto"/>
                      <w:highlight w:val="none"/>
                    </w:rPr>
                    <w:t>FLIPR Penta 高通量实时荧光检测分析系统</w:t>
                  </w:r>
                </w:p>
              </w:tc>
              <w:tc>
                <w:tcPr>
                  <w:tcW w:w="1330" w:type="pct"/>
                  <w:vAlign w:val="center"/>
                </w:tcPr>
                <w:p w14:paraId="243198D3">
                  <w:pPr>
                    <w:pStyle w:val="41"/>
                    <w:bidi w:val="0"/>
                    <w:jc w:val="center"/>
                    <w:rPr>
                      <w:rFonts w:hint="default"/>
                      <w:color w:val="auto"/>
                      <w:highlight w:val="none"/>
                      <w:lang w:val="en-US" w:eastAsia="zh-CN"/>
                    </w:rPr>
                  </w:pPr>
                  <w:r>
                    <w:rPr>
                      <w:color w:val="auto"/>
                      <w:highlight w:val="none"/>
                    </w:rPr>
                    <w:t>FLIPR Penta</w:t>
                  </w:r>
                </w:p>
              </w:tc>
              <w:tc>
                <w:tcPr>
                  <w:tcW w:w="1145" w:type="pct"/>
                  <w:vAlign w:val="center"/>
                </w:tcPr>
                <w:p w14:paraId="778EBA66">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5C42109E">
                  <w:pPr>
                    <w:pStyle w:val="41"/>
                    <w:bidi w:val="0"/>
                    <w:jc w:val="center"/>
                    <w:rPr>
                      <w:rFonts w:hint="default"/>
                      <w:color w:val="auto"/>
                      <w:highlight w:val="none"/>
                      <w:lang w:val="en-US" w:eastAsia="zh-CN"/>
                    </w:rPr>
                  </w:pPr>
                </w:p>
              </w:tc>
            </w:tr>
            <w:tr w14:paraId="4561A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72DB6E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0BC3DC9">
                  <w:pPr>
                    <w:pStyle w:val="41"/>
                    <w:bidi w:val="0"/>
                    <w:jc w:val="center"/>
                    <w:rPr>
                      <w:rFonts w:hint="default"/>
                      <w:color w:val="auto"/>
                      <w:highlight w:val="none"/>
                      <w:lang w:val="en-US" w:eastAsia="zh-CN"/>
                    </w:rPr>
                  </w:pPr>
                  <w:r>
                    <w:rPr>
                      <w:color w:val="auto"/>
                      <w:highlight w:val="none"/>
                    </w:rPr>
                    <w:t>赛多利斯Octet® R8 生物分子相互作用分析系统</w:t>
                  </w:r>
                </w:p>
              </w:tc>
              <w:tc>
                <w:tcPr>
                  <w:tcW w:w="1330" w:type="pct"/>
                  <w:vAlign w:val="center"/>
                </w:tcPr>
                <w:p w14:paraId="340935C0">
                  <w:pPr>
                    <w:pStyle w:val="41"/>
                    <w:bidi w:val="0"/>
                    <w:jc w:val="center"/>
                    <w:rPr>
                      <w:rFonts w:hint="default"/>
                      <w:color w:val="auto"/>
                      <w:highlight w:val="none"/>
                      <w:lang w:val="en-US" w:eastAsia="zh-CN"/>
                    </w:rPr>
                  </w:pPr>
                  <w:r>
                    <w:rPr>
                      <w:color w:val="auto"/>
                      <w:highlight w:val="none"/>
                    </w:rPr>
                    <w:t>Octet® R8</w:t>
                  </w:r>
                </w:p>
              </w:tc>
              <w:tc>
                <w:tcPr>
                  <w:tcW w:w="1145" w:type="pct"/>
                  <w:vAlign w:val="center"/>
                </w:tcPr>
                <w:p w14:paraId="00E6FEF4">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5DD2E847">
                  <w:pPr>
                    <w:pStyle w:val="41"/>
                    <w:bidi w:val="0"/>
                    <w:jc w:val="center"/>
                    <w:rPr>
                      <w:rFonts w:hint="default"/>
                      <w:color w:val="auto"/>
                      <w:highlight w:val="none"/>
                      <w:lang w:val="en-US" w:eastAsia="zh-CN"/>
                    </w:rPr>
                  </w:pPr>
                </w:p>
              </w:tc>
            </w:tr>
            <w:tr w14:paraId="51759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883D28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5F2AECC">
                  <w:pPr>
                    <w:pStyle w:val="41"/>
                    <w:bidi w:val="0"/>
                    <w:jc w:val="center"/>
                    <w:rPr>
                      <w:rFonts w:hint="default"/>
                      <w:color w:val="auto"/>
                      <w:highlight w:val="none"/>
                      <w:lang w:val="en-US" w:eastAsia="zh-CN"/>
                    </w:rPr>
                  </w:pPr>
                  <w:r>
                    <w:rPr>
                      <w:color w:val="auto"/>
                      <w:highlight w:val="none"/>
                    </w:rPr>
                    <w:t>Genepix 4400A芯片扫描仪</w:t>
                  </w:r>
                </w:p>
              </w:tc>
              <w:tc>
                <w:tcPr>
                  <w:tcW w:w="1330" w:type="pct"/>
                  <w:vAlign w:val="center"/>
                </w:tcPr>
                <w:p w14:paraId="6549E6E9">
                  <w:pPr>
                    <w:pStyle w:val="41"/>
                    <w:bidi w:val="0"/>
                    <w:jc w:val="center"/>
                    <w:rPr>
                      <w:rFonts w:hint="default"/>
                      <w:color w:val="auto"/>
                      <w:highlight w:val="none"/>
                      <w:lang w:val="en-US" w:eastAsia="zh-CN"/>
                    </w:rPr>
                  </w:pPr>
                  <w:r>
                    <w:rPr>
                      <w:color w:val="auto"/>
                      <w:highlight w:val="none"/>
                    </w:rPr>
                    <w:t>4400A</w:t>
                  </w:r>
                </w:p>
              </w:tc>
              <w:tc>
                <w:tcPr>
                  <w:tcW w:w="1145" w:type="pct"/>
                  <w:vAlign w:val="center"/>
                </w:tcPr>
                <w:p w14:paraId="715C105E">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D8B22C0">
                  <w:pPr>
                    <w:pStyle w:val="41"/>
                    <w:bidi w:val="0"/>
                    <w:jc w:val="center"/>
                    <w:rPr>
                      <w:rFonts w:hint="default"/>
                      <w:color w:val="auto"/>
                      <w:highlight w:val="none"/>
                      <w:lang w:val="en-US" w:eastAsia="zh-CN"/>
                    </w:rPr>
                  </w:pPr>
                </w:p>
              </w:tc>
            </w:tr>
            <w:tr w14:paraId="28F18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B4D353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B64068D">
                  <w:pPr>
                    <w:pStyle w:val="41"/>
                    <w:bidi w:val="0"/>
                    <w:jc w:val="center"/>
                    <w:rPr>
                      <w:rFonts w:hint="default"/>
                      <w:color w:val="auto"/>
                      <w:highlight w:val="none"/>
                      <w:lang w:val="en-US" w:eastAsia="zh-CN"/>
                    </w:rPr>
                  </w:pPr>
                  <w:r>
                    <w:rPr>
                      <w:color w:val="auto"/>
                      <w:highlight w:val="none"/>
                    </w:rPr>
                    <w:t>微电极抛光仪</w:t>
                  </w:r>
                </w:p>
              </w:tc>
              <w:tc>
                <w:tcPr>
                  <w:tcW w:w="1330" w:type="pct"/>
                  <w:vAlign w:val="center"/>
                </w:tcPr>
                <w:p w14:paraId="0B8E4F58">
                  <w:pPr>
                    <w:pStyle w:val="41"/>
                    <w:bidi w:val="0"/>
                    <w:jc w:val="center"/>
                    <w:rPr>
                      <w:rFonts w:hint="default"/>
                      <w:color w:val="auto"/>
                      <w:highlight w:val="none"/>
                      <w:lang w:val="en-US" w:eastAsia="zh-CN"/>
                    </w:rPr>
                  </w:pPr>
                  <w:r>
                    <w:rPr>
                      <w:color w:val="auto"/>
                      <w:highlight w:val="none"/>
                    </w:rPr>
                    <w:t>MF-2</w:t>
                  </w:r>
                </w:p>
              </w:tc>
              <w:tc>
                <w:tcPr>
                  <w:tcW w:w="1145" w:type="pct"/>
                  <w:vAlign w:val="center"/>
                </w:tcPr>
                <w:p w14:paraId="3025C5CC">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53FEE994">
                  <w:pPr>
                    <w:pStyle w:val="41"/>
                    <w:bidi w:val="0"/>
                    <w:jc w:val="center"/>
                    <w:rPr>
                      <w:rFonts w:hint="default"/>
                      <w:color w:val="auto"/>
                      <w:highlight w:val="none"/>
                      <w:lang w:val="en-US" w:eastAsia="zh-CN"/>
                    </w:rPr>
                  </w:pPr>
                </w:p>
              </w:tc>
            </w:tr>
            <w:tr w14:paraId="708B9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92EF71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587277D">
                  <w:pPr>
                    <w:pStyle w:val="41"/>
                    <w:bidi w:val="0"/>
                    <w:jc w:val="center"/>
                    <w:rPr>
                      <w:rFonts w:hint="default"/>
                      <w:color w:val="auto"/>
                      <w:highlight w:val="none"/>
                      <w:lang w:val="en-US" w:eastAsia="zh-CN"/>
                    </w:rPr>
                  </w:pPr>
                  <w:r>
                    <w:rPr>
                      <w:color w:val="auto"/>
                      <w:highlight w:val="none"/>
                    </w:rPr>
                    <w:t>UPS电源</w:t>
                  </w:r>
                </w:p>
              </w:tc>
              <w:tc>
                <w:tcPr>
                  <w:tcW w:w="1330" w:type="pct"/>
                  <w:vAlign w:val="center"/>
                </w:tcPr>
                <w:p w14:paraId="2D3ED958">
                  <w:pPr>
                    <w:pStyle w:val="41"/>
                    <w:bidi w:val="0"/>
                    <w:jc w:val="center"/>
                    <w:rPr>
                      <w:rFonts w:hint="default"/>
                      <w:color w:val="auto"/>
                      <w:highlight w:val="none"/>
                      <w:lang w:val="en-US" w:eastAsia="zh-CN"/>
                    </w:rPr>
                  </w:pPr>
                </w:p>
              </w:tc>
              <w:tc>
                <w:tcPr>
                  <w:tcW w:w="1145" w:type="pct"/>
                  <w:vAlign w:val="center"/>
                </w:tcPr>
                <w:p w14:paraId="548997F8">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6AF2E635">
                  <w:pPr>
                    <w:pStyle w:val="41"/>
                    <w:bidi w:val="0"/>
                    <w:jc w:val="center"/>
                    <w:rPr>
                      <w:rFonts w:hint="default"/>
                      <w:color w:val="auto"/>
                      <w:highlight w:val="none"/>
                      <w:lang w:val="en-US" w:eastAsia="zh-CN"/>
                    </w:rPr>
                  </w:pPr>
                </w:p>
              </w:tc>
            </w:tr>
            <w:tr w14:paraId="43E58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CA1D31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5AEBF77">
                  <w:pPr>
                    <w:pStyle w:val="41"/>
                    <w:bidi w:val="0"/>
                    <w:jc w:val="center"/>
                    <w:rPr>
                      <w:rFonts w:hint="default"/>
                      <w:color w:val="auto"/>
                      <w:highlight w:val="none"/>
                      <w:lang w:val="en-US" w:eastAsia="zh-CN"/>
                    </w:rPr>
                  </w:pPr>
                  <w:r>
                    <w:rPr>
                      <w:color w:val="auto"/>
                      <w:highlight w:val="none"/>
                    </w:rPr>
                    <w:t>小型三气 CO2 培养箱</w:t>
                  </w:r>
                </w:p>
              </w:tc>
              <w:tc>
                <w:tcPr>
                  <w:tcW w:w="1330" w:type="pct"/>
                  <w:vAlign w:val="center"/>
                </w:tcPr>
                <w:p w14:paraId="18578AE7">
                  <w:pPr>
                    <w:pStyle w:val="41"/>
                    <w:bidi w:val="0"/>
                    <w:jc w:val="center"/>
                    <w:rPr>
                      <w:rFonts w:hint="default"/>
                      <w:color w:val="auto"/>
                      <w:highlight w:val="none"/>
                      <w:lang w:val="en-US" w:eastAsia="zh-CN"/>
                    </w:rPr>
                  </w:pPr>
                  <w:r>
                    <w:rPr>
                      <w:color w:val="auto"/>
                      <w:highlight w:val="none"/>
                    </w:rPr>
                    <w:t>Galaxy®48R</w:t>
                  </w:r>
                </w:p>
              </w:tc>
              <w:tc>
                <w:tcPr>
                  <w:tcW w:w="1145" w:type="pct"/>
                  <w:vAlign w:val="center"/>
                </w:tcPr>
                <w:p w14:paraId="5E677DE5">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6FBE6963">
                  <w:pPr>
                    <w:pStyle w:val="41"/>
                    <w:bidi w:val="0"/>
                    <w:jc w:val="center"/>
                    <w:rPr>
                      <w:rFonts w:hint="default"/>
                      <w:color w:val="auto"/>
                      <w:highlight w:val="none"/>
                      <w:lang w:val="en-US" w:eastAsia="zh-CN"/>
                    </w:rPr>
                  </w:pPr>
                </w:p>
              </w:tc>
            </w:tr>
            <w:tr w14:paraId="68022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5A3ACE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D15AAC6">
                  <w:pPr>
                    <w:pStyle w:val="41"/>
                    <w:bidi w:val="0"/>
                    <w:jc w:val="center"/>
                    <w:rPr>
                      <w:rFonts w:hint="default"/>
                      <w:color w:val="auto"/>
                      <w:highlight w:val="none"/>
                      <w:lang w:val="en-US" w:eastAsia="zh-CN"/>
                    </w:rPr>
                  </w:pPr>
                  <w:r>
                    <w:rPr>
                      <w:color w:val="auto"/>
                      <w:highlight w:val="none"/>
                    </w:rPr>
                    <w:t>样品混合器</w:t>
                  </w:r>
                </w:p>
              </w:tc>
              <w:tc>
                <w:tcPr>
                  <w:tcW w:w="1330" w:type="pct"/>
                  <w:vAlign w:val="center"/>
                </w:tcPr>
                <w:p w14:paraId="69723923">
                  <w:pPr>
                    <w:pStyle w:val="41"/>
                    <w:bidi w:val="0"/>
                    <w:jc w:val="center"/>
                    <w:rPr>
                      <w:rFonts w:hint="default"/>
                      <w:color w:val="auto"/>
                      <w:highlight w:val="none"/>
                      <w:lang w:val="en-US" w:eastAsia="zh-CN"/>
                    </w:rPr>
                  </w:pPr>
                  <w:r>
                    <w:rPr>
                      <w:color w:val="auto"/>
                      <w:highlight w:val="none"/>
                    </w:rPr>
                    <w:t>HulaMixer™ 15920D</w:t>
                  </w:r>
                </w:p>
              </w:tc>
              <w:tc>
                <w:tcPr>
                  <w:tcW w:w="1145" w:type="pct"/>
                  <w:vAlign w:val="center"/>
                </w:tcPr>
                <w:p w14:paraId="6EB8A25F">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5049D60F">
                  <w:pPr>
                    <w:pStyle w:val="41"/>
                    <w:bidi w:val="0"/>
                    <w:jc w:val="center"/>
                    <w:rPr>
                      <w:rFonts w:hint="default"/>
                      <w:color w:val="auto"/>
                      <w:highlight w:val="none"/>
                      <w:lang w:val="en-US" w:eastAsia="zh-CN"/>
                    </w:rPr>
                  </w:pPr>
                </w:p>
              </w:tc>
            </w:tr>
            <w:tr w14:paraId="346AB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F9D774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83CB1F0">
                  <w:pPr>
                    <w:pStyle w:val="41"/>
                    <w:bidi w:val="0"/>
                    <w:jc w:val="center"/>
                    <w:rPr>
                      <w:rFonts w:hint="default"/>
                      <w:color w:val="auto"/>
                      <w:highlight w:val="none"/>
                      <w:lang w:val="en-US" w:eastAsia="zh-CN"/>
                    </w:rPr>
                  </w:pPr>
                  <w:r>
                    <w:rPr>
                      <w:color w:val="auto"/>
                      <w:highlight w:val="none"/>
                    </w:rPr>
                    <w:t>小型中药提取浓缩机组（50L</w:t>
                  </w:r>
                  <w:r>
                    <w:rPr>
                      <w:rFonts w:hint="eastAsia"/>
                      <w:color w:val="auto"/>
                      <w:highlight w:val="none"/>
                      <w:lang w:eastAsia="zh-CN"/>
                    </w:rPr>
                    <w:t>）</w:t>
                  </w:r>
                </w:p>
              </w:tc>
              <w:tc>
                <w:tcPr>
                  <w:tcW w:w="1330" w:type="pct"/>
                  <w:vAlign w:val="center"/>
                </w:tcPr>
                <w:p w14:paraId="6D1EEAAE">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27861319">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3901BD80">
                  <w:pPr>
                    <w:pStyle w:val="41"/>
                    <w:bidi w:val="0"/>
                    <w:jc w:val="center"/>
                    <w:rPr>
                      <w:rFonts w:hint="default"/>
                      <w:color w:val="auto"/>
                      <w:highlight w:val="none"/>
                      <w:lang w:val="en-US" w:eastAsia="zh-CN"/>
                    </w:rPr>
                  </w:pPr>
                </w:p>
              </w:tc>
            </w:tr>
            <w:tr w14:paraId="4C83A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DBA1A7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DAA181D">
                  <w:pPr>
                    <w:pStyle w:val="41"/>
                    <w:bidi w:val="0"/>
                    <w:jc w:val="center"/>
                    <w:rPr>
                      <w:rFonts w:hint="default"/>
                      <w:color w:val="auto"/>
                      <w:highlight w:val="none"/>
                      <w:lang w:val="en-US" w:eastAsia="zh-CN"/>
                    </w:rPr>
                  </w:pPr>
                  <w:r>
                    <w:rPr>
                      <w:color w:val="auto"/>
                      <w:highlight w:val="none"/>
                    </w:rPr>
                    <w:t>DZF-6090AB型电热真空干燥箱2XZ—4真空泵</w:t>
                  </w:r>
                </w:p>
              </w:tc>
              <w:tc>
                <w:tcPr>
                  <w:tcW w:w="1330" w:type="pct"/>
                  <w:vAlign w:val="center"/>
                </w:tcPr>
                <w:p w14:paraId="445E4615">
                  <w:pPr>
                    <w:pStyle w:val="41"/>
                    <w:bidi w:val="0"/>
                    <w:jc w:val="center"/>
                    <w:rPr>
                      <w:rFonts w:hint="default"/>
                      <w:color w:val="auto"/>
                      <w:highlight w:val="none"/>
                      <w:lang w:val="en-US" w:eastAsia="zh-CN"/>
                    </w:rPr>
                  </w:pPr>
                  <w:r>
                    <w:rPr>
                      <w:color w:val="auto"/>
                      <w:highlight w:val="none"/>
                    </w:rPr>
                    <w:t>DZF-6090AB</w:t>
                  </w:r>
                </w:p>
              </w:tc>
              <w:tc>
                <w:tcPr>
                  <w:tcW w:w="1145" w:type="pct"/>
                  <w:vAlign w:val="center"/>
                </w:tcPr>
                <w:p w14:paraId="24999C87">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4705E6F5">
                  <w:pPr>
                    <w:pStyle w:val="41"/>
                    <w:bidi w:val="0"/>
                    <w:jc w:val="center"/>
                    <w:rPr>
                      <w:rFonts w:hint="default"/>
                      <w:color w:val="auto"/>
                      <w:highlight w:val="none"/>
                      <w:lang w:val="en-US" w:eastAsia="zh-CN"/>
                    </w:rPr>
                  </w:pPr>
                </w:p>
              </w:tc>
            </w:tr>
            <w:tr w14:paraId="5DB3D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53FF33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2E3F565">
                  <w:pPr>
                    <w:pStyle w:val="41"/>
                    <w:bidi w:val="0"/>
                    <w:jc w:val="center"/>
                    <w:rPr>
                      <w:rFonts w:hint="default"/>
                      <w:color w:val="auto"/>
                      <w:highlight w:val="none"/>
                      <w:lang w:val="en-US" w:eastAsia="zh-CN"/>
                    </w:rPr>
                  </w:pPr>
                  <w:r>
                    <w:rPr>
                      <w:color w:val="auto"/>
                      <w:highlight w:val="none"/>
                    </w:rPr>
                    <w:t>低温保存箱（-30℃）</w:t>
                  </w:r>
                </w:p>
              </w:tc>
              <w:tc>
                <w:tcPr>
                  <w:tcW w:w="1330" w:type="pct"/>
                  <w:vAlign w:val="center"/>
                </w:tcPr>
                <w:p w14:paraId="57786DCE">
                  <w:pPr>
                    <w:pStyle w:val="41"/>
                    <w:bidi w:val="0"/>
                    <w:jc w:val="center"/>
                    <w:rPr>
                      <w:rFonts w:hint="default"/>
                      <w:color w:val="auto"/>
                      <w:highlight w:val="none"/>
                      <w:lang w:val="en-US" w:eastAsia="zh-CN"/>
                    </w:rPr>
                  </w:pPr>
                  <w:r>
                    <w:rPr>
                      <w:color w:val="auto"/>
                      <w:highlight w:val="none"/>
                    </w:rPr>
                    <w:t>RBD Haier</w:t>
                  </w:r>
                </w:p>
              </w:tc>
              <w:tc>
                <w:tcPr>
                  <w:tcW w:w="1145" w:type="pct"/>
                  <w:vAlign w:val="center"/>
                </w:tcPr>
                <w:p w14:paraId="5B38FA6F">
                  <w:pPr>
                    <w:pStyle w:val="41"/>
                    <w:bidi w:val="0"/>
                    <w:jc w:val="center"/>
                    <w:rPr>
                      <w:rFonts w:hint="default"/>
                      <w:color w:val="auto"/>
                      <w:highlight w:val="none"/>
                      <w:lang w:val="en-US" w:eastAsia="zh-CN"/>
                    </w:rPr>
                  </w:pPr>
                  <w:r>
                    <w:rPr>
                      <w:color w:val="auto"/>
                      <w:highlight w:val="none"/>
                    </w:rPr>
                    <w:t>3</w:t>
                  </w:r>
                </w:p>
              </w:tc>
              <w:tc>
                <w:tcPr>
                  <w:tcW w:w="812" w:type="pct"/>
                  <w:vMerge w:val="continue"/>
                  <w:vAlign w:val="center"/>
                </w:tcPr>
                <w:p w14:paraId="29F9E677">
                  <w:pPr>
                    <w:pStyle w:val="41"/>
                    <w:bidi w:val="0"/>
                    <w:jc w:val="center"/>
                    <w:rPr>
                      <w:rFonts w:hint="default"/>
                      <w:color w:val="auto"/>
                      <w:highlight w:val="none"/>
                      <w:lang w:val="en-US" w:eastAsia="zh-CN"/>
                    </w:rPr>
                  </w:pPr>
                </w:p>
              </w:tc>
            </w:tr>
            <w:tr w14:paraId="01E81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7A2459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EACFE6C">
                  <w:pPr>
                    <w:pStyle w:val="41"/>
                    <w:bidi w:val="0"/>
                    <w:jc w:val="center"/>
                    <w:rPr>
                      <w:rFonts w:hint="default"/>
                      <w:color w:val="auto"/>
                      <w:highlight w:val="none"/>
                      <w:lang w:val="en-US" w:eastAsia="zh-CN"/>
                    </w:rPr>
                  </w:pPr>
                  <w:r>
                    <w:rPr>
                      <w:color w:val="auto"/>
                      <w:highlight w:val="none"/>
                    </w:rPr>
                    <w:t>西门子冰箱</w:t>
                  </w:r>
                </w:p>
              </w:tc>
              <w:tc>
                <w:tcPr>
                  <w:tcW w:w="1330" w:type="pct"/>
                  <w:vAlign w:val="center"/>
                </w:tcPr>
                <w:p w14:paraId="47EB1D6F">
                  <w:pPr>
                    <w:pStyle w:val="41"/>
                    <w:bidi w:val="0"/>
                    <w:jc w:val="center"/>
                    <w:rPr>
                      <w:rFonts w:hint="default"/>
                      <w:color w:val="auto"/>
                      <w:highlight w:val="none"/>
                      <w:lang w:val="en-US" w:eastAsia="zh-CN"/>
                    </w:rPr>
                  </w:pPr>
                  <w:r>
                    <w:rPr>
                      <w:color w:val="auto"/>
                      <w:highlight w:val="none"/>
                    </w:rPr>
                    <w:t>BCD265</w:t>
                  </w:r>
                </w:p>
              </w:tc>
              <w:tc>
                <w:tcPr>
                  <w:tcW w:w="1145" w:type="pct"/>
                  <w:vAlign w:val="center"/>
                </w:tcPr>
                <w:p w14:paraId="52FB1AA2">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48EC1848">
                  <w:pPr>
                    <w:pStyle w:val="41"/>
                    <w:bidi w:val="0"/>
                    <w:jc w:val="center"/>
                    <w:rPr>
                      <w:rFonts w:hint="default"/>
                      <w:color w:val="auto"/>
                      <w:highlight w:val="none"/>
                      <w:lang w:val="en-US" w:eastAsia="zh-CN"/>
                    </w:rPr>
                  </w:pPr>
                </w:p>
              </w:tc>
            </w:tr>
            <w:tr w14:paraId="1756A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DD98F3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680B217">
                  <w:pPr>
                    <w:pStyle w:val="41"/>
                    <w:bidi w:val="0"/>
                    <w:jc w:val="center"/>
                    <w:rPr>
                      <w:rFonts w:hint="default"/>
                      <w:color w:val="auto"/>
                      <w:highlight w:val="none"/>
                      <w:lang w:val="en-US" w:eastAsia="zh-CN"/>
                    </w:rPr>
                  </w:pPr>
                  <w:r>
                    <w:rPr>
                      <w:color w:val="auto"/>
                      <w:highlight w:val="none"/>
                    </w:rPr>
                    <w:t>超低温冰箱</w:t>
                  </w:r>
                </w:p>
              </w:tc>
              <w:tc>
                <w:tcPr>
                  <w:tcW w:w="1330" w:type="pct"/>
                  <w:vAlign w:val="center"/>
                </w:tcPr>
                <w:p w14:paraId="4BBB95D2">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040969C0">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6EA7C9DB">
                  <w:pPr>
                    <w:pStyle w:val="41"/>
                    <w:bidi w:val="0"/>
                    <w:jc w:val="center"/>
                    <w:rPr>
                      <w:rFonts w:hint="default"/>
                      <w:color w:val="auto"/>
                      <w:highlight w:val="none"/>
                      <w:lang w:val="en-US" w:eastAsia="zh-CN"/>
                    </w:rPr>
                  </w:pPr>
                </w:p>
              </w:tc>
            </w:tr>
            <w:tr w14:paraId="39969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4201E6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9E4155A">
                  <w:pPr>
                    <w:pStyle w:val="41"/>
                    <w:bidi w:val="0"/>
                    <w:jc w:val="center"/>
                    <w:rPr>
                      <w:rFonts w:hint="default"/>
                      <w:color w:val="auto"/>
                      <w:highlight w:val="none"/>
                      <w:lang w:val="en-US" w:eastAsia="zh-CN"/>
                    </w:rPr>
                  </w:pPr>
                  <w:r>
                    <w:rPr>
                      <w:color w:val="auto"/>
                      <w:highlight w:val="none"/>
                    </w:rPr>
                    <w:t>DY-1012 超声清洗仪</w:t>
                  </w:r>
                </w:p>
              </w:tc>
              <w:tc>
                <w:tcPr>
                  <w:tcW w:w="1330" w:type="pct"/>
                  <w:vAlign w:val="center"/>
                </w:tcPr>
                <w:p w14:paraId="114C0FAF">
                  <w:pPr>
                    <w:pStyle w:val="41"/>
                    <w:bidi w:val="0"/>
                    <w:jc w:val="center"/>
                    <w:rPr>
                      <w:rFonts w:hint="default"/>
                      <w:color w:val="auto"/>
                      <w:highlight w:val="none"/>
                      <w:lang w:val="en-US" w:eastAsia="zh-CN"/>
                    </w:rPr>
                  </w:pPr>
                  <w:r>
                    <w:rPr>
                      <w:color w:val="auto"/>
                      <w:highlight w:val="none"/>
                    </w:rPr>
                    <w:t>KH-100B</w:t>
                  </w:r>
                </w:p>
              </w:tc>
              <w:tc>
                <w:tcPr>
                  <w:tcW w:w="1145" w:type="pct"/>
                  <w:vAlign w:val="center"/>
                </w:tcPr>
                <w:p w14:paraId="17D4FB4F">
                  <w:pPr>
                    <w:pStyle w:val="41"/>
                    <w:bidi w:val="0"/>
                    <w:jc w:val="center"/>
                    <w:rPr>
                      <w:rFonts w:hint="default"/>
                      <w:color w:val="auto"/>
                      <w:highlight w:val="none"/>
                      <w:lang w:val="en-US" w:eastAsia="zh-CN"/>
                    </w:rPr>
                  </w:pPr>
                  <w:r>
                    <w:rPr>
                      <w:color w:val="auto"/>
                      <w:highlight w:val="none"/>
                    </w:rPr>
                    <w:t>2</w:t>
                  </w:r>
                </w:p>
              </w:tc>
              <w:tc>
                <w:tcPr>
                  <w:tcW w:w="812" w:type="pct"/>
                  <w:vMerge w:val="continue"/>
                  <w:vAlign w:val="center"/>
                </w:tcPr>
                <w:p w14:paraId="7C891F97">
                  <w:pPr>
                    <w:pStyle w:val="41"/>
                    <w:bidi w:val="0"/>
                    <w:jc w:val="center"/>
                    <w:rPr>
                      <w:rFonts w:hint="default"/>
                      <w:color w:val="auto"/>
                      <w:highlight w:val="none"/>
                      <w:lang w:val="en-US" w:eastAsia="zh-CN"/>
                    </w:rPr>
                  </w:pPr>
                </w:p>
              </w:tc>
            </w:tr>
            <w:tr w14:paraId="10A2F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8F3B7D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CB755C5">
                  <w:pPr>
                    <w:pStyle w:val="41"/>
                    <w:bidi w:val="0"/>
                    <w:jc w:val="center"/>
                    <w:rPr>
                      <w:rFonts w:hint="default"/>
                      <w:color w:val="auto"/>
                      <w:highlight w:val="none"/>
                      <w:lang w:val="en-US" w:eastAsia="zh-CN"/>
                    </w:rPr>
                  </w:pPr>
                  <w:r>
                    <w:rPr>
                      <w:color w:val="auto"/>
                      <w:highlight w:val="none"/>
                    </w:rPr>
                    <w:t>DHG-9140A电热恒温鼓风干燥箱</w:t>
                  </w:r>
                </w:p>
              </w:tc>
              <w:tc>
                <w:tcPr>
                  <w:tcW w:w="1330" w:type="pct"/>
                  <w:vAlign w:val="center"/>
                </w:tcPr>
                <w:p w14:paraId="40369B9B">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47DE24E3">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1A4485C">
                  <w:pPr>
                    <w:pStyle w:val="41"/>
                    <w:bidi w:val="0"/>
                    <w:jc w:val="center"/>
                    <w:rPr>
                      <w:rFonts w:hint="default"/>
                      <w:color w:val="auto"/>
                      <w:highlight w:val="none"/>
                      <w:lang w:val="en-US" w:eastAsia="zh-CN"/>
                    </w:rPr>
                  </w:pPr>
                </w:p>
              </w:tc>
            </w:tr>
            <w:tr w14:paraId="2EA9E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4D1585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94F4BF7">
                  <w:pPr>
                    <w:pStyle w:val="41"/>
                    <w:bidi w:val="0"/>
                    <w:jc w:val="center"/>
                    <w:rPr>
                      <w:rFonts w:hint="default"/>
                      <w:color w:val="auto"/>
                      <w:highlight w:val="none"/>
                      <w:lang w:val="en-US" w:eastAsia="zh-CN"/>
                    </w:rPr>
                  </w:pPr>
                  <w:r>
                    <w:rPr>
                      <w:color w:val="auto"/>
                      <w:highlight w:val="none"/>
                    </w:rPr>
                    <w:t>自动馏分收集器</w:t>
                  </w:r>
                </w:p>
              </w:tc>
              <w:tc>
                <w:tcPr>
                  <w:tcW w:w="1330" w:type="pct"/>
                  <w:vAlign w:val="center"/>
                </w:tcPr>
                <w:p w14:paraId="4FDB4A7F">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125FEFE6">
                  <w:pPr>
                    <w:pStyle w:val="41"/>
                    <w:bidi w:val="0"/>
                    <w:jc w:val="center"/>
                    <w:rPr>
                      <w:rFonts w:hint="default"/>
                      <w:color w:val="auto"/>
                      <w:highlight w:val="none"/>
                      <w:lang w:val="en-US" w:eastAsia="zh-CN"/>
                    </w:rPr>
                  </w:pPr>
                  <w:r>
                    <w:rPr>
                      <w:color w:val="auto"/>
                      <w:highlight w:val="none"/>
                    </w:rPr>
                    <w:t>2</w:t>
                  </w:r>
                </w:p>
              </w:tc>
              <w:tc>
                <w:tcPr>
                  <w:tcW w:w="812" w:type="pct"/>
                  <w:vMerge w:val="continue"/>
                  <w:vAlign w:val="center"/>
                </w:tcPr>
                <w:p w14:paraId="48CDF51E">
                  <w:pPr>
                    <w:pStyle w:val="41"/>
                    <w:bidi w:val="0"/>
                    <w:jc w:val="center"/>
                    <w:rPr>
                      <w:rFonts w:hint="default"/>
                      <w:color w:val="auto"/>
                      <w:highlight w:val="none"/>
                      <w:lang w:val="en-US" w:eastAsia="zh-CN"/>
                    </w:rPr>
                  </w:pPr>
                </w:p>
              </w:tc>
            </w:tr>
            <w:tr w14:paraId="2A480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8FE2EE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E83B67F">
                  <w:pPr>
                    <w:pStyle w:val="41"/>
                    <w:bidi w:val="0"/>
                    <w:jc w:val="center"/>
                    <w:rPr>
                      <w:rFonts w:hint="default"/>
                      <w:color w:val="auto"/>
                      <w:highlight w:val="none"/>
                      <w:lang w:val="en-US" w:eastAsia="zh-CN"/>
                    </w:rPr>
                  </w:pPr>
                  <w:r>
                    <w:rPr>
                      <w:color w:val="auto"/>
                      <w:highlight w:val="none"/>
                    </w:rPr>
                    <w:t>FJ200-SH高速分散均质机</w:t>
                  </w:r>
                </w:p>
              </w:tc>
              <w:tc>
                <w:tcPr>
                  <w:tcW w:w="1330" w:type="pct"/>
                  <w:vAlign w:val="center"/>
                </w:tcPr>
                <w:p w14:paraId="439A7FAF">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5DD26223">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94D09A5">
                  <w:pPr>
                    <w:pStyle w:val="41"/>
                    <w:bidi w:val="0"/>
                    <w:jc w:val="center"/>
                    <w:rPr>
                      <w:rFonts w:hint="default"/>
                      <w:color w:val="auto"/>
                      <w:highlight w:val="none"/>
                      <w:lang w:val="en-US" w:eastAsia="zh-CN"/>
                    </w:rPr>
                  </w:pPr>
                </w:p>
              </w:tc>
            </w:tr>
            <w:tr w14:paraId="73EEA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651F69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91D1ED5">
                  <w:pPr>
                    <w:pStyle w:val="41"/>
                    <w:bidi w:val="0"/>
                    <w:jc w:val="center"/>
                    <w:rPr>
                      <w:rFonts w:hint="default"/>
                      <w:color w:val="auto"/>
                      <w:highlight w:val="none"/>
                      <w:lang w:val="en-US" w:eastAsia="zh-CN"/>
                    </w:rPr>
                  </w:pPr>
                  <w:r>
                    <w:rPr>
                      <w:color w:val="auto"/>
                      <w:highlight w:val="none"/>
                    </w:rPr>
                    <w:t>真空乳化机及高温循环槽</w:t>
                  </w:r>
                </w:p>
              </w:tc>
              <w:tc>
                <w:tcPr>
                  <w:tcW w:w="1330" w:type="pct"/>
                  <w:vAlign w:val="center"/>
                </w:tcPr>
                <w:p w14:paraId="14232EF6">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3872B85C">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5B8856CC">
                  <w:pPr>
                    <w:pStyle w:val="41"/>
                    <w:bidi w:val="0"/>
                    <w:jc w:val="center"/>
                    <w:rPr>
                      <w:rFonts w:hint="default"/>
                      <w:color w:val="auto"/>
                      <w:highlight w:val="none"/>
                      <w:lang w:val="en-US" w:eastAsia="zh-CN"/>
                    </w:rPr>
                  </w:pPr>
                </w:p>
              </w:tc>
            </w:tr>
            <w:tr w14:paraId="4D3DA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BC13A2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A789F6E">
                  <w:pPr>
                    <w:pStyle w:val="41"/>
                    <w:bidi w:val="0"/>
                    <w:jc w:val="center"/>
                    <w:rPr>
                      <w:rFonts w:hint="default"/>
                      <w:color w:val="auto"/>
                      <w:highlight w:val="none"/>
                      <w:lang w:val="en-US" w:eastAsia="zh-CN"/>
                    </w:rPr>
                  </w:pPr>
                  <w:r>
                    <w:rPr>
                      <w:color w:val="auto"/>
                      <w:highlight w:val="none"/>
                    </w:rPr>
                    <w:t>DV-2T-SSA+粘度计</w:t>
                  </w:r>
                </w:p>
              </w:tc>
              <w:tc>
                <w:tcPr>
                  <w:tcW w:w="1330" w:type="pct"/>
                  <w:vAlign w:val="center"/>
                </w:tcPr>
                <w:p w14:paraId="7A2E29D0">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4193351F">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5ECA02A7">
                  <w:pPr>
                    <w:pStyle w:val="41"/>
                    <w:bidi w:val="0"/>
                    <w:jc w:val="center"/>
                    <w:rPr>
                      <w:rFonts w:hint="default"/>
                      <w:color w:val="auto"/>
                      <w:highlight w:val="none"/>
                      <w:lang w:val="en-US" w:eastAsia="zh-CN"/>
                    </w:rPr>
                  </w:pPr>
                </w:p>
              </w:tc>
            </w:tr>
            <w:tr w14:paraId="3DC6C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313E8D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80D41FB">
                  <w:pPr>
                    <w:pStyle w:val="41"/>
                    <w:bidi w:val="0"/>
                    <w:jc w:val="center"/>
                    <w:rPr>
                      <w:rFonts w:hint="default"/>
                      <w:color w:val="auto"/>
                      <w:highlight w:val="none"/>
                      <w:lang w:val="en-US" w:eastAsia="zh-CN"/>
                    </w:rPr>
                  </w:pPr>
                  <w:r>
                    <w:rPr>
                      <w:color w:val="auto"/>
                      <w:highlight w:val="none"/>
                    </w:rPr>
                    <w:t>TYG-Z2L真空捏合搅拌机</w:t>
                  </w:r>
                </w:p>
              </w:tc>
              <w:tc>
                <w:tcPr>
                  <w:tcW w:w="1330" w:type="pct"/>
                  <w:vAlign w:val="center"/>
                </w:tcPr>
                <w:p w14:paraId="4A6FAFED">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64F83688">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5C74049">
                  <w:pPr>
                    <w:pStyle w:val="41"/>
                    <w:bidi w:val="0"/>
                    <w:jc w:val="center"/>
                    <w:rPr>
                      <w:rFonts w:hint="default"/>
                      <w:color w:val="auto"/>
                      <w:highlight w:val="none"/>
                      <w:lang w:val="en-US" w:eastAsia="zh-CN"/>
                    </w:rPr>
                  </w:pPr>
                </w:p>
              </w:tc>
            </w:tr>
            <w:tr w14:paraId="12704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E9A03B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5342C18">
                  <w:pPr>
                    <w:pStyle w:val="41"/>
                    <w:bidi w:val="0"/>
                    <w:jc w:val="center"/>
                    <w:rPr>
                      <w:rFonts w:hint="default"/>
                      <w:color w:val="auto"/>
                      <w:highlight w:val="none"/>
                      <w:lang w:val="en-US" w:eastAsia="zh-CN"/>
                    </w:rPr>
                  </w:pPr>
                  <w:r>
                    <w:rPr>
                      <w:color w:val="auto"/>
                      <w:highlight w:val="none"/>
                    </w:rPr>
                    <w:t>TB-062B涂布机</w:t>
                  </w:r>
                </w:p>
              </w:tc>
              <w:tc>
                <w:tcPr>
                  <w:tcW w:w="1330" w:type="pct"/>
                  <w:vAlign w:val="center"/>
                </w:tcPr>
                <w:p w14:paraId="36646434">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7BBA7684">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44F8AF6A">
                  <w:pPr>
                    <w:pStyle w:val="41"/>
                    <w:bidi w:val="0"/>
                    <w:jc w:val="center"/>
                    <w:rPr>
                      <w:rFonts w:hint="default"/>
                      <w:color w:val="auto"/>
                      <w:highlight w:val="none"/>
                      <w:lang w:val="en-US" w:eastAsia="zh-CN"/>
                    </w:rPr>
                  </w:pPr>
                </w:p>
              </w:tc>
            </w:tr>
            <w:tr w14:paraId="55940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CD3C5F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4F98C8C">
                  <w:pPr>
                    <w:pStyle w:val="41"/>
                    <w:bidi w:val="0"/>
                    <w:jc w:val="center"/>
                    <w:rPr>
                      <w:rFonts w:hint="default"/>
                      <w:color w:val="auto"/>
                      <w:highlight w:val="none"/>
                      <w:lang w:val="en-US" w:eastAsia="zh-CN"/>
                    </w:rPr>
                  </w:pPr>
                  <w:r>
                    <w:rPr>
                      <w:color w:val="auto"/>
                      <w:highlight w:val="none"/>
                    </w:rPr>
                    <w:t>CNY-1初粘性测试仪</w:t>
                  </w:r>
                </w:p>
              </w:tc>
              <w:tc>
                <w:tcPr>
                  <w:tcW w:w="1330" w:type="pct"/>
                  <w:vAlign w:val="center"/>
                </w:tcPr>
                <w:p w14:paraId="3B1C9AAC">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58F1F3C0">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096D4D7">
                  <w:pPr>
                    <w:pStyle w:val="41"/>
                    <w:bidi w:val="0"/>
                    <w:jc w:val="center"/>
                    <w:rPr>
                      <w:rFonts w:hint="default"/>
                      <w:color w:val="auto"/>
                      <w:highlight w:val="none"/>
                      <w:lang w:val="en-US" w:eastAsia="zh-CN"/>
                    </w:rPr>
                  </w:pPr>
                </w:p>
              </w:tc>
            </w:tr>
            <w:tr w14:paraId="51C81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BE498E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E164CA5">
                  <w:pPr>
                    <w:pStyle w:val="41"/>
                    <w:bidi w:val="0"/>
                    <w:jc w:val="center"/>
                    <w:rPr>
                      <w:rFonts w:hint="default"/>
                      <w:color w:val="auto"/>
                      <w:highlight w:val="none"/>
                      <w:lang w:val="en-US" w:eastAsia="zh-CN"/>
                    </w:rPr>
                  </w:pPr>
                  <w:r>
                    <w:rPr>
                      <w:color w:val="auto"/>
                      <w:highlight w:val="none"/>
                    </w:rPr>
                    <w:t>CNY-HS恒温持粘性测试仪</w:t>
                  </w:r>
                </w:p>
              </w:tc>
              <w:tc>
                <w:tcPr>
                  <w:tcW w:w="1330" w:type="pct"/>
                  <w:vAlign w:val="center"/>
                </w:tcPr>
                <w:p w14:paraId="5FEFF9A1">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54E963E6">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8FA8A30">
                  <w:pPr>
                    <w:pStyle w:val="41"/>
                    <w:bidi w:val="0"/>
                    <w:jc w:val="center"/>
                    <w:rPr>
                      <w:rFonts w:hint="default"/>
                      <w:color w:val="auto"/>
                      <w:highlight w:val="none"/>
                      <w:lang w:val="en-US" w:eastAsia="zh-CN"/>
                    </w:rPr>
                  </w:pPr>
                </w:p>
              </w:tc>
            </w:tr>
            <w:tr w14:paraId="3069A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BA6092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00CB253">
                  <w:pPr>
                    <w:pStyle w:val="41"/>
                    <w:bidi w:val="0"/>
                    <w:jc w:val="center"/>
                    <w:rPr>
                      <w:rFonts w:hint="default"/>
                      <w:color w:val="auto"/>
                      <w:highlight w:val="none"/>
                      <w:lang w:val="en-US" w:eastAsia="zh-CN"/>
                    </w:rPr>
                  </w:pPr>
                  <w:r>
                    <w:rPr>
                      <w:color w:val="auto"/>
                      <w:highlight w:val="none"/>
                    </w:rPr>
                    <w:t>NLT-30黏着力测试仪</w:t>
                  </w:r>
                </w:p>
              </w:tc>
              <w:tc>
                <w:tcPr>
                  <w:tcW w:w="1330" w:type="pct"/>
                  <w:vAlign w:val="center"/>
                </w:tcPr>
                <w:p w14:paraId="41BFDC83">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6873BA35">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6D408B42">
                  <w:pPr>
                    <w:pStyle w:val="41"/>
                    <w:bidi w:val="0"/>
                    <w:jc w:val="center"/>
                    <w:rPr>
                      <w:rFonts w:hint="default"/>
                      <w:color w:val="auto"/>
                      <w:highlight w:val="none"/>
                      <w:lang w:val="en-US" w:eastAsia="zh-CN"/>
                    </w:rPr>
                  </w:pPr>
                </w:p>
              </w:tc>
            </w:tr>
            <w:tr w14:paraId="088B3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3BF364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5E76E8F">
                  <w:pPr>
                    <w:pStyle w:val="41"/>
                    <w:bidi w:val="0"/>
                    <w:jc w:val="center"/>
                    <w:rPr>
                      <w:rFonts w:hint="default"/>
                      <w:color w:val="auto"/>
                      <w:highlight w:val="none"/>
                      <w:lang w:val="en-US" w:eastAsia="zh-CN"/>
                    </w:rPr>
                  </w:pPr>
                  <w:r>
                    <w:rPr>
                      <w:color w:val="auto"/>
                      <w:highlight w:val="none"/>
                    </w:rPr>
                    <w:t>XLW(PC)-500N智能电子拉力试验机</w:t>
                  </w:r>
                </w:p>
              </w:tc>
              <w:tc>
                <w:tcPr>
                  <w:tcW w:w="1330" w:type="pct"/>
                  <w:vAlign w:val="center"/>
                </w:tcPr>
                <w:p w14:paraId="46326290">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3C5EC2BF">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47216DC">
                  <w:pPr>
                    <w:pStyle w:val="41"/>
                    <w:bidi w:val="0"/>
                    <w:jc w:val="center"/>
                    <w:rPr>
                      <w:rFonts w:hint="default"/>
                      <w:color w:val="auto"/>
                      <w:highlight w:val="none"/>
                      <w:lang w:val="en-US" w:eastAsia="zh-CN"/>
                    </w:rPr>
                  </w:pPr>
                </w:p>
              </w:tc>
            </w:tr>
            <w:tr w14:paraId="1CA96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D0CA0F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D4A6D48">
                  <w:pPr>
                    <w:pStyle w:val="41"/>
                    <w:bidi w:val="0"/>
                    <w:jc w:val="center"/>
                    <w:rPr>
                      <w:rFonts w:hint="default"/>
                      <w:color w:val="auto"/>
                      <w:highlight w:val="none"/>
                      <w:lang w:val="en-US" w:eastAsia="zh-CN"/>
                    </w:rPr>
                  </w:pPr>
                  <w:r>
                    <w:rPr>
                      <w:color w:val="auto"/>
                      <w:highlight w:val="none"/>
                    </w:rPr>
                    <w:t>YGJ-HS电子压辊试验机</w:t>
                  </w:r>
                </w:p>
              </w:tc>
              <w:tc>
                <w:tcPr>
                  <w:tcW w:w="1330" w:type="pct"/>
                  <w:vAlign w:val="center"/>
                </w:tcPr>
                <w:p w14:paraId="2B15BD43">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55699DB8">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0FA3B76F">
                  <w:pPr>
                    <w:pStyle w:val="41"/>
                    <w:bidi w:val="0"/>
                    <w:jc w:val="center"/>
                    <w:rPr>
                      <w:rFonts w:hint="default"/>
                      <w:color w:val="auto"/>
                      <w:highlight w:val="none"/>
                      <w:lang w:val="en-US" w:eastAsia="zh-CN"/>
                    </w:rPr>
                  </w:pPr>
                </w:p>
              </w:tc>
            </w:tr>
            <w:tr w14:paraId="15B9D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6C19BA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4157034">
                  <w:pPr>
                    <w:pStyle w:val="41"/>
                    <w:bidi w:val="0"/>
                    <w:jc w:val="center"/>
                    <w:rPr>
                      <w:rFonts w:hint="default"/>
                      <w:color w:val="auto"/>
                      <w:highlight w:val="none"/>
                      <w:lang w:val="en-US" w:eastAsia="zh-CN"/>
                    </w:rPr>
                  </w:pPr>
                  <w:r>
                    <w:rPr>
                      <w:color w:val="auto"/>
                      <w:highlight w:val="none"/>
                    </w:rPr>
                    <w:t>TK-24BL型透皮扩散试验仪</w:t>
                  </w:r>
                </w:p>
              </w:tc>
              <w:tc>
                <w:tcPr>
                  <w:tcW w:w="1330" w:type="pct"/>
                  <w:vAlign w:val="center"/>
                </w:tcPr>
                <w:p w14:paraId="12809CD4">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14AE7BDC">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4108D84">
                  <w:pPr>
                    <w:pStyle w:val="41"/>
                    <w:bidi w:val="0"/>
                    <w:jc w:val="center"/>
                    <w:rPr>
                      <w:rFonts w:hint="default"/>
                      <w:color w:val="auto"/>
                      <w:highlight w:val="none"/>
                      <w:lang w:val="en-US" w:eastAsia="zh-CN"/>
                    </w:rPr>
                  </w:pPr>
                </w:p>
              </w:tc>
            </w:tr>
            <w:tr w14:paraId="7A033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EC2D03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A97BD4F">
                  <w:pPr>
                    <w:pStyle w:val="41"/>
                    <w:bidi w:val="0"/>
                    <w:jc w:val="center"/>
                    <w:rPr>
                      <w:rFonts w:hint="default"/>
                      <w:color w:val="auto"/>
                      <w:highlight w:val="none"/>
                      <w:lang w:val="en-US" w:eastAsia="zh-CN"/>
                    </w:rPr>
                  </w:pPr>
                  <w:r>
                    <w:rPr>
                      <w:color w:val="auto"/>
                      <w:highlight w:val="none"/>
                    </w:rPr>
                    <w:t>自动溶出仪（全自动溶出取样）</w:t>
                  </w:r>
                </w:p>
              </w:tc>
              <w:tc>
                <w:tcPr>
                  <w:tcW w:w="1330" w:type="pct"/>
                  <w:vAlign w:val="center"/>
                </w:tcPr>
                <w:p w14:paraId="6B1B5E6B">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2E7F1E6B">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71CEBA01">
                  <w:pPr>
                    <w:pStyle w:val="41"/>
                    <w:bidi w:val="0"/>
                    <w:jc w:val="center"/>
                    <w:rPr>
                      <w:rFonts w:hint="default"/>
                      <w:color w:val="auto"/>
                      <w:highlight w:val="none"/>
                      <w:lang w:val="en-US" w:eastAsia="zh-CN"/>
                    </w:rPr>
                  </w:pPr>
                </w:p>
              </w:tc>
            </w:tr>
            <w:tr w14:paraId="70B21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1AA06F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50B6548">
                  <w:pPr>
                    <w:pStyle w:val="41"/>
                    <w:bidi w:val="0"/>
                    <w:jc w:val="center"/>
                    <w:rPr>
                      <w:rFonts w:hint="default"/>
                      <w:color w:val="auto"/>
                      <w:highlight w:val="none"/>
                      <w:lang w:val="en-US" w:eastAsia="zh-CN"/>
                    </w:rPr>
                  </w:pPr>
                  <w:r>
                    <w:rPr>
                      <w:color w:val="auto"/>
                      <w:highlight w:val="none"/>
                    </w:rPr>
                    <w:t>LOGAN禄亘12位自动透皮系统</w:t>
                  </w:r>
                </w:p>
              </w:tc>
              <w:tc>
                <w:tcPr>
                  <w:tcW w:w="1330" w:type="pct"/>
                  <w:vAlign w:val="center"/>
                </w:tcPr>
                <w:p w14:paraId="2D2A59A6">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0FFBAA26">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63835A86">
                  <w:pPr>
                    <w:pStyle w:val="41"/>
                    <w:bidi w:val="0"/>
                    <w:jc w:val="center"/>
                    <w:rPr>
                      <w:rFonts w:hint="default"/>
                      <w:color w:val="auto"/>
                      <w:highlight w:val="none"/>
                      <w:lang w:val="en-US" w:eastAsia="zh-CN"/>
                    </w:rPr>
                  </w:pPr>
                </w:p>
              </w:tc>
            </w:tr>
            <w:tr w14:paraId="55AA4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38AD4B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2CAEAD6">
                  <w:pPr>
                    <w:pStyle w:val="41"/>
                    <w:bidi w:val="0"/>
                    <w:jc w:val="center"/>
                    <w:rPr>
                      <w:rFonts w:hint="default"/>
                      <w:color w:val="auto"/>
                      <w:highlight w:val="none"/>
                      <w:lang w:val="en-US" w:eastAsia="zh-CN"/>
                    </w:rPr>
                  </w:pPr>
                  <w:r>
                    <w:rPr>
                      <w:color w:val="auto"/>
                      <w:highlight w:val="none"/>
                    </w:rPr>
                    <w:t>刮涂辊切一体机配（热熔胶贴剂）（选购）</w:t>
                  </w:r>
                </w:p>
              </w:tc>
              <w:tc>
                <w:tcPr>
                  <w:tcW w:w="1330" w:type="pct"/>
                  <w:vAlign w:val="center"/>
                </w:tcPr>
                <w:p w14:paraId="7E221178">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44EB525C">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427AA761">
                  <w:pPr>
                    <w:pStyle w:val="41"/>
                    <w:bidi w:val="0"/>
                    <w:jc w:val="center"/>
                    <w:rPr>
                      <w:rFonts w:hint="default"/>
                      <w:color w:val="auto"/>
                      <w:highlight w:val="none"/>
                      <w:lang w:val="en-US" w:eastAsia="zh-CN"/>
                    </w:rPr>
                  </w:pPr>
                </w:p>
              </w:tc>
            </w:tr>
            <w:tr w14:paraId="6D09F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3D5D17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71C44C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药物粉碎机</w:t>
                  </w:r>
                </w:p>
              </w:tc>
              <w:tc>
                <w:tcPr>
                  <w:tcW w:w="1330" w:type="pct"/>
                  <w:vAlign w:val="center"/>
                </w:tcPr>
                <w:p w14:paraId="5475C51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MF10</w:t>
                  </w:r>
                </w:p>
              </w:tc>
              <w:tc>
                <w:tcPr>
                  <w:tcW w:w="1145" w:type="pct"/>
                  <w:vAlign w:val="center"/>
                </w:tcPr>
                <w:p w14:paraId="5E85C35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restart"/>
                  <w:vAlign w:val="center"/>
                </w:tcPr>
                <w:p w14:paraId="1BE7E4C5">
                  <w:pPr>
                    <w:pStyle w:val="41"/>
                    <w:bidi w:val="0"/>
                    <w:jc w:val="center"/>
                    <w:rPr>
                      <w:rFonts w:hint="default"/>
                      <w:color w:val="auto"/>
                      <w:highlight w:val="none"/>
                      <w:lang w:val="en-US" w:eastAsia="zh-CN"/>
                    </w:rPr>
                  </w:pPr>
                  <w:r>
                    <w:rPr>
                      <w:rFonts w:hint="eastAsia"/>
                      <w:color w:val="auto"/>
                      <w:highlight w:val="none"/>
                      <w:lang w:val="en-US" w:eastAsia="zh-CN"/>
                    </w:rPr>
                    <w:t>5号楼搬迁至1号楼</w:t>
                  </w:r>
                </w:p>
              </w:tc>
            </w:tr>
            <w:tr w14:paraId="72FBD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EB569D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1BB510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管式离心机</w:t>
                  </w:r>
                </w:p>
              </w:tc>
              <w:tc>
                <w:tcPr>
                  <w:tcW w:w="1330" w:type="pct"/>
                  <w:vAlign w:val="center"/>
                </w:tcPr>
                <w:p w14:paraId="15AB5C9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GQ75B</w:t>
                  </w:r>
                </w:p>
              </w:tc>
              <w:tc>
                <w:tcPr>
                  <w:tcW w:w="1145" w:type="pct"/>
                  <w:vAlign w:val="center"/>
                </w:tcPr>
                <w:p w14:paraId="36AC11B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3F0C33E">
                  <w:pPr>
                    <w:pStyle w:val="41"/>
                    <w:bidi w:val="0"/>
                    <w:jc w:val="center"/>
                    <w:rPr>
                      <w:rFonts w:hint="default"/>
                      <w:color w:val="auto"/>
                      <w:highlight w:val="none"/>
                      <w:lang w:val="en-US" w:eastAsia="zh-CN"/>
                    </w:rPr>
                  </w:pPr>
                </w:p>
              </w:tc>
            </w:tr>
            <w:tr w14:paraId="78DCF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D9ED91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0D9828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小型离心机</w:t>
                  </w:r>
                </w:p>
              </w:tc>
              <w:tc>
                <w:tcPr>
                  <w:tcW w:w="1330" w:type="pct"/>
                  <w:vAlign w:val="center"/>
                </w:tcPr>
                <w:p w14:paraId="773EEEE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Centrifuge 5424</w:t>
                  </w:r>
                </w:p>
              </w:tc>
              <w:tc>
                <w:tcPr>
                  <w:tcW w:w="1145" w:type="pct"/>
                  <w:vAlign w:val="center"/>
                </w:tcPr>
                <w:p w14:paraId="0504217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188C7F2F">
                  <w:pPr>
                    <w:pStyle w:val="41"/>
                    <w:bidi w:val="0"/>
                    <w:jc w:val="center"/>
                    <w:rPr>
                      <w:rFonts w:hint="default"/>
                      <w:color w:val="auto"/>
                      <w:highlight w:val="none"/>
                      <w:lang w:val="en-US" w:eastAsia="zh-CN"/>
                    </w:rPr>
                  </w:pPr>
                </w:p>
              </w:tc>
            </w:tr>
            <w:tr w14:paraId="3712E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16000A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6876DA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中压动态轴向压缩分离系统</w:t>
                  </w:r>
                </w:p>
              </w:tc>
              <w:tc>
                <w:tcPr>
                  <w:tcW w:w="1330" w:type="pct"/>
                  <w:vAlign w:val="center"/>
                </w:tcPr>
                <w:p w14:paraId="706453B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Grace</w:t>
                  </w:r>
                </w:p>
              </w:tc>
              <w:tc>
                <w:tcPr>
                  <w:tcW w:w="1145" w:type="pct"/>
                  <w:vAlign w:val="center"/>
                </w:tcPr>
                <w:p w14:paraId="12DCB54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5F649B1">
                  <w:pPr>
                    <w:pStyle w:val="41"/>
                    <w:bidi w:val="0"/>
                    <w:jc w:val="center"/>
                    <w:rPr>
                      <w:rFonts w:hint="default"/>
                      <w:color w:val="auto"/>
                      <w:highlight w:val="none"/>
                      <w:lang w:val="en-US" w:eastAsia="zh-CN"/>
                    </w:rPr>
                  </w:pPr>
                </w:p>
              </w:tc>
            </w:tr>
            <w:tr w14:paraId="6E422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14AB56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1BF777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高压制备液相（馏分接收+QDA检测器）</w:t>
                  </w:r>
                </w:p>
              </w:tc>
              <w:tc>
                <w:tcPr>
                  <w:tcW w:w="1330" w:type="pct"/>
                  <w:vAlign w:val="center"/>
                </w:tcPr>
                <w:p w14:paraId="57B258A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PDA+QDA</w:t>
                  </w:r>
                </w:p>
              </w:tc>
              <w:tc>
                <w:tcPr>
                  <w:tcW w:w="1145" w:type="pct"/>
                  <w:vAlign w:val="center"/>
                </w:tcPr>
                <w:p w14:paraId="7E4E3FA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69DB7FE">
                  <w:pPr>
                    <w:pStyle w:val="41"/>
                    <w:bidi w:val="0"/>
                    <w:jc w:val="center"/>
                    <w:rPr>
                      <w:rFonts w:hint="default"/>
                      <w:color w:val="auto"/>
                      <w:highlight w:val="none"/>
                      <w:lang w:val="en-US" w:eastAsia="zh-CN"/>
                    </w:rPr>
                  </w:pPr>
                </w:p>
              </w:tc>
            </w:tr>
            <w:tr w14:paraId="3DFC6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8B4097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A5636C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高压半制备液相（DAD检测器+ELSD检测器+馏分接收器）</w:t>
                  </w:r>
                </w:p>
              </w:tc>
              <w:tc>
                <w:tcPr>
                  <w:tcW w:w="1330" w:type="pct"/>
                  <w:vAlign w:val="center"/>
                </w:tcPr>
                <w:p w14:paraId="08BE2FD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Ultimate  3000</w:t>
                  </w:r>
                </w:p>
              </w:tc>
              <w:tc>
                <w:tcPr>
                  <w:tcW w:w="1145" w:type="pct"/>
                  <w:vAlign w:val="center"/>
                </w:tcPr>
                <w:p w14:paraId="470B3B6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25D054F7">
                  <w:pPr>
                    <w:pStyle w:val="41"/>
                    <w:bidi w:val="0"/>
                    <w:jc w:val="center"/>
                    <w:rPr>
                      <w:rFonts w:hint="default"/>
                      <w:color w:val="auto"/>
                      <w:highlight w:val="none"/>
                      <w:lang w:val="en-US" w:eastAsia="zh-CN"/>
                    </w:rPr>
                  </w:pPr>
                </w:p>
              </w:tc>
            </w:tr>
            <w:tr w14:paraId="6B668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F46C2E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DF79A0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UPS</w:t>
                  </w:r>
                </w:p>
              </w:tc>
              <w:tc>
                <w:tcPr>
                  <w:tcW w:w="1330" w:type="pct"/>
                  <w:vAlign w:val="center"/>
                </w:tcPr>
                <w:p w14:paraId="6679D66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5DA36B3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6210E04B">
                  <w:pPr>
                    <w:pStyle w:val="41"/>
                    <w:bidi w:val="0"/>
                    <w:jc w:val="center"/>
                    <w:rPr>
                      <w:rFonts w:hint="default"/>
                      <w:color w:val="auto"/>
                      <w:highlight w:val="none"/>
                      <w:lang w:val="en-US" w:eastAsia="zh-CN"/>
                    </w:rPr>
                  </w:pPr>
                </w:p>
              </w:tc>
            </w:tr>
            <w:tr w14:paraId="0343E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1F9886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FE56E1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小型粉碎机</w:t>
                  </w:r>
                </w:p>
              </w:tc>
              <w:tc>
                <w:tcPr>
                  <w:tcW w:w="1330" w:type="pct"/>
                  <w:vAlign w:val="center"/>
                </w:tcPr>
                <w:p w14:paraId="2070148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4C26BF5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0FEE9D00">
                  <w:pPr>
                    <w:pStyle w:val="41"/>
                    <w:bidi w:val="0"/>
                    <w:jc w:val="center"/>
                    <w:rPr>
                      <w:rFonts w:hint="default"/>
                      <w:color w:val="auto"/>
                      <w:highlight w:val="none"/>
                      <w:lang w:val="en-US" w:eastAsia="zh-CN"/>
                    </w:rPr>
                  </w:pPr>
                </w:p>
              </w:tc>
            </w:tr>
            <w:tr w14:paraId="0E28B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192F92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C22251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安捷伦制备液相</w:t>
                  </w:r>
                </w:p>
              </w:tc>
              <w:tc>
                <w:tcPr>
                  <w:tcW w:w="1330" w:type="pct"/>
                  <w:vAlign w:val="center"/>
                </w:tcPr>
                <w:p w14:paraId="5DA19FC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271D408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5C85F9EE">
                  <w:pPr>
                    <w:pStyle w:val="41"/>
                    <w:bidi w:val="0"/>
                    <w:jc w:val="center"/>
                    <w:rPr>
                      <w:rFonts w:hint="default"/>
                      <w:color w:val="auto"/>
                      <w:highlight w:val="none"/>
                      <w:lang w:val="en-US" w:eastAsia="zh-CN"/>
                    </w:rPr>
                  </w:pPr>
                </w:p>
              </w:tc>
            </w:tr>
            <w:tr w14:paraId="48B3C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9A45F6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6E1D24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热电半制备液相</w:t>
                  </w:r>
                </w:p>
              </w:tc>
              <w:tc>
                <w:tcPr>
                  <w:tcW w:w="1330" w:type="pct"/>
                  <w:vAlign w:val="center"/>
                </w:tcPr>
                <w:p w14:paraId="6E2F871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52D4BDA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51A04C0">
                  <w:pPr>
                    <w:pStyle w:val="41"/>
                    <w:bidi w:val="0"/>
                    <w:jc w:val="center"/>
                    <w:rPr>
                      <w:rFonts w:hint="default"/>
                      <w:color w:val="auto"/>
                      <w:highlight w:val="none"/>
                      <w:lang w:val="en-US" w:eastAsia="zh-CN"/>
                    </w:rPr>
                  </w:pPr>
                </w:p>
              </w:tc>
            </w:tr>
            <w:tr w14:paraId="28D969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F4BE81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213BC9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恒温水浴锅</w:t>
                  </w:r>
                </w:p>
              </w:tc>
              <w:tc>
                <w:tcPr>
                  <w:tcW w:w="1330" w:type="pct"/>
                  <w:vAlign w:val="center"/>
                </w:tcPr>
                <w:p w14:paraId="744E79C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HH-6</w:t>
                  </w:r>
                </w:p>
              </w:tc>
              <w:tc>
                <w:tcPr>
                  <w:tcW w:w="1145" w:type="pct"/>
                  <w:vAlign w:val="center"/>
                </w:tcPr>
                <w:p w14:paraId="61ED8AD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812" w:type="pct"/>
                  <w:vMerge w:val="continue"/>
                  <w:vAlign w:val="center"/>
                </w:tcPr>
                <w:p w14:paraId="532CE958">
                  <w:pPr>
                    <w:pStyle w:val="41"/>
                    <w:bidi w:val="0"/>
                    <w:jc w:val="center"/>
                    <w:rPr>
                      <w:rFonts w:hint="default"/>
                      <w:color w:val="auto"/>
                      <w:highlight w:val="none"/>
                      <w:lang w:val="en-US" w:eastAsia="zh-CN"/>
                    </w:rPr>
                  </w:pPr>
                </w:p>
              </w:tc>
            </w:tr>
            <w:tr w14:paraId="78925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7F0CFA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116147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旋转蒸发仪</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3L</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+真空泵+小型循环水冷却器</w:t>
                  </w:r>
                </w:p>
              </w:tc>
              <w:tc>
                <w:tcPr>
                  <w:tcW w:w="1330" w:type="pct"/>
                  <w:vAlign w:val="center"/>
                </w:tcPr>
                <w:p w14:paraId="1F06059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RV 10 digital</w:t>
                  </w:r>
                </w:p>
              </w:tc>
              <w:tc>
                <w:tcPr>
                  <w:tcW w:w="1145" w:type="pct"/>
                  <w:vAlign w:val="center"/>
                </w:tcPr>
                <w:p w14:paraId="2C58AC8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503A4337">
                  <w:pPr>
                    <w:pStyle w:val="41"/>
                    <w:bidi w:val="0"/>
                    <w:jc w:val="center"/>
                    <w:rPr>
                      <w:rFonts w:hint="default"/>
                      <w:color w:val="auto"/>
                      <w:highlight w:val="none"/>
                      <w:lang w:val="en-US" w:eastAsia="zh-CN"/>
                    </w:rPr>
                  </w:pPr>
                </w:p>
              </w:tc>
            </w:tr>
            <w:tr w14:paraId="39223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C45D44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E84795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数显恒温水浴锅</w:t>
                  </w:r>
                </w:p>
              </w:tc>
              <w:tc>
                <w:tcPr>
                  <w:tcW w:w="1330" w:type="pct"/>
                  <w:vAlign w:val="center"/>
                </w:tcPr>
                <w:p w14:paraId="58CE4DD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4EF241E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738921D5">
                  <w:pPr>
                    <w:pStyle w:val="41"/>
                    <w:bidi w:val="0"/>
                    <w:jc w:val="center"/>
                    <w:rPr>
                      <w:rFonts w:hint="default"/>
                      <w:color w:val="auto"/>
                      <w:highlight w:val="none"/>
                      <w:lang w:val="en-US" w:eastAsia="zh-CN"/>
                    </w:rPr>
                  </w:pPr>
                </w:p>
              </w:tc>
            </w:tr>
            <w:tr w14:paraId="73109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155B18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9CD900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普通净化纯水仪</w:t>
                  </w:r>
                </w:p>
              </w:tc>
              <w:tc>
                <w:tcPr>
                  <w:tcW w:w="1330" w:type="pct"/>
                  <w:vAlign w:val="center"/>
                </w:tcPr>
                <w:p w14:paraId="5B7228A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A3S-05-101BE</w:t>
                  </w:r>
                </w:p>
              </w:tc>
              <w:tc>
                <w:tcPr>
                  <w:tcW w:w="1145" w:type="pct"/>
                  <w:vAlign w:val="center"/>
                </w:tcPr>
                <w:p w14:paraId="7750332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258FACE">
                  <w:pPr>
                    <w:pStyle w:val="41"/>
                    <w:bidi w:val="0"/>
                    <w:jc w:val="center"/>
                    <w:rPr>
                      <w:rFonts w:hint="default"/>
                      <w:color w:val="auto"/>
                      <w:highlight w:val="none"/>
                      <w:lang w:val="en-US" w:eastAsia="zh-CN"/>
                    </w:rPr>
                  </w:pPr>
                </w:p>
              </w:tc>
            </w:tr>
            <w:tr w14:paraId="482FF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998325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DC596D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暗箱式紫外分析仪</w:t>
                  </w:r>
                </w:p>
              </w:tc>
              <w:tc>
                <w:tcPr>
                  <w:tcW w:w="1330" w:type="pct"/>
                  <w:vAlign w:val="center"/>
                </w:tcPr>
                <w:p w14:paraId="0924AF8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国产</w:t>
                  </w:r>
                </w:p>
              </w:tc>
              <w:tc>
                <w:tcPr>
                  <w:tcW w:w="1145" w:type="pct"/>
                  <w:vAlign w:val="center"/>
                </w:tcPr>
                <w:p w14:paraId="5764C24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4C4EA0E8">
                  <w:pPr>
                    <w:pStyle w:val="41"/>
                    <w:bidi w:val="0"/>
                    <w:jc w:val="center"/>
                    <w:rPr>
                      <w:rFonts w:hint="default"/>
                      <w:color w:val="auto"/>
                      <w:highlight w:val="none"/>
                      <w:lang w:val="en-US" w:eastAsia="zh-CN"/>
                    </w:rPr>
                  </w:pPr>
                </w:p>
              </w:tc>
            </w:tr>
            <w:tr w14:paraId="3D9C2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626C7C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9D1DB2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移液枪</w:t>
                  </w:r>
                </w:p>
              </w:tc>
              <w:tc>
                <w:tcPr>
                  <w:tcW w:w="1330" w:type="pct"/>
                  <w:vAlign w:val="center"/>
                </w:tcPr>
                <w:p w14:paraId="0C95119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30-300uL</w:t>
                  </w:r>
                </w:p>
              </w:tc>
              <w:tc>
                <w:tcPr>
                  <w:tcW w:w="1145" w:type="pct"/>
                  <w:vAlign w:val="center"/>
                </w:tcPr>
                <w:p w14:paraId="5F4F054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1182498">
                  <w:pPr>
                    <w:pStyle w:val="41"/>
                    <w:bidi w:val="0"/>
                    <w:jc w:val="center"/>
                    <w:rPr>
                      <w:rFonts w:hint="default"/>
                      <w:color w:val="auto"/>
                      <w:highlight w:val="none"/>
                      <w:lang w:val="en-US" w:eastAsia="zh-CN"/>
                    </w:rPr>
                  </w:pPr>
                </w:p>
              </w:tc>
            </w:tr>
            <w:tr w14:paraId="35958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F254A9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F0870E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标准样品储存柜</w:t>
                  </w:r>
                </w:p>
              </w:tc>
              <w:tc>
                <w:tcPr>
                  <w:tcW w:w="1330" w:type="pct"/>
                  <w:vAlign w:val="center"/>
                </w:tcPr>
                <w:p w14:paraId="113A868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6AC1978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9EE4A2D">
                  <w:pPr>
                    <w:pStyle w:val="41"/>
                    <w:bidi w:val="0"/>
                    <w:jc w:val="center"/>
                    <w:rPr>
                      <w:rFonts w:hint="default"/>
                      <w:color w:val="auto"/>
                      <w:highlight w:val="none"/>
                      <w:lang w:val="en-US" w:eastAsia="zh-CN"/>
                    </w:rPr>
                  </w:pPr>
                </w:p>
              </w:tc>
            </w:tr>
            <w:tr w14:paraId="4B71C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3892FA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A9BDBB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超声波细胞破碎仪</w:t>
                  </w:r>
                </w:p>
              </w:tc>
              <w:tc>
                <w:tcPr>
                  <w:tcW w:w="1330" w:type="pct"/>
                  <w:vAlign w:val="center"/>
                </w:tcPr>
                <w:p w14:paraId="1BEEA9F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scientz-IID</w:t>
                  </w:r>
                </w:p>
              </w:tc>
              <w:tc>
                <w:tcPr>
                  <w:tcW w:w="1145" w:type="pct"/>
                  <w:vAlign w:val="center"/>
                </w:tcPr>
                <w:p w14:paraId="3FF40FC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97D539C">
                  <w:pPr>
                    <w:pStyle w:val="41"/>
                    <w:bidi w:val="0"/>
                    <w:jc w:val="center"/>
                    <w:rPr>
                      <w:rFonts w:hint="default"/>
                      <w:color w:val="auto"/>
                      <w:highlight w:val="none"/>
                      <w:lang w:val="en-US" w:eastAsia="zh-CN"/>
                    </w:rPr>
                  </w:pPr>
                </w:p>
              </w:tc>
            </w:tr>
            <w:tr w14:paraId="3C1C9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9CE65C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D11DE5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实验型高压均质机</w:t>
                  </w:r>
                </w:p>
              </w:tc>
              <w:tc>
                <w:tcPr>
                  <w:tcW w:w="1330" w:type="pct"/>
                  <w:vAlign w:val="center"/>
                </w:tcPr>
                <w:p w14:paraId="20435F6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scientz-150</w:t>
                  </w:r>
                </w:p>
              </w:tc>
              <w:tc>
                <w:tcPr>
                  <w:tcW w:w="1145" w:type="pct"/>
                  <w:vAlign w:val="center"/>
                </w:tcPr>
                <w:p w14:paraId="799CD17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30C045D">
                  <w:pPr>
                    <w:pStyle w:val="41"/>
                    <w:bidi w:val="0"/>
                    <w:jc w:val="center"/>
                    <w:rPr>
                      <w:rFonts w:hint="default"/>
                      <w:color w:val="auto"/>
                      <w:highlight w:val="none"/>
                      <w:lang w:val="en-US" w:eastAsia="zh-CN"/>
                    </w:rPr>
                  </w:pPr>
                </w:p>
              </w:tc>
            </w:tr>
            <w:tr w14:paraId="4655F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EFCBBE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89AEE6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高灵敏度Zeta</w:t>
                  </w:r>
                </w:p>
                <w:p w14:paraId="1DE5FF1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粒度分析仪</w:t>
                  </w:r>
                </w:p>
              </w:tc>
              <w:tc>
                <w:tcPr>
                  <w:tcW w:w="1330" w:type="pct"/>
                  <w:vAlign w:val="center"/>
                </w:tcPr>
                <w:p w14:paraId="4116DAC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90Plus Zeta</w:t>
                  </w:r>
                </w:p>
              </w:tc>
              <w:tc>
                <w:tcPr>
                  <w:tcW w:w="1145" w:type="pct"/>
                  <w:vAlign w:val="center"/>
                </w:tcPr>
                <w:p w14:paraId="5EF9E68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8A5F129">
                  <w:pPr>
                    <w:pStyle w:val="41"/>
                    <w:bidi w:val="0"/>
                    <w:jc w:val="center"/>
                    <w:rPr>
                      <w:rFonts w:hint="default"/>
                      <w:color w:val="auto"/>
                      <w:highlight w:val="none"/>
                      <w:lang w:val="en-US" w:eastAsia="zh-CN"/>
                    </w:rPr>
                  </w:pPr>
                </w:p>
              </w:tc>
            </w:tr>
            <w:tr w14:paraId="710F6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DBB9E5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67A585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加热磁力搅拌器</w:t>
                  </w:r>
                </w:p>
              </w:tc>
              <w:tc>
                <w:tcPr>
                  <w:tcW w:w="1330" w:type="pct"/>
                  <w:vAlign w:val="center"/>
                </w:tcPr>
                <w:p w14:paraId="38C7D9A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KMS-181E</w:t>
                  </w:r>
                </w:p>
              </w:tc>
              <w:tc>
                <w:tcPr>
                  <w:tcW w:w="1145" w:type="pct"/>
                  <w:vAlign w:val="center"/>
                </w:tcPr>
                <w:p w14:paraId="28763E2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7515BFF3">
                  <w:pPr>
                    <w:pStyle w:val="41"/>
                    <w:bidi w:val="0"/>
                    <w:jc w:val="center"/>
                    <w:rPr>
                      <w:rFonts w:hint="default"/>
                      <w:color w:val="auto"/>
                      <w:highlight w:val="none"/>
                      <w:lang w:val="en-US" w:eastAsia="zh-CN"/>
                    </w:rPr>
                  </w:pPr>
                </w:p>
              </w:tc>
            </w:tr>
            <w:tr w14:paraId="3FEA7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C7843C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653D8A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药物透皮扩散试验仪</w:t>
                  </w:r>
                </w:p>
              </w:tc>
              <w:tc>
                <w:tcPr>
                  <w:tcW w:w="1330" w:type="pct"/>
                  <w:vAlign w:val="center"/>
                </w:tcPr>
                <w:p w14:paraId="74F7547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3317463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7D9500A">
                  <w:pPr>
                    <w:pStyle w:val="41"/>
                    <w:bidi w:val="0"/>
                    <w:jc w:val="center"/>
                    <w:rPr>
                      <w:rFonts w:hint="default"/>
                      <w:color w:val="auto"/>
                      <w:highlight w:val="none"/>
                      <w:lang w:val="en-US" w:eastAsia="zh-CN"/>
                    </w:rPr>
                  </w:pPr>
                </w:p>
              </w:tc>
            </w:tr>
            <w:tr w14:paraId="18B76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52E3FE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C3ABAD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平行反应器</w:t>
                  </w:r>
                </w:p>
              </w:tc>
              <w:tc>
                <w:tcPr>
                  <w:tcW w:w="1330" w:type="pct"/>
                  <w:vAlign w:val="center"/>
                </w:tcPr>
                <w:p w14:paraId="048F76B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Carousel 6 plus</w:t>
                  </w:r>
                </w:p>
              </w:tc>
              <w:tc>
                <w:tcPr>
                  <w:tcW w:w="1145" w:type="pct"/>
                  <w:vAlign w:val="center"/>
                </w:tcPr>
                <w:p w14:paraId="1077D4C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97BB800">
                  <w:pPr>
                    <w:pStyle w:val="41"/>
                    <w:bidi w:val="0"/>
                    <w:jc w:val="center"/>
                    <w:rPr>
                      <w:rFonts w:hint="default"/>
                      <w:color w:val="auto"/>
                      <w:highlight w:val="none"/>
                      <w:lang w:val="en-US" w:eastAsia="zh-CN"/>
                    </w:rPr>
                  </w:pPr>
                </w:p>
              </w:tc>
            </w:tr>
            <w:tr w14:paraId="59C8A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729656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4F127E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低温恒温反应浴</w:t>
                  </w:r>
                </w:p>
              </w:tc>
              <w:tc>
                <w:tcPr>
                  <w:tcW w:w="1330" w:type="pct"/>
                  <w:vAlign w:val="center"/>
                </w:tcPr>
                <w:p w14:paraId="140C384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4B083E0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35CD7842">
                  <w:pPr>
                    <w:pStyle w:val="41"/>
                    <w:bidi w:val="0"/>
                    <w:jc w:val="center"/>
                    <w:rPr>
                      <w:rFonts w:hint="default"/>
                      <w:color w:val="auto"/>
                      <w:highlight w:val="none"/>
                      <w:lang w:val="en-US" w:eastAsia="zh-CN"/>
                    </w:rPr>
                  </w:pPr>
                </w:p>
              </w:tc>
            </w:tr>
            <w:tr w14:paraId="507D8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650A77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75CD85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回流冷凝管</w:t>
                  </w:r>
                </w:p>
              </w:tc>
              <w:tc>
                <w:tcPr>
                  <w:tcW w:w="1330" w:type="pct"/>
                  <w:vAlign w:val="center"/>
                </w:tcPr>
                <w:p w14:paraId="6F60ADC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Findenser  275mm</w:t>
                  </w:r>
                </w:p>
              </w:tc>
              <w:tc>
                <w:tcPr>
                  <w:tcW w:w="1145" w:type="pct"/>
                  <w:vAlign w:val="center"/>
                </w:tcPr>
                <w:p w14:paraId="63CFB95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812" w:type="pct"/>
                  <w:vMerge w:val="continue"/>
                  <w:vAlign w:val="center"/>
                </w:tcPr>
                <w:p w14:paraId="4FE084E6">
                  <w:pPr>
                    <w:pStyle w:val="41"/>
                    <w:bidi w:val="0"/>
                    <w:jc w:val="center"/>
                    <w:rPr>
                      <w:rFonts w:hint="default"/>
                      <w:color w:val="auto"/>
                      <w:highlight w:val="none"/>
                      <w:lang w:val="en-US" w:eastAsia="zh-CN"/>
                    </w:rPr>
                  </w:pPr>
                </w:p>
              </w:tc>
            </w:tr>
            <w:tr w14:paraId="5322E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9E176B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ED4E4C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回流冷凝管</w:t>
                  </w:r>
                </w:p>
              </w:tc>
              <w:tc>
                <w:tcPr>
                  <w:tcW w:w="1330" w:type="pct"/>
                  <w:vAlign w:val="center"/>
                </w:tcPr>
                <w:p w14:paraId="52EB937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Findenser 400mm</w:t>
                  </w:r>
                </w:p>
              </w:tc>
              <w:tc>
                <w:tcPr>
                  <w:tcW w:w="1145" w:type="pct"/>
                  <w:vAlign w:val="center"/>
                </w:tcPr>
                <w:p w14:paraId="231663D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812" w:type="pct"/>
                  <w:vMerge w:val="continue"/>
                  <w:vAlign w:val="center"/>
                </w:tcPr>
                <w:p w14:paraId="6B7E96EE">
                  <w:pPr>
                    <w:pStyle w:val="41"/>
                    <w:bidi w:val="0"/>
                    <w:jc w:val="center"/>
                    <w:rPr>
                      <w:rFonts w:hint="default"/>
                      <w:color w:val="auto"/>
                      <w:highlight w:val="none"/>
                      <w:lang w:val="en-US" w:eastAsia="zh-CN"/>
                    </w:rPr>
                  </w:pPr>
                </w:p>
              </w:tc>
            </w:tr>
            <w:tr w14:paraId="17EE4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C4C54D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C7B965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LC-MS单级四级杆液</w:t>
                  </w:r>
                </w:p>
                <w:p w14:paraId="2CE0F0E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质联用仪（MWD）</w:t>
                  </w:r>
                </w:p>
              </w:tc>
              <w:tc>
                <w:tcPr>
                  <w:tcW w:w="1330" w:type="pct"/>
                  <w:vAlign w:val="center"/>
                </w:tcPr>
                <w:p w14:paraId="4CEF850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MSQ</w:t>
                  </w:r>
                </w:p>
              </w:tc>
              <w:tc>
                <w:tcPr>
                  <w:tcW w:w="1145" w:type="pct"/>
                  <w:vAlign w:val="center"/>
                </w:tcPr>
                <w:p w14:paraId="3FF3A38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1957B870">
                  <w:pPr>
                    <w:pStyle w:val="41"/>
                    <w:bidi w:val="0"/>
                    <w:jc w:val="center"/>
                    <w:rPr>
                      <w:rFonts w:hint="default"/>
                      <w:color w:val="auto"/>
                      <w:highlight w:val="none"/>
                      <w:lang w:val="en-US" w:eastAsia="zh-CN"/>
                    </w:rPr>
                  </w:pPr>
                </w:p>
              </w:tc>
            </w:tr>
            <w:tr w14:paraId="6BB37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038161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CFE2BB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Thermo高效液相色谱仪</w:t>
                  </w:r>
                </w:p>
                <w:p w14:paraId="64A9A86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（DAD检测器）</w:t>
                  </w:r>
                </w:p>
              </w:tc>
              <w:tc>
                <w:tcPr>
                  <w:tcW w:w="1330" w:type="pct"/>
                  <w:vAlign w:val="center"/>
                </w:tcPr>
                <w:p w14:paraId="6FC94CC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Ultimate3000</w:t>
                  </w:r>
                </w:p>
              </w:tc>
              <w:tc>
                <w:tcPr>
                  <w:tcW w:w="1145" w:type="pct"/>
                  <w:vAlign w:val="center"/>
                </w:tcPr>
                <w:p w14:paraId="6EF2EE1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1B7013D">
                  <w:pPr>
                    <w:pStyle w:val="41"/>
                    <w:bidi w:val="0"/>
                    <w:jc w:val="center"/>
                    <w:rPr>
                      <w:rFonts w:hint="default"/>
                      <w:color w:val="auto"/>
                      <w:highlight w:val="none"/>
                      <w:lang w:val="en-US" w:eastAsia="zh-CN"/>
                    </w:rPr>
                  </w:pPr>
                </w:p>
              </w:tc>
            </w:tr>
            <w:tr w14:paraId="74517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996CE4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B17EE2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离心机</w:t>
                  </w:r>
                </w:p>
              </w:tc>
              <w:tc>
                <w:tcPr>
                  <w:tcW w:w="1330" w:type="pct"/>
                  <w:vAlign w:val="center"/>
                </w:tcPr>
                <w:p w14:paraId="3045568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0FDF383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1276D181">
                  <w:pPr>
                    <w:pStyle w:val="41"/>
                    <w:bidi w:val="0"/>
                    <w:jc w:val="center"/>
                    <w:rPr>
                      <w:rFonts w:hint="default"/>
                      <w:color w:val="auto"/>
                      <w:highlight w:val="none"/>
                      <w:lang w:val="en-US" w:eastAsia="zh-CN"/>
                    </w:rPr>
                  </w:pPr>
                </w:p>
              </w:tc>
            </w:tr>
            <w:tr w14:paraId="2595B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951302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F32BEE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机械搅拌器</w:t>
                  </w:r>
                </w:p>
              </w:tc>
              <w:tc>
                <w:tcPr>
                  <w:tcW w:w="1330" w:type="pct"/>
                  <w:vAlign w:val="center"/>
                </w:tcPr>
                <w:p w14:paraId="02EE087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RW 20数显套装</w:t>
                  </w:r>
                </w:p>
              </w:tc>
              <w:tc>
                <w:tcPr>
                  <w:tcW w:w="1145" w:type="pct"/>
                  <w:vAlign w:val="center"/>
                </w:tcPr>
                <w:p w14:paraId="3285DD5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1971C828">
                  <w:pPr>
                    <w:pStyle w:val="41"/>
                    <w:bidi w:val="0"/>
                    <w:jc w:val="center"/>
                    <w:rPr>
                      <w:rFonts w:hint="default"/>
                      <w:color w:val="auto"/>
                      <w:highlight w:val="none"/>
                      <w:lang w:val="en-US" w:eastAsia="zh-CN"/>
                    </w:rPr>
                  </w:pPr>
                </w:p>
              </w:tc>
            </w:tr>
            <w:tr w14:paraId="1614D8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18CF2B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DB4EC3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机械搅拌器</w:t>
                  </w:r>
                </w:p>
              </w:tc>
              <w:tc>
                <w:tcPr>
                  <w:tcW w:w="1330" w:type="pct"/>
                  <w:vAlign w:val="center"/>
                </w:tcPr>
                <w:p w14:paraId="5E0D55E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SDLS00001</w:t>
                  </w:r>
                </w:p>
              </w:tc>
              <w:tc>
                <w:tcPr>
                  <w:tcW w:w="1145" w:type="pct"/>
                  <w:vAlign w:val="center"/>
                </w:tcPr>
                <w:p w14:paraId="12FD520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72D6F56">
                  <w:pPr>
                    <w:pStyle w:val="41"/>
                    <w:bidi w:val="0"/>
                    <w:jc w:val="center"/>
                    <w:rPr>
                      <w:rFonts w:hint="default"/>
                      <w:color w:val="auto"/>
                      <w:highlight w:val="none"/>
                      <w:lang w:val="en-US" w:eastAsia="zh-CN"/>
                    </w:rPr>
                  </w:pPr>
                </w:p>
              </w:tc>
            </w:tr>
            <w:tr w14:paraId="04536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E85536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5B5636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强磁力搅拌器</w:t>
                  </w:r>
                </w:p>
              </w:tc>
              <w:tc>
                <w:tcPr>
                  <w:tcW w:w="1330" w:type="pct"/>
                  <w:vAlign w:val="center"/>
                </w:tcPr>
                <w:p w14:paraId="6C51602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RH Digital Package</w:t>
                  </w:r>
                </w:p>
              </w:tc>
              <w:tc>
                <w:tcPr>
                  <w:tcW w:w="1145" w:type="pct"/>
                  <w:vAlign w:val="center"/>
                </w:tcPr>
                <w:p w14:paraId="59E05E6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p>
              </w:tc>
              <w:tc>
                <w:tcPr>
                  <w:tcW w:w="812" w:type="pct"/>
                  <w:vMerge w:val="continue"/>
                  <w:vAlign w:val="center"/>
                </w:tcPr>
                <w:p w14:paraId="7BC1B85D">
                  <w:pPr>
                    <w:pStyle w:val="41"/>
                    <w:bidi w:val="0"/>
                    <w:jc w:val="center"/>
                    <w:rPr>
                      <w:rFonts w:hint="default"/>
                      <w:color w:val="auto"/>
                      <w:highlight w:val="none"/>
                      <w:lang w:val="en-US" w:eastAsia="zh-CN"/>
                    </w:rPr>
                  </w:pPr>
                </w:p>
              </w:tc>
            </w:tr>
            <w:tr w14:paraId="44203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352994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266822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强磁力搅拌器</w:t>
                  </w:r>
                </w:p>
              </w:tc>
              <w:tc>
                <w:tcPr>
                  <w:tcW w:w="1330" w:type="pct"/>
                  <w:vAlign w:val="center"/>
                </w:tcPr>
                <w:p w14:paraId="112B5C4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MR Hei-Mix S</w:t>
                  </w:r>
                </w:p>
              </w:tc>
              <w:tc>
                <w:tcPr>
                  <w:tcW w:w="1145" w:type="pct"/>
                  <w:vAlign w:val="center"/>
                </w:tcPr>
                <w:p w14:paraId="5CC0038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812" w:type="pct"/>
                  <w:vMerge w:val="continue"/>
                  <w:vAlign w:val="center"/>
                </w:tcPr>
                <w:p w14:paraId="13F50C7B">
                  <w:pPr>
                    <w:pStyle w:val="41"/>
                    <w:bidi w:val="0"/>
                    <w:jc w:val="center"/>
                    <w:rPr>
                      <w:rFonts w:hint="default"/>
                      <w:color w:val="auto"/>
                      <w:highlight w:val="none"/>
                      <w:lang w:val="en-US" w:eastAsia="zh-CN"/>
                    </w:rPr>
                  </w:pPr>
                </w:p>
              </w:tc>
            </w:tr>
            <w:tr w14:paraId="68207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27AB18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FDAD24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强磁力搅拌器</w:t>
                  </w:r>
                </w:p>
              </w:tc>
              <w:tc>
                <w:tcPr>
                  <w:tcW w:w="1330" w:type="pct"/>
                  <w:vAlign w:val="center"/>
                </w:tcPr>
                <w:p w14:paraId="6E366C5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MR Hei-Mix D</w:t>
                  </w:r>
                </w:p>
              </w:tc>
              <w:tc>
                <w:tcPr>
                  <w:tcW w:w="1145" w:type="pct"/>
                  <w:vAlign w:val="center"/>
                </w:tcPr>
                <w:p w14:paraId="74A96BC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1C45F770">
                  <w:pPr>
                    <w:pStyle w:val="41"/>
                    <w:bidi w:val="0"/>
                    <w:jc w:val="center"/>
                    <w:rPr>
                      <w:rFonts w:hint="default"/>
                      <w:color w:val="auto"/>
                      <w:highlight w:val="none"/>
                      <w:lang w:val="en-US" w:eastAsia="zh-CN"/>
                    </w:rPr>
                  </w:pPr>
                </w:p>
              </w:tc>
            </w:tr>
            <w:tr w14:paraId="10BD3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8F6D76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931065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旋转蒸发仪</w:t>
                  </w:r>
                </w:p>
              </w:tc>
              <w:tc>
                <w:tcPr>
                  <w:tcW w:w="1330" w:type="pct"/>
                  <w:vAlign w:val="center"/>
                </w:tcPr>
                <w:p w14:paraId="635ACD2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RV 10 digital</w:t>
                  </w:r>
                </w:p>
              </w:tc>
              <w:tc>
                <w:tcPr>
                  <w:tcW w:w="1145" w:type="pct"/>
                  <w:vAlign w:val="center"/>
                </w:tcPr>
                <w:p w14:paraId="6E0AC93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812" w:type="pct"/>
                  <w:vMerge w:val="continue"/>
                  <w:vAlign w:val="center"/>
                </w:tcPr>
                <w:p w14:paraId="1D987A4C">
                  <w:pPr>
                    <w:pStyle w:val="41"/>
                    <w:bidi w:val="0"/>
                    <w:jc w:val="center"/>
                    <w:rPr>
                      <w:rFonts w:hint="default"/>
                      <w:color w:val="auto"/>
                      <w:highlight w:val="none"/>
                      <w:lang w:val="en-US" w:eastAsia="zh-CN"/>
                    </w:rPr>
                  </w:pPr>
                </w:p>
              </w:tc>
            </w:tr>
            <w:tr w14:paraId="1E380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B833EC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93059B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旋转蒸发仪</w:t>
                  </w:r>
                </w:p>
              </w:tc>
              <w:tc>
                <w:tcPr>
                  <w:tcW w:w="1330" w:type="pct"/>
                  <w:vAlign w:val="center"/>
                </w:tcPr>
                <w:p w14:paraId="7911A80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Hei-VAP Advantage ML G3（5L）</w:t>
                  </w:r>
                </w:p>
              </w:tc>
              <w:tc>
                <w:tcPr>
                  <w:tcW w:w="1145" w:type="pct"/>
                  <w:vAlign w:val="center"/>
                </w:tcPr>
                <w:p w14:paraId="6295639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3020A9D">
                  <w:pPr>
                    <w:pStyle w:val="41"/>
                    <w:bidi w:val="0"/>
                    <w:jc w:val="center"/>
                    <w:rPr>
                      <w:rFonts w:hint="default"/>
                      <w:color w:val="auto"/>
                      <w:highlight w:val="none"/>
                      <w:lang w:val="en-US" w:eastAsia="zh-CN"/>
                    </w:rPr>
                  </w:pPr>
                </w:p>
              </w:tc>
            </w:tr>
            <w:tr w14:paraId="0E355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2F1B0D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73534C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隔膜真空泵</w:t>
                  </w:r>
                </w:p>
              </w:tc>
              <w:tc>
                <w:tcPr>
                  <w:tcW w:w="1330" w:type="pct"/>
                  <w:vAlign w:val="center"/>
                </w:tcPr>
                <w:p w14:paraId="4D2A336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2045C-02  35L/min</w:t>
                  </w:r>
                </w:p>
              </w:tc>
              <w:tc>
                <w:tcPr>
                  <w:tcW w:w="1145" w:type="pct"/>
                  <w:vAlign w:val="center"/>
                </w:tcPr>
                <w:p w14:paraId="2190995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2216258D">
                  <w:pPr>
                    <w:pStyle w:val="41"/>
                    <w:bidi w:val="0"/>
                    <w:jc w:val="center"/>
                    <w:rPr>
                      <w:rFonts w:hint="default"/>
                      <w:color w:val="auto"/>
                      <w:highlight w:val="none"/>
                      <w:lang w:val="en-US" w:eastAsia="zh-CN"/>
                    </w:rPr>
                  </w:pPr>
                </w:p>
              </w:tc>
            </w:tr>
            <w:tr w14:paraId="5FCF6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B93140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3BF4B4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水泵</w:t>
                  </w:r>
                </w:p>
              </w:tc>
              <w:tc>
                <w:tcPr>
                  <w:tcW w:w="1330" w:type="pct"/>
                  <w:vAlign w:val="center"/>
                </w:tcPr>
                <w:p w14:paraId="2E82004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0F046E9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812" w:type="pct"/>
                  <w:vMerge w:val="continue"/>
                  <w:vAlign w:val="center"/>
                </w:tcPr>
                <w:p w14:paraId="6EDB99F9">
                  <w:pPr>
                    <w:pStyle w:val="41"/>
                    <w:bidi w:val="0"/>
                    <w:jc w:val="center"/>
                    <w:rPr>
                      <w:rFonts w:hint="default"/>
                      <w:color w:val="auto"/>
                      <w:highlight w:val="none"/>
                      <w:lang w:val="en-US" w:eastAsia="zh-CN"/>
                    </w:rPr>
                  </w:pPr>
                </w:p>
              </w:tc>
            </w:tr>
            <w:tr w14:paraId="17F318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95784C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8076B5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低温循环泵</w:t>
                  </w:r>
                </w:p>
              </w:tc>
              <w:tc>
                <w:tcPr>
                  <w:tcW w:w="1330" w:type="pct"/>
                  <w:vAlign w:val="center"/>
                </w:tcPr>
                <w:p w14:paraId="1784DA9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597474D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812" w:type="pct"/>
                  <w:vMerge w:val="continue"/>
                  <w:vAlign w:val="center"/>
                </w:tcPr>
                <w:p w14:paraId="50FBDFFF">
                  <w:pPr>
                    <w:pStyle w:val="41"/>
                    <w:bidi w:val="0"/>
                    <w:jc w:val="center"/>
                    <w:rPr>
                      <w:rFonts w:hint="default"/>
                      <w:color w:val="auto"/>
                      <w:highlight w:val="none"/>
                      <w:lang w:val="en-US" w:eastAsia="zh-CN"/>
                    </w:rPr>
                  </w:pPr>
                </w:p>
              </w:tc>
            </w:tr>
            <w:tr w14:paraId="0817B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D2C5D7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A4E03F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红外干燥箱</w:t>
                  </w:r>
                </w:p>
              </w:tc>
              <w:tc>
                <w:tcPr>
                  <w:tcW w:w="1330" w:type="pct"/>
                  <w:vAlign w:val="center"/>
                </w:tcPr>
                <w:p w14:paraId="5C4CEE7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3C52B44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509CE11B">
                  <w:pPr>
                    <w:pStyle w:val="41"/>
                    <w:bidi w:val="0"/>
                    <w:jc w:val="center"/>
                    <w:rPr>
                      <w:rFonts w:hint="default"/>
                      <w:color w:val="auto"/>
                      <w:highlight w:val="none"/>
                      <w:lang w:val="en-US" w:eastAsia="zh-CN"/>
                    </w:rPr>
                  </w:pPr>
                </w:p>
              </w:tc>
            </w:tr>
            <w:tr w14:paraId="6866C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4CA1D9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5FE1C8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鼓风干燥箱</w:t>
                  </w:r>
                </w:p>
              </w:tc>
              <w:tc>
                <w:tcPr>
                  <w:tcW w:w="1330" w:type="pct"/>
                  <w:vAlign w:val="center"/>
                </w:tcPr>
                <w:p w14:paraId="7400139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304F0C4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78DEE6A2">
                  <w:pPr>
                    <w:pStyle w:val="41"/>
                    <w:bidi w:val="0"/>
                    <w:jc w:val="center"/>
                    <w:rPr>
                      <w:rFonts w:hint="default"/>
                      <w:color w:val="auto"/>
                      <w:highlight w:val="none"/>
                      <w:lang w:val="en-US" w:eastAsia="zh-CN"/>
                    </w:rPr>
                  </w:pPr>
                </w:p>
              </w:tc>
            </w:tr>
            <w:tr w14:paraId="037CF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D46AE2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E85951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真空干燥箱</w:t>
                  </w:r>
                </w:p>
              </w:tc>
              <w:tc>
                <w:tcPr>
                  <w:tcW w:w="1330" w:type="pct"/>
                  <w:vAlign w:val="center"/>
                </w:tcPr>
                <w:p w14:paraId="74259A8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251627A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1CD7D6B4">
                  <w:pPr>
                    <w:pStyle w:val="41"/>
                    <w:bidi w:val="0"/>
                    <w:jc w:val="center"/>
                    <w:rPr>
                      <w:rFonts w:hint="default"/>
                      <w:color w:val="auto"/>
                      <w:highlight w:val="none"/>
                      <w:lang w:val="en-US" w:eastAsia="zh-CN"/>
                    </w:rPr>
                  </w:pPr>
                </w:p>
              </w:tc>
            </w:tr>
            <w:tr w14:paraId="7DAA6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DEDF82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4148AF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真空油泵</w:t>
                  </w:r>
                </w:p>
              </w:tc>
              <w:tc>
                <w:tcPr>
                  <w:tcW w:w="1330" w:type="pct"/>
                  <w:vAlign w:val="center"/>
                </w:tcPr>
                <w:p w14:paraId="6BF0A1B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053C3FB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812" w:type="pct"/>
                  <w:vMerge w:val="continue"/>
                  <w:vAlign w:val="center"/>
                </w:tcPr>
                <w:p w14:paraId="63264414">
                  <w:pPr>
                    <w:pStyle w:val="41"/>
                    <w:bidi w:val="0"/>
                    <w:jc w:val="center"/>
                    <w:rPr>
                      <w:rFonts w:hint="default"/>
                      <w:color w:val="auto"/>
                      <w:highlight w:val="none"/>
                      <w:lang w:val="en-US" w:eastAsia="zh-CN"/>
                    </w:rPr>
                  </w:pPr>
                </w:p>
              </w:tc>
            </w:tr>
            <w:tr w14:paraId="553F8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538C03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9BE278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测试真空车</w:t>
                  </w:r>
                </w:p>
              </w:tc>
              <w:tc>
                <w:tcPr>
                  <w:tcW w:w="1330" w:type="pct"/>
                  <w:vAlign w:val="center"/>
                </w:tcPr>
                <w:p w14:paraId="55CDCB0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3B27D38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643BFDBA">
                  <w:pPr>
                    <w:pStyle w:val="41"/>
                    <w:bidi w:val="0"/>
                    <w:jc w:val="center"/>
                    <w:rPr>
                      <w:rFonts w:hint="default"/>
                      <w:color w:val="auto"/>
                      <w:highlight w:val="none"/>
                      <w:lang w:val="en-US" w:eastAsia="zh-CN"/>
                    </w:rPr>
                  </w:pPr>
                </w:p>
              </w:tc>
            </w:tr>
            <w:tr w14:paraId="2BAC8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9E7536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344B8C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熔点仪</w:t>
                  </w:r>
                </w:p>
              </w:tc>
              <w:tc>
                <w:tcPr>
                  <w:tcW w:w="1330" w:type="pct"/>
                  <w:vAlign w:val="center"/>
                </w:tcPr>
                <w:p w14:paraId="4D1B7C5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WRS-2</w:t>
                  </w:r>
                </w:p>
              </w:tc>
              <w:tc>
                <w:tcPr>
                  <w:tcW w:w="1145" w:type="pct"/>
                  <w:vAlign w:val="center"/>
                </w:tcPr>
                <w:p w14:paraId="5F596F5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7BA17916">
                  <w:pPr>
                    <w:pStyle w:val="41"/>
                    <w:bidi w:val="0"/>
                    <w:jc w:val="center"/>
                    <w:rPr>
                      <w:rFonts w:hint="default"/>
                      <w:color w:val="auto"/>
                      <w:highlight w:val="none"/>
                      <w:lang w:val="en-US" w:eastAsia="zh-CN"/>
                    </w:rPr>
                  </w:pPr>
                </w:p>
              </w:tc>
            </w:tr>
            <w:tr w14:paraId="14C22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5CF7C0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3060D6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暗箱式紫外分析仪</w:t>
                  </w:r>
                </w:p>
              </w:tc>
              <w:tc>
                <w:tcPr>
                  <w:tcW w:w="1330" w:type="pct"/>
                  <w:vAlign w:val="center"/>
                </w:tcPr>
                <w:p w14:paraId="113B0D1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19FC6E1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812" w:type="pct"/>
                  <w:vMerge w:val="continue"/>
                  <w:vAlign w:val="center"/>
                </w:tcPr>
                <w:p w14:paraId="626DEDD9">
                  <w:pPr>
                    <w:pStyle w:val="41"/>
                    <w:bidi w:val="0"/>
                    <w:jc w:val="center"/>
                    <w:rPr>
                      <w:rFonts w:hint="default"/>
                      <w:color w:val="auto"/>
                      <w:highlight w:val="none"/>
                      <w:lang w:val="en-US" w:eastAsia="zh-CN"/>
                    </w:rPr>
                  </w:pPr>
                </w:p>
              </w:tc>
            </w:tr>
            <w:tr w14:paraId="74F7F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1B81E6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8F4A7E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试剂存放恒温（0-4℃）</w:t>
                  </w:r>
                </w:p>
              </w:tc>
              <w:tc>
                <w:tcPr>
                  <w:tcW w:w="1330" w:type="pct"/>
                  <w:vAlign w:val="center"/>
                </w:tcPr>
                <w:p w14:paraId="6EA1AC5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新飞SC-360H</w:t>
                  </w:r>
                </w:p>
              </w:tc>
              <w:tc>
                <w:tcPr>
                  <w:tcW w:w="1145" w:type="pct"/>
                  <w:vAlign w:val="center"/>
                </w:tcPr>
                <w:p w14:paraId="0D019B2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812" w:type="pct"/>
                  <w:vMerge w:val="continue"/>
                  <w:vAlign w:val="center"/>
                </w:tcPr>
                <w:p w14:paraId="05AF7802">
                  <w:pPr>
                    <w:pStyle w:val="41"/>
                    <w:bidi w:val="0"/>
                    <w:jc w:val="center"/>
                    <w:rPr>
                      <w:rFonts w:hint="default"/>
                      <w:color w:val="auto"/>
                      <w:highlight w:val="none"/>
                      <w:lang w:val="en-US" w:eastAsia="zh-CN"/>
                    </w:rPr>
                  </w:pPr>
                </w:p>
              </w:tc>
            </w:tr>
            <w:tr w14:paraId="58EC0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D31361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E42E65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超声清洗仪</w:t>
                  </w:r>
                </w:p>
              </w:tc>
              <w:tc>
                <w:tcPr>
                  <w:tcW w:w="1330" w:type="pct"/>
                  <w:vAlign w:val="center"/>
                </w:tcPr>
                <w:p w14:paraId="03CA9B6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4CF2E52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15A44E41">
                  <w:pPr>
                    <w:pStyle w:val="41"/>
                    <w:bidi w:val="0"/>
                    <w:jc w:val="center"/>
                    <w:rPr>
                      <w:rFonts w:hint="default"/>
                      <w:color w:val="auto"/>
                      <w:highlight w:val="none"/>
                      <w:lang w:val="en-US" w:eastAsia="zh-CN"/>
                    </w:rPr>
                  </w:pPr>
                </w:p>
              </w:tc>
            </w:tr>
            <w:tr w14:paraId="7C40F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D9AC20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A1E2F4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玻璃仪器1套</w:t>
                  </w:r>
                </w:p>
              </w:tc>
              <w:tc>
                <w:tcPr>
                  <w:tcW w:w="1330" w:type="pct"/>
                  <w:vAlign w:val="center"/>
                </w:tcPr>
                <w:p w14:paraId="44C38F2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623282C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18</w:t>
                  </w:r>
                </w:p>
              </w:tc>
              <w:tc>
                <w:tcPr>
                  <w:tcW w:w="812" w:type="pct"/>
                  <w:vMerge w:val="continue"/>
                  <w:vAlign w:val="center"/>
                </w:tcPr>
                <w:p w14:paraId="6B57C821">
                  <w:pPr>
                    <w:pStyle w:val="41"/>
                    <w:bidi w:val="0"/>
                    <w:jc w:val="center"/>
                    <w:rPr>
                      <w:rFonts w:hint="default"/>
                      <w:color w:val="auto"/>
                      <w:highlight w:val="none"/>
                      <w:lang w:val="en-US" w:eastAsia="zh-CN"/>
                    </w:rPr>
                  </w:pPr>
                </w:p>
              </w:tc>
            </w:tr>
            <w:tr w14:paraId="24C3E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C35793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D14848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闪式提取器</w:t>
                  </w:r>
                </w:p>
              </w:tc>
              <w:tc>
                <w:tcPr>
                  <w:tcW w:w="1330" w:type="pct"/>
                  <w:vAlign w:val="center"/>
                </w:tcPr>
                <w:p w14:paraId="0180A7E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JHBE-50A</w:t>
                  </w:r>
                </w:p>
              </w:tc>
              <w:tc>
                <w:tcPr>
                  <w:tcW w:w="1145" w:type="pct"/>
                  <w:vAlign w:val="center"/>
                </w:tcPr>
                <w:p w14:paraId="201F6AA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DD4A096">
                  <w:pPr>
                    <w:pStyle w:val="41"/>
                    <w:bidi w:val="0"/>
                    <w:jc w:val="center"/>
                    <w:rPr>
                      <w:rFonts w:hint="default"/>
                      <w:color w:val="auto"/>
                      <w:highlight w:val="none"/>
                      <w:lang w:val="en-US" w:eastAsia="zh-CN"/>
                    </w:rPr>
                  </w:pPr>
                </w:p>
              </w:tc>
            </w:tr>
            <w:tr w14:paraId="784F3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BD629C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881ACD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超声仪</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10L</w:t>
                  </w:r>
                  <w:r>
                    <w:rPr>
                      <w:rFonts w:hint="eastAsia" w:cs="Times New Roman"/>
                      <w:color w:val="auto"/>
                      <w:sz w:val="21"/>
                      <w:szCs w:val="21"/>
                      <w:highlight w:val="none"/>
                      <w:lang w:val="en-US" w:eastAsia="zh-CN"/>
                    </w:rPr>
                    <w:t>）</w:t>
                  </w:r>
                </w:p>
              </w:tc>
              <w:tc>
                <w:tcPr>
                  <w:tcW w:w="1330" w:type="pct"/>
                  <w:vAlign w:val="center"/>
                </w:tcPr>
                <w:p w14:paraId="6BCF50E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M5800-C</w:t>
                  </w:r>
                </w:p>
              </w:tc>
              <w:tc>
                <w:tcPr>
                  <w:tcW w:w="1145" w:type="pct"/>
                  <w:vAlign w:val="center"/>
                </w:tcPr>
                <w:p w14:paraId="6FB9EAC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5DAC5F4">
                  <w:pPr>
                    <w:pStyle w:val="41"/>
                    <w:bidi w:val="0"/>
                    <w:jc w:val="center"/>
                    <w:rPr>
                      <w:rFonts w:hint="default"/>
                      <w:color w:val="auto"/>
                      <w:highlight w:val="none"/>
                      <w:lang w:val="en-US" w:eastAsia="zh-CN"/>
                    </w:rPr>
                  </w:pPr>
                </w:p>
              </w:tc>
            </w:tr>
            <w:tr w14:paraId="74D282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059C88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8AD4B6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旋转蒸发器</w:t>
                  </w:r>
                </w:p>
              </w:tc>
              <w:tc>
                <w:tcPr>
                  <w:tcW w:w="1330" w:type="pct"/>
                  <w:vAlign w:val="center"/>
                </w:tcPr>
                <w:p w14:paraId="06DC554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BCR-50L</w:t>
                  </w:r>
                </w:p>
              </w:tc>
              <w:tc>
                <w:tcPr>
                  <w:tcW w:w="1145" w:type="pct"/>
                  <w:vAlign w:val="center"/>
                </w:tcPr>
                <w:p w14:paraId="065EA03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E6F5EC6">
                  <w:pPr>
                    <w:pStyle w:val="41"/>
                    <w:bidi w:val="0"/>
                    <w:jc w:val="center"/>
                    <w:rPr>
                      <w:rFonts w:hint="default"/>
                      <w:color w:val="auto"/>
                      <w:highlight w:val="none"/>
                      <w:lang w:val="en-US" w:eastAsia="zh-CN"/>
                    </w:rPr>
                  </w:pPr>
                </w:p>
              </w:tc>
            </w:tr>
            <w:tr w14:paraId="6DD65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0842E6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C7D715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台式真空泵</w:t>
                  </w:r>
                </w:p>
              </w:tc>
              <w:tc>
                <w:tcPr>
                  <w:tcW w:w="1330" w:type="pct"/>
                  <w:vAlign w:val="center"/>
                </w:tcPr>
                <w:p w14:paraId="2337115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SHB-IIIA</w:t>
                  </w:r>
                </w:p>
              </w:tc>
              <w:tc>
                <w:tcPr>
                  <w:tcW w:w="1145" w:type="pct"/>
                  <w:vAlign w:val="center"/>
                </w:tcPr>
                <w:p w14:paraId="24E5888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3C07EB30">
                  <w:pPr>
                    <w:pStyle w:val="41"/>
                    <w:bidi w:val="0"/>
                    <w:jc w:val="center"/>
                    <w:rPr>
                      <w:rFonts w:hint="default"/>
                      <w:color w:val="auto"/>
                      <w:highlight w:val="none"/>
                      <w:lang w:val="en-US" w:eastAsia="zh-CN"/>
                    </w:rPr>
                  </w:pPr>
                </w:p>
              </w:tc>
            </w:tr>
            <w:tr w14:paraId="3482C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D8A2A8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B132AA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闪蒸浓缩器</w:t>
                  </w:r>
                </w:p>
              </w:tc>
              <w:tc>
                <w:tcPr>
                  <w:tcW w:w="1330" w:type="pct"/>
                  <w:vAlign w:val="center"/>
                </w:tcPr>
                <w:p w14:paraId="0D794A4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JMF-320G</w:t>
                  </w:r>
                </w:p>
              </w:tc>
              <w:tc>
                <w:tcPr>
                  <w:tcW w:w="1145" w:type="pct"/>
                  <w:vAlign w:val="center"/>
                </w:tcPr>
                <w:p w14:paraId="5080092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3F32348">
                  <w:pPr>
                    <w:pStyle w:val="41"/>
                    <w:bidi w:val="0"/>
                    <w:jc w:val="center"/>
                    <w:rPr>
                      <w:rFonts w:hint="default"/>
                      <w:color w:val="auto"/>
                      <w:highlight w:val="none"/>
                      <w:lang w:val="en-US" w:eastAsia="zh-CN"/>
                    </w:rPr>
                  </w:pPr>
                </w:p>
              </w:tc>
            </w:tr>
            <w:tr w14:paraId="40756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21C13F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895BA3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膜浓缩</w:t>
                  </w:r>
                </w:p>
              </w:tc>
              <w:tc>
                <w:tcPr>
                  <w:tcW w:w="1330" w:type="pct"/>
                  <w:vAlign w:val="center"/>
                </w:tcPr>
                <w:p w14:paraId="21754E6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HRC</w:t>
                  </w:r>
                </w:p>
              </w:tc>
              <w:tc>
                <w:tcPr>
                  <w:tcW w:w="1145" w:type="pct"/>
                  <w:vAlign w:val="center"/>
                </w:tcPr>
                <w:p w14:paraId="0856E07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E7A593D">
                  <w:pPr>
                    <w:pStyle w:val="41"/>
                    <w:bidi w:val="0"/>
                    <w:jc w:val="center"/>
                    <w:rPr>
                      <w:rFonts w:hint="default"/>
                      <w:color w:val="auto"/>
                      <w:highlight w:val="none"/>
                      <w:lang w:val="en-US" w:eastAsia="zh-CN"/>
                    </w:rPr>
                  </w:pPr>
                </w:p>
              </w:tc>
            </w:tr>
            <w:tr w14:paraId="59027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B854BC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2FB96A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多功能提取罐</w:t>
                  </w:r>
                </w:p>
              </w:tc>
              <w:tc>
                <w:tcPr>
                  <w:tcW w:w="1330" w:type="pct"/>
                  <w:vAlign w:val="center"/>
                </w:tcPr>
                <w:p w14:paraId="7651B3A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436D25F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CD04D32">
                  <w:pPr>
                    <w:pStyle w:val="41"/>
                    <w:bidi w:val="0"/>
                    <w:jc w:val="center"/>
                    <w:rPr>
                      <w:rFonts w:hint="default"/>
                      <w:color w:val="auto"/>
                      <w:highlight w:val="none"/>
                      <w:lang w:val="en-US" w:eastAsia="zh-CN"/>
                    </w:rPr>
                  </w:pPr>
                </w:p>
              </w:tc>
            </w:tr>
            <w:tr w14:paraId="14009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B7B9AF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32A163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旋转蒸发器</w:t>
                  </w:r>
                </w:p>
              </w:tc>
              <w:tc>
                <w:tcPr>
                  <w:tcW w:w="1330" w:type="pct"/>
                  <w:vAlign w:val="center"/>
                </w:tcPr>
                <w:p w14:paraId="6295FC8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45E3D03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CA93BC3">
                  <w:pPr>
                    <w:pStyle w:val="41"/>
                    <w:bidi w:val="0"/>
                    <w:jc w:val="center"/>
                    <w:rPr>
                      <w:rFonts w:hint="default"/>
                      <w:color w:val="auto"/>
                      <w:highlight w:val="none"/>
                      <w:lang w:val="en-US" w:eastAsia="zh-CN"/>
                    </w:rPr>
                  </w:pPr>
                </w:p>
              </w:tc>
            </w:tr>
            <w:tr w14:paraId="58837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38C39E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FBEF5B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真空干燥箱</w:t>
                  </w:r>
                </w:p>
              </w:tc>
              <w:tc>
                <w:tcPr>
                  <w:tcW w:w="1330" w:type="pct"/>
                  <w:vAlign w:val="center"/>
                </w:tcPr>
                <w:p w14:paraId="053D406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真空干燥箱：PVO-450</w:t>
                  </w:r>
                </w:p>
              </w:tc>
              <w:tc>
                <w:tcPr>
                  <w:tcW w:w="1145" w:type="pct"/>
                  <w:vAlign w:val="center"/>
                </w:tcPr>
                <w:p w14:paraId="00FF166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A73EC12">
                  <w:pPr>
                    <w:pStyle w:val="41"/>
                    <w:bidi w:val="0"/>
                    <w:jc w:val="center"/>
                    <w:rPr>
                      <w:rFonts w:hint="default"/>
                      <w:color w:val="auto"/>
                      <w:highlight w:val="none"/>
                      <w:lang w:val="en-US" w:eastAsia="zh-CN"/>
                    </w:rPr>
                  </w:pPr>
                </w:p>
              </w:tc>
            </w:tr>
            <w:tr w14:paraId="4E1DA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6E6221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8B259A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油泵</w:t>
                  </w:r>
                </w:p>
              </w:tc>
              <w:tc>
                <w:tcPr>
                  <w:tcW w:w="1330" w:type="pct"/>
                  <w:vAlign w:val="center"/>
                </w:tcPr>
                <w:p w14:paraId="7468436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A10VSO71DFR1</w:t>
                  </w:r>
                </w:p>
              </w:tc>
              <w:tc>
                <w:tcPr>
                  <w:tcW w:w="1145" w:type="pct"/>
                  <w:vAlign w:val="center"/>
                </w:tcPr>
                <w:p w14:paraId="1F89161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D5A2759">
                  <w:pPr>
                    <w:pStyle w:val="41"/>
                    <w:bidi w:val="0"/>
                    <w:jc w:val="center"/>
                    <w:rPr>
                      <w:rFonts w:hint="default"/>
                      <w:color w:val="auto"/>
                      <w:highlight w:val="none"/>
                      <w:lang w:val="en-US" w:eastAsia="zh-CN"/>
                    </w:rPr>
                  </w:pPr>
                </w:p>
              </w:tc>
            </w:tr>
            <w:tr w14:paraId="5DE40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E59B93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B98E68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电热鼓风干燥箱</w:t>
                  </w:r>
                </w:p>
              </w:tc>
              <w:tc>
                <w:tcPr>
                  <w:tcW w:w="1330" w:type="pct"/>
                  <w:vAlign w:val="center"/>
                </w:tcPr>
                <w:p w14:paraId="0928AA8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DHG-9023A</w:t>
                  </w:r>
                </w:p>
              </w:tc>
              <w:tc>
                <w:tcPr>
                  <w:tcW w:w="1145" w:type="pct"/>
                  <w:vAlign w:val="center"/>
                </w:tcPr>
                <w:p w14:paraId="4C14DF5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1D87CB07">
                  <w:pPr>
                    <w:pStyle w:val="41"/>
                    <w:bidi w:val="0"/>
                    <w:jc w:val="center"/>
                    <w:rPr>
                      <w:rFonts w:hint="default"/>
                      <w:color w:val="auto"/>
                      <w:highlight w:val="none"/>
                      <w:lang w:val="en-US" w:eastAsia="zh-CN"/>
                    </w:rPr>
                  </w:pPr>
                </w:p>
              </w:tc>
            </w:tr>
            <w:tr w14:paraId="60668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CF665F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9C6F96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隔膜真空泵</w:t>
                  </w:r>
                </w:p>
              </w:tc>
              <w:tc>
                <w:tcPr>
                  <w:tcW w:w="1330" w:type="pct"/>
                  <w:vAlign w:val="center"/>
                </w:tcPr>
                <w:p w14:paraId="1DACE51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MP-201</w:t>
                  </w:r>
                </w:p>
              </w:tc>
              <w:tc>
                <w:tcPr>
                  <w:tcW w:w="1145" w:type="pct"/>
                  <w:vAlign w:val="center"/>
                </w:tcPr>
                <w:p w14:paraId="023BB66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79BEF208">
                  <w:pPr>
                    <w:pStyle w:val="41"/>
                    <w:bidi w:val="0"/>
                    <w:jc w:val="center"/>
                    <w:rPr>
                      <w:rFonts w:hint="default"/>
                      <w:color w:val="auto"/>
                      <w:highlight w:val="none"/>
                      <w:lang w:val="en-US" w:eastAsia="zh-CN"/>
                    </w:rPr>
                  </w:pPr>
                </w:p>
              </w:tc>
            </w:tr>
            <w:tr w14:paraId="6D7D8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DB4063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7FAF6D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冷冻干燥机</w:t>
                  </w:r>
                </w:p>
              </w:tc>
              <w:tc>
                <w:tcPr>
                  <w:tcW w:w="1330" w:type="pct"/>
                  <w:vAlign w:val="center"/>
                </w:tcPr>
                <w:p w14:paraId="14AF516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Christ Alpha 1-2 Ldplus</w:t>
                  </w:r>
                </w:p>
              </w:tc>
              <w:tc>
                <w:tcPr>
                  <w:tcW w:w="1145" w:type="pct"/>
                  <w:vAlign w:val="center"/>
                </w:tcPr>
                <w:p w14:paraId="4273FA0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F997E8C">
                  <w:pPr>
                    <w:pStyle w:val="41"/>
                    <w:bidi w:val="0"/>
                    <w:jc w:val="center"/>
                    <w:rPr>
                      <w:rFonts w:hint="default"/>
                      <w:color w:val="auto"/>
                      <w:highlight w:val="none"/>
                      <w:lang w:val="en-US" w:eastAsia="zh-CN"/>
                    </w:rPr>
                  </w:pPr>
                </w:p>
              </w:tc>
            </w:tr>
            <w:tr w14:paraId="3CA60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B593AC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B51D9F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小型喷雾干燥</w:t>
                  </w:r>
                </w:p>
              </w:tc>
              <w:tc>
                <w:tcPr>
                  <w:tcW w:w="1330" w:type="pct"/>
                  <w:vAlign w:val="center"/>
                </w:tcPr>
                <w:p w14:paraId="0DB1021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Mini-Spray Dryer B-290</w:t>
                  </w:r>
                </w:p>
              </w:tc>
              <w:tc>
                <w:tcPr>
                  <w:tcW w:w="1145" w:type="pct"/>
                  <w:vAlign w:val="center"/>
                </w:tcPr>
                <w:p w14:paraId="0CB71BA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78B90539">
                  <w:pPr>
                    <w:pStyle w:val="41"/>
                    <w:bidi w:val="0"/>
                    <w:jc w:val="center"/>
                    <w:rPr>
                      <w:rFonts w:hint="default"/>
                      <w:color w:val="auto"/>
                      <w:highlight w:val="none"/>
                      <w:lang w:val="en-US" w:eastAsia="zh-CN"/>
                    </w:rPr>
                  </w:pPr>
                </w:p>
              </w:tc>
            </w:tr>
            <w:tr w14:paraId="09FA6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890670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56BBB0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真空干燥箱</w:t>
                  </w:r>
                </w:p>
              </w:tc>
              <w:tc>
                <w:tcPr>
                  <w:tcW w:w="1330" w:type="pct"/>
                  <w:vAlign w:val="center"/>
                </w:tcPr>
                <w:p w14:paraId="440446D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30BC451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01884905">
                  <w:pPr>
                    <w:pStyle w:val="41"/>
                    <w:bidi w:val="0"/>
                    <w:jc w:val="center"/>
                    <w:rPr>
                      <w:rFonts w:hint="default"/>
                      <w:color w:val="auto"/>
                      <w:highlight w:val="none"/>
                      <w:lang w:val="en-US" w:eastAsia="zh-CN"/>
                    </w:rPr>
                  </w:pPr>
                </w:p>
              </w:tc>
            </w:tr>
            <w:tr w14:paraId="7FD03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65E5F1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5755C1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红外干燥</w:t>
                  </w:r>
                </w:p>
              </w:tc>
              <w:tc>
                <w:tcPr>
                  <w:tcW w:w="1330" w:type="pct"/>
                  <w:vAlign w:val="center"/>
                </w:tcPr>
                <w:p w14:paraId="5F23374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19ED680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51D9683">
                  <w:pPr>
                    <w:pStyle w:val="41"/>
                    <w:bidi w:val="0"/>
                    <w:jc w:val="center"/>
                    <w:rPr>
                      <w:rFonts w:hint="default"/>
                      <w:color w:val="auto"/>
                      <w:highlight w:val="none"/>
                      <w:lang w:val="en-US" w:eastAsia="zh-CN"/>
                    </w:rPr>
                  </w:pPr>
                </w:p>
              </w:tc>
            </w:tr>
            <w:tr w14:paraId="4C449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588475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C8ED44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冷冻干燥机</w:t>
                  </w:r>
                </w:p>
              </w:tc>
              <w:tc>
                <w:tcPr>
                  <w:tcW w:w="1330" w:type="pct"/>
                  <w:vAlign w:val="center"/>
                </w:tcPr>
                <w:p w14:paraId="473BDDB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1A7CF54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7E43756">
                  <w:pPr>
                    <w:pStyle w:val="41"/>
                    <w:bidi w:val="0"/>
                    <w:jc w:val="center"/>
                    <w:rPr>
                      <w:rFonts w:hint="default"/>
                      <w:color w:val="auto"/>
                      <w:highlight w:val="none"/>
                      <w:lang w:val="en-US" w:eastAsia="zh-CN"/>
                    </w:rPr>
                  </w:pPr>
                </w:p>
              </w:tc>
            </w:tr>
            <w:tr w14:paraId="178B7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A32AC2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41059D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中试型喷雾干燥器</w:t>
                  </w:r>
                </w:p>
              </w:tc>
              <w:tc>
                <w:tcPr>
                  <w:tcW w:w="1330" w:type="pct"/>
                  <w:vAlign w:val="center"/>
                </w:tcPr>
                <w:p w14:paraId="7863016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3535EB5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D39731B">
                  <w:pPr>
                    <w:pStyle w:val="41"/>
                    <w:bidi w:val="0"/>
                    <w:jc w:val="center"/>
                    <w:rPr>
                      <w:rFonts w:hint="default"/>
                      <w:color w:val="auto"/>
                      <w:highlight w:val="none"/>
                      <w:lang w:val="en-US" w:eastAsia="zh-CN"/>
                    </w:rPr>
                  </w:pPr>
                </w:p>
              </w:tc>
            </w:tr>
            <w:tr w14:paraId="49A22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D87682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26945D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超声仪</w:t>
                  </w:r>
                </w:p>
              </w:tc>
              <w:tc>
                <w:tcPr>
                  <w:tcW w:w="1330" w:type="pct"/>
                  <w:vAlign w:val="center"/>
                </w:tcPr>
                <w:p w14:paraId="06EBE9A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5D49AB1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7485AA88">
                  <w:pPr>
                    <w:pStyle w:val="41"/>
                    <w:bidi w:val="0"/>
                    <w:jc w:val="center"/>
                    <w:rPr>
                      <w:rFonts w:hint="default"/>
                      <w:color w:val="auto"/>
                      <w:highlight w:val="none"/>
                      <w:lang w:val="en-US" w:eastAsia="zh-CN"/>
                    </w:rPr>
                  </w:pPr>
                </w:p>
              </w:tc>
            </w:tr>
            <w:tr w14:paraId="45E37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C731B5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DFDF11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空气压缩机</w:t>
                  </w:r>
                </w:p>
              </w:tc>
              <w:tc>
                <w:tcPr>
                  <w:tcW w:w="1330" w:type="pct"/>
                  <w:vAlign w:val="center"/>
                </w:tcPr>
                <w:p w14:paraId="557AE1F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0.4LE-8S</w:t>
                  </w:r>
                </w:p>
              </w:tc>
              <w:tc>
                <w:tcPr>
                  <w:tcW w:w="1145" w:type="pct"/>
                  <w:vAlign w:val="center"/>
                </w:tcPr>
                <w:p w14:paraId="5F1FA02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8E90E33">
                  <w:pPr>
                    <w:pStyle w:val="41"/>
                    <w:bidi w:val="0"/>
                    <w:jc w:val="center"/>
                    <w:rPr>
                      <w:rFonts w:hint="default"/>
                      <w:color w:val="auto"/>
                      <w:highlight w:val="none"/>
                      <w:lang w:val="en-US" w:eastAsia="zh-CN"/>
                    </w:rPr>
                  </w:pPr>
                </w:p>
              </w:tc>
            </w:tr>
            <w:tr w14:paraId="18F9E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FDF550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53BE58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漩涡混合器</w:t>
                  </w:r>
                </w:p>
              </w:tc>
              <w:tc>
                <w:tcPr>
                  <w:tcW w:w="1330" w:type="pct"/>
                  <w:vAlign w:val="center"/>
                </w:tcPr>
                <w:p w14:paraId="626296C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VORTEX-GENIE 2T</w:t>
                  </w:r>
                </w:p>
              </w:tc>
              <w:tc>
                <w:tcPr>
                  <w:tcW w:w="1145" w:type="pct"/>
                  <w:vAlign w:val="center"/>
                </w:tcPr>
                <w:p w14:paraId="2D20700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74605687">
                  <w:pPr>
                    <w:pStyle w:val="41"/>
                    <w:bidi w:val="0"/>
                    <w:jc w:val="center"/>
                    <w:rPr>
                      <w:rFonts w:hint="default"/>
                      <w:color w:val="auto"/>
                      <w:highlight w:val="none"/>
                      <w:lang w:val="en-US" w:eastAsia="zh-CN"/>
                    </w:rPr>
                  </w:pPr>
                </w:p>
              </w:tc>
            </w:tr>
            <w:tr w14:paraId="6390F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6C607B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DF2D66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HYPERLINK "http://shwx17.cn.makepolo.com/product/100060072310.html"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ME40微孔板培养摇床</w:t>
                  </w:r>
                  <w:r>
                    <w:rPr>
                      <w:rFonts w:hint="default" w:ascii="Times New Roman" w:hAnsi="Times New Roman" w:eastAsia="宋体" w:cs="Times New Roman"/>
                      <w:color w:val="auto"/>
                      <w:sz w:val="21"/>
                      <w:szCs w:val="21"/>
                      <w:highlight w:val="none"/>
                      <w:lang w:val="en-US" w:eastAsia="zh-CN"/>
                    </w:rPr>
                    <w:fldChar w:fldCharType="end"/>
                  </w:r>
                </w:p>
              </w:tc>
              <w:tc>
                <w:tcPr>
                  <w:tcW w:w="1330" w:type="pct"/>
                  <w:vAlign w:val="center"/>
                </w:tcPr>
                <w:p w14:paraId="6BF6955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ME-40</w:t>
                  </w:r>
                </w:p>
              </w:tc>
              <w:tc>
                <w:tcPr>
                  <w:tcW w:w="1145" w:type="pct"/>
                  <w:vAlign w:val="center"/>
                </w:tcPr>
                <w:p w14:paraId="79351B6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005261DE">
                  <w:pPr>
                    <w:pStyle w:val="41"/>
                    <w:bidi w:val="0"/>
                    <w:jc w:val="center"/>
                    <w:rPr>
                      <w:rFonts w:hint="default"/>
                      <w:color w:val="auto"/>
                      <w:highlight w:val="none"/>
                      <w:lang w:val="en-US" w:eastAsia="zh-CN"/>
                    </w:rPr>
                  </w:pPr>
                </w:p>
              </w:tc>
            </w:tr>
            <w:tr w14:paraId="1D067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4505E2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F4572F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水浴恒温摇床</w:t>
                  </w:r>
                </w:p>
              </w:tc>
              <w:tc>
                <w:tcPr>
                  <w:tcW w:w="1330" w:type="pct"/>
                  <w:vAlign w:val="center"/>
                </w:tcPr>
                <w:p w14:paraId="77DBE41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SHA-C</w:t>
                  </w:r>
                </w:p>
              </w:tc>
              <w:tc>
                <w:tcPr>
                  <w:tcW w:w="1145" w:type="pct"/>
                  <w:vAlign w:val="center"/>
                </w:tcPr>
                <w:p w14:paraId="2E8112A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A69BB97">
                  <w:pPr>
                    <w:pStyle w:val="41"/>
                    <w:bidi w:val="0"/>
                    <w:jc w:val="center"/>
                    <w:rPr>
                      <w:rFonts w:hint="default"/>
                      <w:color w:val="auto"/>
                      <w:highlight w:val="none"/>
                      <w:lang w:val="en-US" w:eastAsia="zh-CN"/>
                    </w:rPr>
                  </w:pPr>
                </w:p>
              </w:tc>
            </w:tr>
            <w:tr w14:paraId="579D9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2EE73D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19C0DF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氮吹仪（可控温）</w:t>
                  </w:r>
                </w:p>
              </w:tc>
              <w:tc>
                <w:tcPr>
                  <w:tcW w:w="1330" w:type="pct"/>
                  <w:vAlign w:val="center"/>
                </w:tcPr>
                <w:p w14:paraId="2031D79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MTN-2800</w:t>
                  </w:r>
                </w:p>
              </w:tc>
              <w:tc>
                <w:tcPr>
                  <w:tcW w:w="1145" w:type="pct"/>
                  <w:vAlign w:val="center"/>
                </w:tcPr>
                <w:p w14:paraId="4D9ADDE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158529DE">
                  <w:pPr>
                    <w:pStyle w:val="41"/>
                    <w:bidi w:val="0"/>
                    <w:jc w:val="center"/>
                    <w:rPr>
                      <w:rFonts w:hint="default"/>
                      <w:color w:val="auto"/>
                      <w:highlight w:val="none"/>
                      <w:lang w:val="en-US" w:eastAsia="zh-CN"/>
                    </w:rPr>
                  </w:pPr>
                </w:p>
              </w:tc>
            </w:tr>
            <w:tr w14:paraId="2EB9D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456DCD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373731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低温冷冻离心浓缩仪</w:t>
                  </w:r>
                </w:p>
              </w:tc>
              <w:tc>
                <w:tcPr>
                  <w:tcW w:w="1330" w:type="pct"/>
                  <w:vAlign w:val="center"/>
                </w:tcPr>
                <w:p w14:paraId="7A94839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CentriVap®</w:t>
                  </w:r>
                </w:p>
              </w:tc>
              <w:tc>
                <w:tcPr>
                  <w:tcW w:w="1145" w:type="pct"/>
                  <w:vAlign w:val="center"/>
                </w:tcPr>
                <w:p w14:paraId="27068F5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06C5DE3">
                  <w:pPr>
                    <w:pStyle w:val="41"/>
                    <w:bidi w:val="0"/>
                    <w:jc w:val="center"/>
                    <w:rPr>
                      <w:rFonts w:hint="default"/>
                      <w:color w:val="auto"/>
                      <w:highlight w:val="none"/>
                      <w:lang w:val="en-US" w:eastAsia="zh-CN"/>
                    </w:rPr>
                  </w:pPr>
                </w:p>
              </w:tc>
            </w:tr>
            <w:tr w14:paraId="282F4C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2EA718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AB879D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Biomek小型移液工作站</w:t>
                  </w:r>
                </w:p>
              </w:tc>
              <w:tc>
                <w:tcPr>
                  <w:tcW w:w="1330" w:type="pct"/>
                  <w:vAlign w:val="center"/>
                </w:tcPr>
                <w:p w14:paraId="63913FE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miomek</w:t>
                  </w:r>
                </w:p>
              </w:tc>
              <w:tc>
                <w:tcPr>
                  <w:tcW w:w="1145" w:type="pct"/>
                  <w:vAlign w:val="center"/>
                </w:tcPr>
                <w:p w14:paraId="7683613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B375092">
                  <w:pPr>
                    <w:pStyle w:val="41"/>
                    <w:bidi w:val="0"/>
                    <w:jc w:val="center"/>
                    <w:rPr>
                      <w:rFonts w:hint="default"/>
                      <w:color w:val="auto"/>
                      <w:highlight w:val="none"/>
                      <w:lang w:val="en-US" w:eastAsia="zh-CN"/>
                    </w:rPr>
                  </w:pPr>
                </w:p>
              </w:tc>
            </w:tr>
            <w:tr w14:paraId="350F0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83FA1D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1F88A2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电动连续分液器</w:t>
                  </w:r>
                </w:p>
              </w:tc>
              <w:tc>
                <w:tcPr>
                  <w:tcW w:w="1330" w:type="pct"/>
                  <w:vAlign w:val="center"/>
                </w:tcPr>
                <w:p w14:paraId="2765AF4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Multipette Xstream</w:t>
                  </w:r>
                </w:p>
              </w:tc>
              <w:tc>
                <w:tcPr>
                  <w:tcW w:w="1145" w:type="pct"/>
                  <w:vAlign w:val="center"/>
                </w:tcPr>
                <w:p w14:paraId="2E3F5C7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C96A743">
                  <w:pPr>
                    <w:pStyle w:val="41"/>
                    <w:bidi w:val="0"/>
                    <w:jc w:val="center"/>
                    <w:rPr>
                      <w:rFonts w:hint="default"/>
                      <w:color w:val="auto"/>
                      <w:highlight w:val="none"/>
                      <w:lang w:val="en-US" w:eastAsia="zh-CN"/>
                    </w:rPr>
                  </w:pPr>
                </w:p>
              </w:tc>
            </w:tr>
            <w:tr w14:paraId="078B3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0157C6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89D9A7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8排手动移液器</w:t>
                  </w:r>
                </w:p>
              </w:tc>
              <w:tc>
                <w:tcPr>
                  <w:tcW w:w="1330" w:type="pct"/>
                  <w:vAlign w:val="center"/>
                </w:tcPr>
                <w:p w14:paraId="07ECF99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30-300uL</w:t>
                  </w:r>
                </w:p>
              </w:tc>
              <w:tc>
                <w:tcPr>
                  <w:tcW w:w="1145" w:type="pct"/>
                  <w:vAlign w:val="center"/>
                </w:tcPr>
                <w:p w14:paraId="7618778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3A16FE1">
                  <w:pPr>
                    <w:pStyle w:val="41"/>
                    <w:bidi w:val="0"/>
                    <w:jc w:val="center"/>
                    <w:rPr>
                      <w:rFonts w:hint="default"/>
                      <w:color w:val="auto"/>
                      <w:highlight w:val="none"/>
                      <w:lang w:val="en-US" w:eastAsia="zh-CN"/>
                    </w:rPr>
                  </w:pPr>
                </w:p>
              </w:tc>
            </w:tr>
            <w:tr w14:paraId="0DCA2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026B0B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B901BD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12排手动移液器</w:t>
                  </w:r>
                </w:p>
              </w:tc>
              <w:tc>
                <w:tcPr>
                  <w:tcW w:w="1330" w:type="pct"/>
                  <w:vAlign w:val="center"/>
                </w:tcPr>
                <w:p w14:paraId="06653D8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30-300uL</w:t>
                  </w:r>
                </w:p>
              </w:tc>
              <w:tc>
                <w:tcPr>
                  <w:tcW w:w="1145" w:type="pct"/>
                  <w:vAlign w:val="center"/>
                </w:tcPr>
                <w:p w14:paraId="7DD7F48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7775064">
                  <w:pPr>
                    <w:pStyle w:val="41"/>
                    <w:bidi w:val="0"/>
                    <w:jc w:val="center"/>
                    <w:rPr>
                      <w:rFonts w:hint="default"/>
                      <w:color w:val="auto"/>
                      <w:highlight w:val="none"/>
                      <w:lang w:val="en-US" w:eastAsia="zh-CN"/>
                    </w:rPr>
                  </w:pPr>
                </w:p>
              </w:tc>
            </w:tr>
            <w:tr w14:paraId="7F16D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F9DA0B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2EFCF1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液质联用仪（三重四极杆）</w:t>
                  </w:r>
                </w:p>
              </w:tc>
              <w:tc>
                <w:tcPr>
                  <w:tcW w:w="1330" w:type="pct"/>
                  <w:vAlign w:val="center"/>
                </w:tcPr>
                <w:p w14:paraId="4102000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AB4000+</w:t>
                  </w:r>
                </w:p>
              </w:tc>
              <w:tc>
                <w:tcPr>
                  <w:tcW w:w="1145" w:type="pct"/>
                  <w:vAlign w:val="center"/>
                </w:tcPr>
                <w:p w14:paraId="4C7FB91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9B6E184">
                  <w:pPr>
                    <w:pStyle w:val="41"/>
                    <w:bidi w:val="0"/>
                    <w:jc w:val="center"/>
                    <w:rPr>
                      <w:rFonts w:hint="default"/>
                      <w:color w:val="auto"/>
                      <w:highlight w:val="none"/>
                      <w:lang w:val="en-US" w:eastAsia="zh-CN"/>
                    </w:rPr>
                  </w:pPr>
                </w:p>
              </w:tc>
            </w:tr>
            <w:tr w14:paraId="56BD5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94C32E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F5B277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液质联用仪</w:t>
                  </w:r>
                </w:p>
              </w:tc>
              <w:tc>
                <w:tcPr>
                  <w:tcW w:w="1330" w:type="pct"/>
                  <w:vAlign w:val="center"/>
                </w:tcPr>
                <w:p w14:paraId="006FBCF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QTRAP5500</w:t>
                  </w:r>
                </w:p>
              </w:tc>
              <w:tc>
                <w:tcPr>
                  <w:tcW w:w="1145" w:type="pct"/>
                  <w:vAlign w:val="center"/>
                </w:tcPr>
                <w:p w14:paraId="4965F9F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1BE94E0C">
                  <w:pPr>
                    <w:pStyle w:val="41"/>
                    <w:bidi w:val="0"/>
                    <w:jc w:val="center"/>
                    <w:rPr>
                      <w:rFonts w:hint="default"/>
                      <w:color w:val="auto"/>
                      <w:highlight w:val="none"/>
                      <w:lang w:val="en-US" w:eastAsia="zh-CN"/>
                    </w:rPr>
                  </w:pPr>
                </w:p>
              </w:tc>
            </w:tr>
            <w:tr w14:paraId="3B866A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459DFF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D224AC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质谱配套UPS</w:t>
                  </w:r>
                </w:p>
              </w:tc>
              <w:tc>
                <w:tcPr>
                  <w:tcW w:w="1330" w:type="pct"/>
                  <w:vAlign w:val="center"/>
                </w:tcPr>
                <w:p w14:paraId="2372BA1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22152A2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616EFB43">
                  <w:pPr>
                    <w:pStyle w:val="41"/>
                    <w:bidi w:val="0"/>
                    <w:jc w:val="center"/>
                    <w:rPr>
                      <w:rFonts w:hint="default"/>
                      <w:color w:val="auto"/>
                      <w:highlight w:val="none"/>
                      <w:lang w:val="en-US" w:eastAsia="zh-CN"/>
                    </w:rPr>
                  </w:pPr>
                </w:p>
              </w:tc>
            </w:tr>
            <w:tr w14:paraId="5C9DB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67BA10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D7F825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Agilient 1260 四元生物液相带收集器</w:t>
                  </w:r>
                </w:p>
              </w:tc>
              <w:tc>
                <w:tcPr>
                  <w:tcW w:w="1330" w:type="pct"/>
                  <w:vAlign w:val="center"/>
                </w:tcPr>
                <w:p w14:paraId="65BE22E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Agilient 1260</w:t>
                  </w:r>
                </w:p>
              </w:tc>
              <w:tc>
                <w:tcPr>
                  <w:tcW w:w="1145" w:type="pct"/>
                  <w:vAlign w:val="center"/>
                </w:tcPr>
                <w:p w14:paraId="524B3AE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0959591">
                  <w:pPr>
                    <w:pStyle w:val="41"/>
                    <w:bidi w:val="0"/>
                    <w:jc w:val="center"/>
                    <w:rPr>
                      <w:rFonts w:hint="default"/>
                      <w:color w:val="auto"/>
                      <w:highlight w:val="none"/>
                      <w:lang w:val="en-US" w:eastAsia="zh-CN"/>
                    </w:rPr>
                  </w:pPr>
                </w:p>
              </w:tc>
            </w:tr>
            <w:tr w14:paraId="3946B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8DA76F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5E5644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Thermo UPLC二元生物液相带收集器</w:t>
                  </w:r>
                </w:p>
              </w:tc>
              <w:tc>
                <w:tcPr>
                  <w:tcW w:w="1330" w:type="pct"/>
                  <w:vAlign w:val="center"/>
                </w:tcPr>
                <w:p w14:paraId="7945642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Thermo</w:t>
                  </w:r>
                </w:p>
              </w:tc>
              <w:tc>
                <w:tcPr>
                  <w:tcW w:w="1145" w:type="pct"/>
                  <w:vAlign w:val="center"/>
                </w:tcPr>
                <w:p w14:paraId="008B994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A852DC0">
                  <w:pPr>
                    <w:pStyle w:val="41"/>
                    <w:bidi w:val="0"/>
                    <w:jc w:val="center"/>
                    <w:rPr>
                      <w:rFonts w:hint="default"/>
                      <w:color w:val="auto"/>
                      <w:highlight w:val="none"/>
                      <w:lang w:val="en-US" w:eastAsia="zh-CN"/>
                    </w:rPr>
                  </w:pPr>
                </w:p>
              </w:tc>
            </w:tr>
            <w:tr w14:paraId="4041B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80424D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FF32C6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液质联用仪（四极杆-飞行时间串联质谱）</w:t>
                  </w:r>
                </w:p>
              </w:tc>
              <w:tc>
                <w:tcPr>
                  <w:tcW w:w="1330" w:type="pct"/>
                  <w:vAlign w:val="center"/>
                </w:tcPr>
                <w:p w14:paraId="35E414D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Agilent1290- QTOF 6540</w:t>
                  </w:r>
                </w:p>
              </w:tc>
              <w:tc>
                <w:tcPr>
                  <w:tcW w:w="1145" w:type="pct"/>
                  <w:vAlign w:val="center"/>
                </w:tcPr>
                <w:p w14:paraId="3E7452A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B90D22F">
                  <w:pPr>
                    <w:pStyle w:val="41"/>
                    <w:bidi w:val="0"/>
                    <w:jc w:val="center"/>
                    <w:rPr>
                      <w:rFonts w:hint="default"/>
                      <w:color w:val="auto"/>
                      <w:highlight w:val="none"/>
                      <w:lang w:val="en-US" w:eastAsia="zh-CN"/>
                    </w:rPr>
                  </w:pPr>
                </w:p>
              </w:tc>
            </w:tr>
            <w:tr w14:paraId="42F51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66D9C8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D15E6D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质谱配套UPS</w:t>
                  </w:r>
                </w:p>
              </w:tc>
              <w:tc>
                <w:tcPr>
                  <w:tcW w:w="1330" w:type="pct"/>
                  <w:vAlign w:val="center"/>
                </w:tcPr>
                <w:p w14:paraId="24F7E63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5ECD0C4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78398349">
                  <w:pPr>
                    <w:pStyle w:val="41"/>
                    <w:bidi w:val="0"/>
                    <w:jc w:val="center"/>
                    <w:rPr>
                      <w:rFonts w:hint="default"/>
                      <w:color w:val="auto"/>
                      <w:highlight w:val="none"/>
                      <w:lang w:val="en-US" w:eastAsia="zh-CN"/>
                    </w:rPr>
                  </w:pPr>
                </w:p>
              </w:tc>
            </w:tr>
            <w:tr w14:paraId="16A91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70A456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14E5AC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Agilent 1290超高压液相色谱仪（DAD检测器）</w:t>
                  </w:r>
                </w:p>
              </w:tc>
              <w:tc>
                <w:tcPr>
                  <w:tcW w:w="1330" w:type="pct"/>
                  <w:vAlign w:val="center"/>
                </w:tcPr>
                <w:p w14:paraId="4B88908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Agilent 1290</w:t>
                  </w:r>
                </w:p>
              </w:tc>
              <w:tc>
                <w:tcPr>
                  <w:tcW w:w="1145" w:type="pct"/>
                  <w:vAlign w:val="center"/>
                </w:tcPr>
                <w:p w14:paraId="6CD7DDB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F28F24B">
                  <w:pPr>
                    <w:pStyle w:val="41"/>
                    <w:bidi w:val="0"/>
                    <w:jc w:val="center"/>
                    <w:rPr>
                      <w:rFonts w:hint="default"/>
                      <w:color w:val="auto"/>
                      <w:highlight w:val="none"/>
                      <w:lang w:val="en-US" w:eastAsia="zh-CN"/>
                    </w:rPr>
                  </w:pPr>
                </w:p>
              </w:tc>
            </w:tr>
            <w:tr w14:paraId="4C2199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6C6DD2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574772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Agilent 1260高效液相色谱仪（DAD检测器）</w:t>
                  </w:r>
                </w:p>
              </w:tc>
              <w:tc>
                <w:tcPr>
                  <w:tcW w:w="1330" w:type="pct"/>
                  <w:vAlign w:val="center"/>
                </w:tcPr>
                <w:p w14:paraId="2F8F42B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Agilent 1260</w:t>
                  </w:r>
                </w:p>
              </w:tc>
              <w:tc>
                <w:tcPr>
                  <w:tcW w:w="1145" w:type="pct"/>
                  <w:vAlign w:val="center"/>
                </w:tcPr>
                <w:p w14:paraId="06A4687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4F60D437">
                  <w:pPr>
                    <w:pStyle w:val="41"/>
                    <w:bidi w:val="0"/>
                    <w:jc w:val="center"/>
                    <w:rPr>
                      <w:rFonts w:hint="default"/>
                      <w:color w:val="auto"/>
                      <w:highlight w:val="none"/>
                      <w:lang w:val="en-US" w:eastAsia="zh-CN"/>
                    </w:rPr>
                  </w:pPr>
                </w:p>
              </w:tc>
            </w:tr>
            <w:tr w14:paraId="0F7D2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DFC8BD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737669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Agilent 1260高效液相色谱仪（MWD检测器）</w:t>
                  </w:r>
                </w:p>
              </w:tc>
              <w:tc>
                <w:tcPr>
                  <w:tcW w:w="1330" w:type="pct"/>
                  <w:vAlign w:val="center"/>
                </w:tcPr>
                <w:p w14:paraId="3A94CCC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Agilent 1260</w:t>
                  </w:r>
                </w:p>
              </w:tc>
              <w:tc>
                <w:tcPr>
                  <w:tcW w:w="1145" w:type="pct"/>
                  <w:vAlign w:val="center"/>
                </w:tcPr>
                <w:p w14:paraId="4C0F93B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B9A89F3">
                  <w:pPr>
                    <w:pStyle w:val="41"/>
                    <w:bidi w:val="0"/>
                    <w:jc w:val="center"/>
                    <w:rPr>
                      <w:rFonts w:hint="default"/>
                      <w:color w:val="auto"/>
                      <w:highlight w:val="none"/>
                      <w:lang w:val="en-US" w:eastAsia="zh-CN"/>
                    </w:rPr>
                  </w:pPr>
                </w:p>
              </w:tc>
            </w:tr>
            <w:tr w14:paraId="22497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4A0ADD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FB00BF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Thermo高效液相色谱仪（DAD+ELSD检测器）</w:t>
                  </w:r>
                </w:p>
              </w:tc>
              <w:tc>
                <w:tcPr>
                  <w:tcW w:w="1330" w:type="pct"/>
                  <w:vAlign w:val="center"/>
                </w:tcPr>
                <w:p w14:paraId="58E22A1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Ultimate3000/sodex</w:t>
                  </w:r>
                </w:p>
              </w:tc>
              <w:tc>
                <w:tcPr>
                  <w:tcW w:w="1145" w:type="pct"/>
                  <w:vAlign w:val="center"/>
                </w:tcPr>
                <w:p w14:paraId="1138C02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50043E0">
                  <w:pPr>
                    <w:pStyle w:val="41"/>
                    <w:bidi w:val="0"/>
                    <w:jc w:val="center"/>
                    <w:rPr>
                      <w:rFonts w:hint="default"/>
                      <w:color w:val="auto"/>
                      <w:highlight w:val="none"/>
                      <w:lang w:val="en-US" w:eastAsia="zh-CN"/>
                    </w:rPr>
                  </w:pPr>
                </w:p>
              </w:tc>
            </w:tr>
            <w:tr w14:paraId="1D6A0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48D92D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CC4274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配套UPS</w:t>
                  </w:r>
                </w:p>
              </w:tc>
              <w:tc>
                <w:tcPr>
                  <w:tcW w:w="1330" w:type="pct"/>
                  <w:vAlign w:val="center"/>
                </w:tcPr>
                <w:p w14:paraId="593626B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2ADF513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1F2D939B">
                  <w:pPr>
                    <w:pStyle w:val="41"/>
                    <w:bidi w:val="0"/>
                    <w:jc w:val="center"/>
                    <w:rPr>
                      <w:rFonts w:hint="default"/>
                      <w:color w:val="auto"/>
                      <w:highlight w:val="none"/>
                      <w:lang w:val="en-US" w:eastAsia="zh-CN"/>
                    </w:rPr>
                  </w:pPr>
                </w:p>
              </w:tc>
            </w:tr>
            <w:tr w14:paraId="3502E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80FAD4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11AF3C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液质联用仪（单四极杆）</w:t>
                  </w:r>
                </w:p>
              </w:tc>
              <w:tc>
                <w:tcPr>
                  <w:tcW w:w="1330" w:type="pct"/>
                  <w:vAlign w:val="center"/>
                </w:tcPr>
                <w:p w14:paraId="2FC5DE2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1260UHPLC/6120QMS</w:t>
                  </w:r>
                </w:p>
              </w:tc>
              <w:tc>
                <w:tcPr>
                  <w:tcW w:w="1145" w:type="pct"/>
                  <w:vAlign w:val="center"/>
                </w:tcPr>
                <w:p w14:paraId="1AB168F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7AD09FF">
                  <w:pPr>
                    <w:pStyle w:val="41"/>
                    <w:bidi w:val="0"/>
                    <w:jc w:val="center"/>
                    <w:rPr>
                      <w:rFonts w:hint="default"/>
                      <w:color w:val="auto"/>
                      <w:highlight w:val="none"/>
                      <w:lang w:val="en-US" w:eastAsia="zh-CN"/>
                    </w:rPr>
                  </w:pPr>
                </w:p>
              </w:tc>
            </w:tr>
            <w:tr w14:paraId="226B0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7EFAD7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381F96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质谱配套UPS</w:t>
                  </w:r>
                </w:p>
              </w:tc>
              <w:tc>
                <w:tcPr>
                  <w:tcW w:w="1330" w:type="pct"/>
                  <w:vAlign w:val="center"/>
                </w:tcPr>
                <w:p w14:paraId="530137D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244977F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30CC6FC">
                  <w:pPr>
                    <w:pStyle w:val="41"/>
                    <w:bidi w:val="0"/>
                    <w:jc w:val="center"/>
                    <w:rPr>
                      <w:rFonts w:hint="default"/>
                      <w:color w:val="auto"/>
                      <w:highlight w:val="none"/>
                      <w:lang w:val="en-US" w:eastAsia="zh-CN"/>
                    </w:rPr>
                  </w:pPr>
                </w:p>
              </w:tc>
            </w:tr>
            <w:tr w14:paraId="3E928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2B76D2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893B81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紫外-可见分光光度计</w:t>
                  </w:r>
                </w:p>
              </w:tc>
              <w:tc>
                <w:tcPr>
                  <w:tcW w:w="1330" w:type="pct"/>
                  <w:vAlign w:val="center"/>
                </w:tcPr>
                <w:p w14:paraId="27EF105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UV-2600</w:t>
                  </w:r>
                </w:p>
              </w:tc>
              <w:tc>
                <w:tcPr>
                  <w:tcW w:w="1145" w:type="pct"/>
                  <w:vAlign w:val="center"/>
                </w:tcPr>
                <w:p w14:paraId="55F054A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3691F70">
                  <w:pPr>
                    <w:pStyle w:val="41"/>
                    <w:bidi w:val="0"/>
                    <w:jc w:val="center"/>
                    <w:rPr>
                      <w:rFonts w:hint="default"/>
                      <w:color w:val="auto"/>
                      <w:highlight w:val="none"/>
                      <w:lang w:val="en-US" w:eastAsia="zh-CN"/>
                    </w:rPr>
                  </w:pPr>
                </w:p>
              </w:tc>
            </w:tr>
            <w:tr w14:paraId="65AC1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B29722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412B0D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真空干燥箱</w:t>
                  </w:r>
                </w:p>
              </w:tc>
              <w:tc>
                <w:tcPr>
                  <w:tcW w:w="1330" w:type="pct"/>
                  <w:vAlign w:val="center"/>
                </w:tcPr>
                <w:p w14:paraId="6A8AB31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DZF-6050</w:t>
                  </w:r>
                </w:p>
              </w:tc>
              <w:tc>
                <w:tcPr>
                  <w:tcW w:w="1145" w:type="pct"/>
                  <w:vAlign w:val="center"/>
                </w:tcPr>
                <w:p w14:paraId="18D10A0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0A87912">
                  <w:pPr>
                    <w:pStyle w:val="41"/>
                    <w:bidi w:val="0"/>
                    <w:jc w:val="center"/>
                    <w:rPr>
                      <w:rFonts w:hint="default"/>
                      <w:color w:val="auto"/>
                      <w:highlight w:val="none"/>
                      <w:lang w:val="en-US" w:eastAsia="zh-CN"/>
                    </w:rPr>
                  </w:pPr>
                </w:p>
              </w:tc>
            </w:tr>
            <w:tr w14:paraId="084DB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93CD73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C5E9C1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恒温恒湿箱-JYH253</w:t>
                  </w:r>
                </w:p>
              </w:tc>
              <w:tc>
                <w:tcPr>
                  <w:tcW w:w="1330" w:type="pct"/>
                  <w:vAlign w:val="center"/>
                </w:tcPr>
                <w:p w14:paraId="1417919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JYH253</w:t>
                  </w:r>
                </w:p>
              </w:tc>
              <w:tc>
                <w:tcPr>
                  <w:tcW w:w="1145" w:type="pct"/>
                  <w:vAlign w:val="center"/>
                </w:tcPr>
                <w:p w14:paraId="5245D9A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70756CB7">
                  <w:pPr>
                    <w:pStyle w:val="41"/>
                    <w:bidi w:val="0"/>
                    <w:jc w:val="center"/>
                    <w:rPr>
                      <w:rFonts w:hint="default"/>
                      <w:color w:val="auto"/>
                      <w:highlight w:val="none"/>
                      <w:lang w:val="en-US" w:eastAsia="zh-CN"/>
                    </w:rPr>
                  </w:pPr>
                </w:p>
              </w:tc>
            </w:tr>
            <w:tr w14:paraId="2ED73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70CE1D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D7CD6B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稳定性试验箱</w:t>
                  </w:r>
                </w:p>
              </w:tc>
              <w:tc>
                <w:tcPr>
                  <w:tcW w:w="1330" w:type="pct"/>
                  <w:vAlign w:val="center"/>
                </w:tcPr>
                <w:p w14:paraId="75E3922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HPP260</w:t>
                  </w:r>
                </w:p>
              </w:tc>
              <w:tc>
                <w:tcPr>
                  <w:tcW w:w="1145" w:type="pct"/>
                  <w:vAlign w:val="center"/>
                </w:tcPr>
                <w:p w14:paraId="2A56434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DE050F4">
                  <w:pPr>
                    <w:pStyle w:val="41"/>
                    <w:bidi w:val="0"/>
                    <w:jc w:val="center"/>
                    <w:rPr>
                      <w:rFonts w:hint="default"/>
                      <w:color w:val="auto"/>
                      <w:highlight w:val="none"/>
                      <w:lang w:val="en-US" w:eastAsia="zh-CN"/>
                    </w:rPr>
                  </w:pPr>
                </w:p>
              </w:tc>
            </w:tr>
            <w:tr w14:paraId="7D8D5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A6B378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190EC9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稳定性试验箱</w:t>
                  </w:r>
                </w:p>
              </w:tc>
              <w:tc>
                <w:tcPr>
                  <w:tcW w:w="1330" w:type="pct"/>
                  <w:vAlign w:val="center"/>
                </w:tcPr>
                <w:p w14:paraId="5932566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ICH110L</w:t>
                  </w:r>
                </w:p>
              </w:tc>
              <w:tc>
                <w:tcPr>
                  <w:tcW w:w="1145" w:type="pct"/>
                  <w:vAlign w:val="center"/>
                </w:tcPr>
                <w:p w14:paraId="580155E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8CC521E">
                  <w:pPr>
                    <w:pStyle w:val="41"/>
                    <w:bidi w:val="0"/>
                    <w:jc w:val="center"/>
                    <w:rPr>
                      <w:rFonts w:hint="default"/>
                      <w:color w:val="auto"/>
                      <w:highlight w:val="none"/>
                      <w:lang w:val="en-US" w:eastAsia="zh-CN"/>
                    </w:rPr>
                  </w:pPr>
                </w:p>
              </w:tc>
            </w:tr>
            <w:tr w14:paraId="59579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8A72C0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6E4D86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旋转蒸发仪</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3L</w:t>
                  </w:r>
                  <w:r>
                    <w:rPr>
                      <w:rFonts w:hint="eastAsia" w:cs="Times New Roman"/>
                      <w:color w:val="auto"/>
                      <w:sz w:val="21"/>
                      <w:szCs w:val="21"/>
                      <w:highlight w:val="none"/>
                      <w:lang w:val="en-US" w:eastAsia="zh-CN"/>
                    </w:rPr>
                    <w:t>）</w:t>
                  </w:r>
                </w:p>
              </w:tc>
              <w:tc>
                <w:tcPr>
                  <w:tcW w:w="1330" w:type="pct"/>
                  <w:vAlign w:val="center"/>
                </w:tcPr>
                <w:p w14:paraId="28F17E9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RV10 数显型，8022525</w:t>
                  </w:r>
                </w:p>
              </w:tc>
              <w:tc>
                <w:tcPr>
                  <w:tcW w:w="1145" w:type="pct"/>
                  <w:vAlign w:val="center"/>
                </w:tcPr>
                <w:p w14:paraId="6259EB4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12D44255">
                  <w:pPr>
                    <w:pStyle w:val="41"/>
                    <w:bidi w:val="0"/>
                    <w:jc w:val="center"/>
                    <w:rPr>
                      <w:rFonts w:hint="default"/>
                      <w:color w:val="auto"/>
                      <w:highlight w:val="none"/>
                      <w:lang w:val="en-US" w:eastAsia="zh-CN"/>
                    </w:rPr>
                  </w:pPr>
                </w:p>
              </w:tc>
            </w:tr>
            <w:tr w14:paraId="23A17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E16B35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C128B5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真空泵</w:t>
                  </w:r>
                </w:p>
              </w:tc>
              <w:tc>
                <w:tcPr>
                  <w:tcW w:w="1330" w:type="pct"/>
                  <w:vAlign w:val="center"/>
                </w:tcPr>
                <w:p w14:paraId="56E3C9F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 920 KT. 29.18,3919100</w:t>
                  </w:r>
                </w:p>
              </w:tc>
              <w:tc>
                <w:tcPr>
                  <w:tcW w:w="1145" w:type="pct"/>
                  <w:vAlign w:val="center"/>
                </w:tcPr>
                <w:p w14:paraId="694D74B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5356D8C1">
                  <w:pPr>
                    <w:pStyle w:val="41"/>
                    <w:bidi w:val="0"/>
                    <w:jc w:val="center"/>
                    <w:rPr>
                      <w:rFonts w:hint="default"/>
                      <w:color w:val="auto"/>
                      <w:highlight w:val="none"/>
                      <w:lang w:val="en-US" w:eastAsia="zh-CN"/>
                    </w:rPr>
                  </w:pPr>
                </w:p>
              </w:tc>
            </w:tr>
            <w:tr w14:paraId="25B34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162BF5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56DE3A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小型循环水冷却器</w:t>
                  </w:r>
                </w:p>
              </w:tc>
              <w:tc>
                <w:tcPr>
                  <w:tcW w:w="1330" w:type="pct"/>
                  <w:vAlign w:val="center"/>
                </w:tcPr>
                <w:p w14:paraId="38AF518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RC2基本型</w:t>
                  </w:r>
                </w:p>
              </w:tc>
              <w:tc>
                <w:tcPr>
                  <w:tcW w:w="1145" w:type="pct"/>
                  <w:vAlign w:val="center"/>
                </w:tcPr>
                <w:p w14:paraId="046C436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2EDBEC45">
                  <w:pPr>
                    <w:pStyle w:val="41"/>
                    <w:bidi w:val="0"/>
                    <w:jc w:val="center"/>
                    <w:rPr>
                      <w:rFonts w:hint="default"/>
                      <w:color w:val="auto"/>
                      <w:highlight w:val="none"/>
                      <w:lang w:val="en-US" w:eastAsia="zh-CN"/>
                    </w:rPr>
                  </w:pPr>
                </w:p>
              </w:tc>
            </w:tr>
            <w:tr w14:paraId="18ED0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EB3540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F0DCBD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数显恒温水浴锅</w:t>
                  </w:r>
                </w:p>
              </w:tc>
              <w:tc>
                <w:tcPr>
                  <w:tcW w:w="1330" w:type="pct"/>
                  <w:vAlign w:val="center"/>
                </w:tcPr>
                <w:p w14:paraId="2A498E8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6D6B718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812" w:type="pct"/>
                  <w:vMerge w:val="continue"/>
                  <w:vAlign w:val="center"/>
                </w:tcPr>
                <w:p w14:paraId="6201E984">
                  <w:pPr>
                    <w:pStyle w:val="41"/>
                    <w:bidi w:val="0"/>
                    <w:jc w:val="center"/>
                    <w:rPr>
                      <w:rFonts w:hint="default"/>
                      <w:color w:val="auto"/>
                      <w:highlight w:val="none"/>
                      <w:lang w:val="en-US" w:eastAsia="zh-CN"/>
                    </w:rPr>
                  </w:pPr>
                </w:p>
              </w:tc>
            </w:tr>
            <w:tr w14:paraId="48AA1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2714DB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B7430D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二级净化纯水仪</w:t>
                  </w:r>
                </w:p>
              </w:tc>
              <w:tc>
                <w:tcPr>
                  <w:tcW w:w="1330" w:type="pct"/>
                  <w:vAlign w:val="center"/>
                </w:tcPr>
                <w:p w14:paraId="61477B4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milliQDirect-8纯水超纯水系统</w:t>
                  </w:r>
                </w:p>
              </w:tc>
              <w:tc>
                <w:tcPr>
                  <w:tcW w:w="1145" w:type="pct"/>
                  <w:vAlign w:val="center"/>
                </w:tcPr>
                <w:p w14:paraId="07CE8EC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D8DA756">
                  <w:pPr>
                    <w:pStyle w:val="41"/>
                    <w:bidi w:val="0"/>
                    <w:jc w:val="center"/>
                    <w:rPr>
                      <w:rFonts w:hint="default"/>
                      <w:color w:val="auto"/>
                      <w:highlight w:val="none"/>
                      <w:lang w:val="en-US" w:eastAsia="zh-CN"/>
                    </w:rPr>
                  </w:pPr>
                </w:p>
              </w:tc>
            </w:tr>
            <w:tr w14:paraId="3EE25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F1724C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91B291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超声清洗仪</w:t>
                  </w:r>
                </w:p>
              </w:tc>
              <w:tc>
                <w:tcPr>
                  <w:tcW w:w="1330" w:type="pct"/>
                  <w:vAlign w:val="center"/>
                </w:tcPr>
                <w:p w14:paraId="4B96F87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国产</w:t>
                  </w:r>
                </w:p>
              </w:tc>
              <w:tc>
                <w:tcPr>
                  <w:tcW w:w="1145" w:type="pct"/>
                  <w:vAlign w:val="center"/>
                </w:tcPr>
                <w:p w14:paraId="1CDD53E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6ED50D42">
                  <w:pPr>
                    <w:pStyle w:val="41"/>
                    <w:bidi w:val="0"/>
                    <w:jc w:val="center"/>
                    <w:rPr>
                      <w:rFonts w:hint="default"/>
                      <w:color w:val="auto"/>
                      <w:highlight w:val="none"/>
                      <w:lang w:val="en-US" w:eastAsia="zh-CN"/>
                    </w:rPr>
                  </w:pPr>
                </w:p>
              </w:tc>
            </w:tr>
            <w:tr w14:paraId="2D9BC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367237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6ED4CF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氮气发生器</w:t>
                  </w:r>
                </w:p>
              </w:tc>
              <w:tc>
                <w:tcPr>
                  <w:tcW w:w="1330" w:type="pct"/>
                  <w:vAlign w:val="center"/>
                </w:tcPr>
                <w:p w14:paraId="3AD8630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infinity5010</w:t>
                  </w:r>
                </w:p>
              </w:tc>
              <w:tc>
                <w:tcPr>
                  <w:tcW w:w="1145" w:type="pct"/>
                  <w:vAlign w:val="center"/>
                </w:tcPr>
                <w:p w14:paraId="397764E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29B1561">
                  <w:pPr>
                    <w:pStyle w:val="41"/>
                    <w:bidi w:val="0"/>
                    <w:jc w:val="center"/>
                    <w:rPr>
                      <w:rFonts w:hint="default"/>
                      <w:color w:val="auto"/>
                      <w:highlight w:val="none"/>
                      <w:lang w:val="en-US" w:eastAsia="zh-CN"/>
                    </w:rPr>
                  </w:pPr>
                </w:p>
              </w:tc>
            </w:tr>
            <w:tr w14:paraId="6E653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4922D2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59D741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除湿机</w:t>
                  </w:r>
                </w:p>
              </w:tc>
              <w:tc>
                <w:tcPr>
                  <w:tcW w:w="1330" w:type="pct"/>
                  <w:vAlign w:val="center"/>
                </w:tcPr>
                <w:p w14:paraId="55E1471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ZD-558LB</w:t>
                  </w:r>
                </w:p>
              </w:tc>
              <w:tc>
                <w:tcPr>
                  <w:tcW w:w="1145" w:type="pct"/>
                  <w:vAlign w:val="center"/>
                </w:tcPr>
                <w:p w14:paraId="1D00784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4B7ED38E">
                  <w:pPr>
                    <w:pStyle w:val="41"/>
                    <w:bidi w:val="0"/>
                    <w:jc w:val="center"/>
                    <w:rPr>
                      <w:rFonts w:hint="default"/>
                      <w:color w:val="auto"/>
                      <w:highlight w:val="none"/>
                      <w:lang w:val="en-US" w:eastAsia="zh-CN"/>
                    </w:rPr>
                  </w:pPr>
                </w:p>
              </w:tc>
            </w:tr>
            <w:tr w14:paraId="0693E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29876C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775F88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标准样品储存柜</w:t>
                  </w:r>
                </w:p>
              </w:tc>
              <w:tc>
                <w:tcPr>
                  <w:tcW w:w="1330" w:type="pct"/>
                  <w:vAlign w:val="center"/>
                </w:tcPr>
                <w:p w14:paraId="234A429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0E3567B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812" w:type="pct"/>
                  <w:vMerge w:val="continue"/>
                  <w:vAlign w:val="center"/>
                </w:tcPr>
                <w:p w14:paraId="17325775">
                  <w:pPr>
                    <w:pStyle w:val="41"/>
                    <w:bidi w:val="0"/>
                    <w:jc w:val="center"/>
                    <w:rPr>
                      <w:rFonts w:hint="default"/>
                      <w:color w:val="auto"/>
                      <w:highlight w:val="none"/>
                      <w:lang w:val="en-US" w:eastAsia="zh-CN"/>
                    </w:rPr>
                  </w:pPr>
                </w:p>
              </w:tc>
            </w:tr>
            <w:tr w14:paraId="4FF1C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814EB2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EED87C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培养箱</w:t>
                  </w:r>
                </w:p>
              </w:tc>
              <w:tc>
                <w:tcPr>
                  <w:tcW w:w="1330" w:type="pct"/>
                  <w:vAlign w:val="center"/>
                </w:tcPr>
                <w:p w14:paraId="7593FDE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3111</w:t>
                  </w:r>
                </w:p>
              </w:tc>
              <w:tc>
                <w:tcPr>
                  <w:tcW w:w="1145" w:type="pct"/>
                  <w:vAlign w:val="center"/>
                </w:tcPr>
                <w:p w14:paraId="3371286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9F6F637">
                  <w:pPr>
                    <w:pStyle w:val="41"/>
                    <w:bidi w:val="0"/>
                    <w:jc w:val="center"/>
                    <w:rPr>
                      <w:rFonts w:hint="default"/>
                      <w:color w:val="auto"/>
                      <w:highlight w:val="none"/>
                      <w:lang w:val="en-US" w:eastAsia="zh-CN"/>
                    </w:rPr>
                  </w:pPr>
                </w:p>
              </w:tc>
            </w:tr>
            <w:tr w14:paraId="25132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604D85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BEDBE7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超净工作台</w:t>
                  </w:r>
                </w:p>
              </w:tc>
              <w:tc>
                <w:tcPr>
                  <w:tcW w:w="1330" w:type="pct"/>
                  <w:vAlign w:val="center"/>
                </w:tcPr>
                <w:p w14:paraId="12C6256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SW-CJ-2F</w:t>
                  </w:r>
                </w:p>
              </w:tc>
              <w:tc>
                <w:tcPr>
                  <w:tcW w:w="1145" w:type="pct"/>
                  <w:vAlign w:val="center"/>
                </w:tcPr>
                <w:p w14:paraId="56B2327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1E54ADBC">
                  <w:pPr>
                    <w:pStyle w:val="41"/>
                    <w:bidi w:val="0"/>
                    <w:jc w:val="center"/>
                    <w:rPr>
                      <w:rFonts w:hint="default"/>
                      <w:color w:val="auto"/>
                      <w:highlight w:val="none"/>
                      <w:lang w:val="en-US" w:eastAsia="zh-CN"/>
                    </w:rPr>
                  </w:pPr>
                </w:p>
              </w:tc>
            </w:tr>
            <w:tr w14:paraId="48B4E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BD3889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42DBA1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微孔板振荡器</w:t>
                  </w:r>
                </w:p>
              </w:tc>
              <w:tc>
                <w:tcPr>
                  <w:tcW w:w="1330" w:type="pct"/>
                  <w:vAlign w:val="center"/>
                </w:tcPr>
                <w:p w14:paraId="515E5D5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MX100-4P</w:t>
                  </w:r>
                </w:p>
              </w:tc>
              <w:tc>
                <w:tcPr>
                  <w:tcW w:w="1145" w:type="pct"/>
                  <w:vAlign w:val="center"/>
                </w:tcPr>
                <w:p w14:paraId="24604EC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F4372E5">
                  <w:pPr>
                    <w:pStyle w:val="41"/>
                    <w:bidi w:val="0"/>
                    <w:jc w:val="center"/>
                    <w:rPr>
                      <w:rFonts w:hint="default"/>
                      <w:color w:val="auto"/>
                      <w:highlight w:val="none"/>
                      <w:lang w:val="en-US" w:eastAsia="zh-CN"/>
                    </w:rPr>
                  </w:pPr>
                </w:p>
              </w:tc>
            </w:tr>
            <w:tr w14:paraId="5C25F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AD0843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A5AD78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数显摇床</w:t>
                  </w:r>
                </w:p>
              </w:tc>
              <w:tc>
                <w:tcPr>
                  <w:tcW w:w="1330" w:type="pct"/>
                  <w:vAlign w:val="center"/>
                </w:tcPr>
                <w:p w14:paraId="675F0FC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HY-4</w:t>
                  </w:r>
                </w:p>
              </w:tc>
              <w:tc>
                <w:tcPr>
                  <w:tcW w:w="1145" w:type="pct"/>
                  <w:vAlign w:val="center"/>
                </w:tcPr>
                <w:p w14:paraId="2B247B3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E5ED101">
                  <w:pPr>
                    <w:pStyle w:val="41"/>
                    <w:bidi w:val="0"/>
                    <w:jc w:val="center"/>
                    <w:rPr>
                      <w:rFonts w:hint="default"/>
                      <w:color w:val="auto"/>
                      <w:highlight w:val="none"/>
                      <w:lang w:val="en-US" w:eastAsia="zh-CN"/>
                    </w:rPr>
                  </w:pPr>
                </w:p>
              </w:tc>
            </w:tr>
            <w:tr w14:paraId="2ABAD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586867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34AE14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离心机</w:t>
                  </w:r>
                </w:p>
              </w:tc>
              <w:tc>
                <w:tcPr>
                  <w:tcW w:w="1330" w:type="pct"/>
                  <w:vAlign w:val="center"/>
                </w:tcPr>
                <w:p w14:paraId="5A6C6EB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SC-3610</w:t>
                  </w:r>
                </w:p>
              </w:tc>
              <w:tc>
                <w:tcPr>
                  <w:tcW w:w="1145" w:type="pct"/>
                  <w:vAlign w:val="center"/>
                </w:tcPr>
                <w:p w14:paraId="7B2C0EE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110D9CC9">
                  <w:pPr>
                    <w:pStyle w:val="41"/>
                    <w:bidi w:val="0"/>
                    <w:jc w:val="center"/>
                    <w:rPr>
                      <w:rFonts w:hint="default"/>
                      <w:color w:val="auto"/>
                      <w:highlight w:val="none"/>
                      <w:lang w:val="en-US" w:eastAsia="zh-CN"/>
                    </w:rPr>
                  </w:pPr>
                </w:p>
              </w:tc>
            </w:tr>
            <w:tr w14:paraId="7DDF0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DBF053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1A79E3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离心机</w:t>
                  </w:r>
                </w:p>
              </w:tc>
              <w:tc>
                <w:tcPr>
                  <w:tcW w:w="1330" w:type="pct"/>
                  <w:vAlign w:val="center"/>
                </w:tcPr>
                <w:p w14:paraId="5B8788F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L-550</w:t>
                  </w:r>
                </w:p>
              </w:tc>
              <w:tc>
                <w:tcPr>
                  <w:tcW w:w="1145" w:type="pct"/>
                  <w:vAlign w:val="center"/>
                </w:tcPr>
                <w:p w14:paraId="71D9797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E7C49C2">
                  <w:pPr>
                    <w:pStyle w:val="41"/>
                    <w:bidi w:val="0"/>
                    <w:jc w:val="center"/>
                    <w:rPr>
                      <w:rFonts w:hint="default"/>
                      <w:color w:val="auto"/>
                      <w:highlight w:val="none"/>
                      <w:lang w:val="en-US" w:eastAsia="zh-CN"/>
                    </w:rPr>
                  </w:pPr>
                </w:p>
              </w:tc>
            </w:tr>
            <w:tr w14:paraId="20976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F5AD73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FE1AB9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上皮细胞电阻仪</w:t>
                  </w:r>
                </w:p>
              </w:tc>
              <w:tc>
                <w:tcPr>
                  <w:tcW w:w="1330" w:type="pct"/>
                  <w:vAlign w:val="center"/>
                </w:tcPr>
                <w:p w14:paraId="345342C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Millicell ERS-2 MERS00002</w:t>
                  </w:r>
                </w:p>
              </w:tc>
              <w:tc>
                <w:tcPr>
                  <w:tcW w:w="1145" w:type="pct"/>
                  <w:vAlign w:val="center"/>
                </w:tcPr>
                <w:p w14:paraId="0B9058B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50270C9">
                  <w:pPr>
                    <w:pStyle w:val="41"/>
                    <w:bidi w:val="0"/>
                    <w:jc w:val="center"/>
                    <w:rPr>
                      <w:rFonts w:hint="default"/>
                      <w:color w:val="auto"/>
                      <w:highlight w:val="none"/>
                      <w:lang w:val="en-US" w:eastAsia="zh-CN"/>
                    </w:rPr>
                  </w:pPr>
                </w:p>
              </w:tc>
            </w:tr>
            <w:tr w14:paraId="06406A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1621EA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CFF96E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细胞冻存液氮罐</w:t>
                  </w:r>
                </w:p>
              </w:tc>
              <w:tc>
                <w:tcPr>
                  <w:tcW w:w="1330" w:type="pct"/>
                  <w:vAlign w:val="center"/>
                </w:tcPr>
                <w:p w14:paraId="46A310F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YDS-35B-125</w:t>
                  </w:r>
                </w:p>
              </w:tc>
              <w:tc>
                <w:tcPr>
                  <w:tcW w:w="1145" w:type="pct"/>
                  <w:vAlign w:val="center"/>
                </w:tcPr>
                <w:p w14:paraId="2F3F9A1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1F0C1505">
                  <w:pPr>
                    <w:pStyle w:val="41"/>
                    <w:bidi w:val="0"/>
                    <w:jc w:val="center"/>
                    <w:rPr>
                      <w:rFonts w:hint="default"/>
                      <w:color w:val="auto"/>
                      <w:highlight w:val="none"/>
                      <w:lang w:val="en-US" w:eastAsia="zh-CN"/>
                    </w:rPr>
                  </w:pPr>
                </w:p>
              </w:tc>
            </w:tr>
            <w:tr w14:paraId="10C41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DA1C47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19025B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高压蒸汽灭菌锅</w:t>
                  </w:r>
                </w:p>
              </w:tc>
              <w:tc>
                <w:tcPr>
                  <w:tcW w:w="1330" w:type="pct"/>
                  <w:vAlign w:val="center"/>
                </w:tcPr>
                <w:p w14:paraId="44A60CF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MLS-3750</w:t>
                  </w:r>
                </w:p>
              </w:tc>
              <w:tc>
                <w:tcPr>
                  <w:tcW w:w="1145" w:type="pct"/>
                  <w:vAlign w:val="center"/>
                </w:tcPr>
                <w:p w14:paraId="57BC835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B03E4F6">
                  <w:pPr>
                    <w:pStyle w:val="41"/>
                    <w:bidi w:val="0"/>
                    <w:jc w:val="center"/>
                    <w:rPr>
                      <w:rFonts w:hint="default"/>
                      <w:color w:val="auto"/>
                      <w:highlight w:val="none"/>
                      <w:lang w:val="en-US" w:eastAsia="zh-CN"/>
                    </w:rPr>
                  </w:pPr>
                </w:p>
              </w:tc>
            </w:tr>
            <w:tr w14:paraId="638A9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0F441F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B6F434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二级净化纯水仪</w:t>
                  </w:r>
                </w:p>
              </w:tc>
              <w:tc>
                <w:tcPr>
                  <w:tcW w:w="1330" w:type="pct"/>
                  <w:vAlign w:val="center"/>
                </w:tcPr>
                <w:p w14:paraId="0B8217D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milliQDirect-8纯水超纯水系统</w:t>
                  </w:r>
                </w:p>
              </w:tc>
              <w:tc>
                <w:tcPr>
                  <w:tcW w:w="1145" w:type="pct"/>
                  <w:vAlign w:val="center"/>
                </w:tcPr>
                <w:p w14:paraId="1C6F49A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73DC8D22">
                  <w:pPr>
                    <w:pStyle w:val="41"/>
                    <w:bidi w:val="0"/>
                    <w:jc w:val="center"/>
                    <w:rPr>
                      <w:rFonts w:hint="default"/>
                      <w:color w:val="auto"/>
                      <w:highlight w:val="none"/>
                      <w:lang w:val="en-US" w:eastAsia="zh-CN"/>
                    </w:rPr>
                  </w:pPr>
                </w:p>
              </w:tc>
            </w:tr>
            <w:tr w14:paraId="587A6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6F3F55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06E0CC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KYNJ-HPLC-1（Agilent）</w:t>
                  </w:r>
                </w:p>
              </w:tc>
              <w:tc>
                <w:tcPr>
                  <w:tcW w:w="1330" w:type="pct"/>
                  <w:vAlign w:val="center"/>
                </w:tcPr>
                <w:p w14:paraId="5798BC3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1100，二元泵，DAD</w:t>
                  </w:r>
                </w:p>
              </w:tc>
              <w:tc>
                <w:tcPr>
                  <w:tcW w:w="1145" w:type="pct"/>
                  <w:vAlign w:val="center"/>
                </w:tcPr>
                <w:p w14:paraId="2A0CA06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B435A5E">
                  <w:pPr>
                    <w:pStyle w:val="41"/>
                    <w:bidi w:val="0"/>
                    <w:jc w:val="center"/>
                    <w:rPr>
                      <w:rFonts w:hint="default"/>
                      <w:color w:val="auto"/>
                      <w:highlight w:val="none"/>
                      <w:lang w:val="en-US" w:eastAsia="zh-CN"/>
                    </w:rPr>
                  </w:pPr>
                </w:p>
              </w:tc>
            </w:tr>
            <w:tr w14:paraId="29C19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A15C17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AE5ECB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KYNJ-HPLC-2（Agilent）</w:t>
                  </w:r>
                </w:p>
              </w:tc>
              <w:tc>
                <w:tcPr>
                  <w:tcW w:w="1330" w:type="pct"/>
                  <w:vAlign w:val="center"/>
                </w:tcPr>
                <w:p w14:paraId="1DACB6E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1100，四元泵，VWD，VWD-Alltech ELSD</w:t>
                  </w:r>
                </w:p>
              </w:tc>
              <w:tc>
                <w:tcPr>
                  <w:tcW w:w="1145" w:type="pct"/>
                  <w:vAlign w:val="center"/>
                </w:tcPr>
                <w:p w14:paraId="344C744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C68E336">
                  <w:pPr>
                    <w:pStyle w:val="41"/>
                    <w:bidi w:val="0"/>
                    <w:jc w:val="center"/>
                    <w:rPr>
                      <w:rFonts w:hint="default"/>
                      <w:color w:val="auto"/>
                      <w:highlight w:val="none"/>
                      <w:lang w:val="en-US" w:eastAsia="zh-CN"/>
                    </w:rPr>
                  </w:pPr>
                </w:p>
              </w:tc>
            </w:tr>
            <w:tr w14:paraId="4D5CC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01CCB3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49BAA9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KYNJ-HPLC-3（Agilent）</w:t>
                  </w:r>
                </w:p>
              </w:tc>
              <w:tc>
                <w:tcPr>
                  <w:tcW w:w="1330" w:type="pct"/>
                  <w:vAlign w:val="center"/>
                </w:tcPr>
                <w:p w14:paraId="2FFD14A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1100，四元泵，DAD</w:t>
                  </w:r>
                </w:p>
              </w:tc>
              <w:tc>
                <w:tcPr>
                  <w:tcW w:w="1145" w:type="pct"/>
                  <w:vAlign w:val="center"/>
                </w:tcPr>
                <w:p w14:paraId="5707923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4AE0755">
                  <w:pPr>
                    <w:pStyle w:val="41"/>
                    <w:bidi w:val="0"/>
                    <w:jc w:val="center"/>
                    <w:rPr>
                      <w:rFonts w:hint="default"/>
                      <w:color w:val="auto"/>
                      <w:highlight w:val="none"/>
                      <w:lang w:val="en-US" w:eastAsia="zh-CN"/>
                    </w:rPr>
                  </w:pPr>
                </w:p>
              </w:tc>
            </w:tr>
            <w:tr w14:paraId="06789E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C02541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F01CA5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KYNJ-HPLC-4（Agilent）</w:t>
                  </w:r>
                </w:p>
              </w:tc>
              <w:tc>
                <w:tcPr>
                  <w:tcW w:w="1330" w:type="pct"/>
                  <w:vAlign w:val="center"/>
                </w:tcPr>
                <w:p w14:paraId="6BA43C0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1100，二元泵，VWD</w:t>
                  </w:r>
                </w:p>
              </w:tc>
              <w:tc>
                <w:tcPr>
                  <w:tcW w:w="1145" w:type="pct"/>
                  <w:vAlign w:val="center"/>
                </w:tcPr>
                <w:p w14:paraId="06A5FD0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928CE98">
                  <w:pPr>
                    <w:pStyle w:val="41"/>
                    <w:bidi w:val="0"/>
                    <w:jc w:val="center"/>
                    <w:rPr>
                      <w:rFonts w:hint="default"/>
                      <w:color w:val="auto"/>
                      <w:highlight w:val="none"/>
                      <w:lang w:val="en-US" w:eastAsia="zh-CN"/>
                    </w:rPr>
                  </w:pPr>
                </w:p>
              </w:tc>
            </w:tr>
            <w:tr w14:paraId="624AF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1438A4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573AD5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KYNJ-HPLC-5（Agilent）</w:t>
                  </w:r>
                </w:p>
              </w:tc>
              <w:tc>
                <w:tcPr>
                  <w:tcW w:w="1330" w:type="pct"/>
                  <w:vAlign w:val="center"/>
                </w:tcPr>
                <w:p w14:paraId="129B34A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1100，四元泵，MWD</w:t>
                  </w:r>
                </w:p>
              </w:tc>
              <w:tc>
                <w:tcPr>
                  <w:tcW w:w="1145" w:type="pct"/>
                  <w:vAlign w:val="center"/>
                </w:tcPr>
                <w:p w14:paraId="588E5C9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280D211">
                  <w:pPr>
                    <w:pStyle w:val="41"/>
                    <w:bidi w:val="0"/>
                    <w:jc w:val="center"/>
                    <w:rPr>
                      <w:rFonts w:hint="default"/>
                      <w:color w:val="auto"/>
                      <w:highlight w:val="none"/>
                      <w:lang w:val="en-US" w:eastAsia="zh-CN"/>
                    </w:rPr>
                  </w:pPr>
                </w:p>
              </w:tc>
            </w:tr>
            <w:tr w14:paraId="6E359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1A9A66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39E9DB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KYNJ-HPLC-7（Agilent）</w:t>
                  </w:r>
                </w:p>
              </w:tc>
              <w:tc>
                <w:tcPr>
                  <w:tcW w:w="1330" w:type="pct"/>
                  <w:vAlign w:val="center"/>
                </w:tcPr>
                <w:p w14:paraId="536ACD9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1100，四元泵</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VWD（制备）</w:t>
                  </w:r>
                </w:p>
              </w:tc>
              <w:tc>
                <w:tcPr>
                  <w:tcW w:w="1145" w:type="pct"/>
                  <w:vAlign w:val="center"/>
                </w:tcPr>
                <w:p w14:paraId="071F23B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CB1E8D4">
                  <w:pPr>
                    <w:pStyle w:val="41"/>
                    <w:bidi w:val="0"/>
                    <w:jc w:val="center"/>
                    <w:rPr>
                      <w:rFonts w:hint="default"/>
                      <w:color w:val="auto"/>
                      <w:highlight w:val="none"/>
                      <w:lang w:val="en-US" w:eastAsia="zh-CN"/>
                    </w:rPr>
                  </w:pPr>
                </w:p>
              </w:tc>
            </w:tr>
            <w:tr w14:paraId="583DA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7AE80B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65E9AD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KYNJ-HPLC-8（Agilent）</w:t>
                  </w:r>
                </w:p>
              </w:tc>
              <w:tc>
                <w:tcPr>
                  <w:tcW w:w="1330" w:type="pct"/>
                  <w:vAlign w:val="center"/>
                </w:tcPr>
                <w:p w14:paraId="76B3463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1260，四元泵，RID，ELSD</w:t>
                  </w:r>
                </w:p>
              </w:tc>
              <w:tc>
                <w:tcPr>
                  <w:tcW w:w="1145" w:type="pct"/>
                  <w:vAlign w:val="center"/>
                </w:tcPr>
                <w:p w14:paraId="0348647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D83CD41">
                  <w:pPr>
                    <w:pStyle w:val="41"/>
                    <w:bidi w:val="0"/>
                    <w:jc w:val="center"/>
                    <w:rPr>
                      <w:rFonts w:hint="default"/>
                      <w:color w:val="auto"/>
                      <w:highlight w:val="none"/>
                      <w:lang w:val="en-US" w:eastAsia="zh-CN"/>
                    </w:rPr>
                  </w:pPr>
                </w:p>
              </w:tc>
            </w:tr>
            <w:tr w14:paraId="6F62B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AAEE91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AC43CD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KNNJ-009（Waters）</w:t>
                  </w:r>
                </w:p>
              </w:tc>
              <w:tc>
                <w:tcPr>
                  <w:tcW w:w="1330" w:type="pct"/>
                  <w:vAlign w:val="center"/>
                </w:tcPr>
                <w:p w14:paraId="7D35804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Waters2695四元泵，MWD</w:t>
                  </w:r>
                </w:p>
              </w:tc>
              <w:tc>
                <w:tcPr>
                  <w:tcW w:w="1145" w:type="pct"/>
                  <w:vAlign w:val="center"/>
                </w:tcPr>
                <w:p w14:paraId="3D9171E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4CD7909">
                  <w:pPr>
                    <w:pStyle w:val="41"/>
                    <w:bidi w:val="0"/>
                    <w:jc w:val="center"/>
                    <w:rPr>
                      <w:rFonts w:hint="default"/>
                      <w:color w:val="auto"/>
                      <w:highlight w:val="none"/>
                      <w:lang w:val="en-US" w:eastAsia="zh-CN"/>
                    </w:rPr>
                  </w:pPr>
                </w:p>
              </w:tc>
            </w:tr>
            <w:tr w14:paraId="25327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521E65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7FE202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KYNJ-010（Thermo）</w:t>
                  </w:r>
                </w:p>
              </w:tc>
              <w:tc>
                <w:tcPr>
                  <w:tcW w:w="1330" w:type="pct"/>
                  <w:vAlign w:val="center"/>
                </w:tcPr>
                <w:p w14:paraId="48006BB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Ultimate3000四元泵，MWD</w:t>
                  </w:r>
                </w:p>
              </w:tc>
              <w:tc>
                <w:tcPr>
                  <w:tcW w:w="1145" w:type="pct"/>
                  <w:vAlign w:val="center"/>
                </w:tcPr>
                <w:p w14:paraId="3F1F04B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7DDABDAF">
                  <w:pPr>
                    <w:pStyle w:val="41"/>
                    <w:bidi w:val="0"/>
                    <w:jc w:val="center"/>
                    <w:rPr>
                      <w:rFonts w:hint="default"/>
                      <w:color w:val="auto"/>
                      <w:highlight w:val="none"/>
                      <w:lang w:val="en-US" w:eastAsia="zh-CN"/>
                    </w:rPr>
                  </w:pPr>
                </w:p>
              </w:tc>
            </w:tr>
            <w:tr w14:paraId="2FA495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731B98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27E0C7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GC-MS（Agilent）</w:t>
                  </w:r>
                </w:p>
              </w:tc>
              <w:tc>
                <w:tcPr>
                  <w:tcW w:w="1330" w:type="pct"/>
                  <w:vAlign w:val="center"/>
                </w:tcPr>
                <w:p w14:paraId="6537DCC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6890/5973</w:t>
                  </w:r>
                </w:p>
              </w:tc>
              <w:tc>
                <w:tcPr>
                  <w:tcW w:w="1145" w:type="pct"/>
                  <w:vAlign w:val="center"/>
                </w:tcPr>
                <w:p w14:paraId="75B0647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F7EBD66">
                  <w:pPr>
                    <w:pStyle w:val="41"/>
                    <w:bidi w:val="0"/>
                    <w:jc w:val="center"/>
                    <w:rPr>
                      <w:rFonts w:hint="default"/>
                      <w:color w:val="auto"/>
                      <w:highlight w:val="none"/>
                      <w:lang w:val="en-US" w:eastAsia="zh-CN"/>
                    </w:rPr>
                  </w:pPr>
                </w:p>
              </w:tc>
            </w:tr>
            <w:tr w14:paraId="123E9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BBCA87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953739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RRLC-Q-TOF MS</w:t>
                  </w:r>
                </w:p>
              </w:tc>
              <w:tc>
                <w:tcPr>
                  <w:tcW w:w="1330" w:type="pct"/>
                  <w:vAlign w:val="center"/>
                </w:tcPr>
                <w:p w14:paraId="020056C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1290，四元泵，DAD</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Q-TOF</w:t>
                  </w:r>
                </w:p>
              </w:tc>
              <w:tc>
                <w:tcPr>
                  <w:tcW w:w="1145" w:type="pct"/>
                  <w:vAlign w:val="center"/>
                </w:tcPr>
                <w:p w14:paraId="41A37A6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CCB02BB">
                  <w:pPr>
                    <w:pStyle w:val="41"/>
                    <w:bidi w:val="0"/>
                    <w:jc w:val="center"/>
                    <w:rPr>
                      <w:rFonts w:hint="default"/>
                      <w:color w:val="auto"/>
                      <w:highlight w:val="none"/>
                      <w:lang w:val="en-US" w:eastAsia="zh-CN"/>
                    </w:rPr>
                  </w:pPr>
                </w:p>
              </w:tc>
            </w:tr>
            <w:tr w14:paraId="547EF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86A21C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CE4B61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串联液相-三重四级杆质谱仪</w:t>
                  </w:r>
                </w:p>
              </w:tc>
              <w:tc>
                <w:tcPr>
                  <w:tcW w:w="1330" w:type="pct"/>
                  <w:vAlign w:val="center"/>
                </w:tcPr>
                <w:p w14:paraId="5E51C25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岛津LC-30A</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四元泵</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DAD</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AB API4000+</w:t>
                  </w:r>
                </w:p>
              </w:tc>
              <w:tc>
                <w:tcPr>
                  <w:tcW w:w="1145" w:type="pct"/>
                  <w:vAlign w:val="center"/>
                </w:tcPr>
                <w:p w14:paraId="4D21FEB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75F6383">
                  <w:pPr>
                    <w:pStyle w:val="41"/>
                    <w:bidi w:val="0"/>
                    <w:jc w:val="center"/>
                    <w:rPr>
                      <w:rFonts w:hint="default"/>
                      <w:color w:val="auto"/>
                      <w:highlight w:val="none"/>
                      <w:lang w:val="en-US" w:eastAsia="zh-CN"/>
                    </w:rPr>
                  </w:pPr>
                </w:p>
              </w:tc>
            </w:tr>
            <w:tr w14:paraId="5B984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9F77D7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430DD7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氮气发声器</w:t>
                  </w:r>
                </w:p>
              </w:tc>
              <w:tc>
                <w:tcPr>
                  <w:tcW w:w="1330" w:type="pct"/>
                  <w:vAlign w:val="center"/>
                </w:tcPr>
                <w:p w14:paraId="585FD47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ABN2ZA</w:t>
                  </w:r>
                </w:p>
              </w:tc>
              <w:tc>
                <w:tcPr>
                  <w:tcW w:w="1145" w:type="pct"/>
                  <w:vAlign w:val="center"/>
                </w:tcPr>
                <w:p w14:paraId="08E3605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D642821">
                  <w:pPr>
                    <w:pStyle w:val="41"/>
                    <w:bidi w:val="0"/>
                    <w:jc w:val="center"/>
                    <w:rPr>
                      <w:rFonts w:hint="default"/>
                      <w:color w:val="auto"/>
                      <w:highlight w:val="none"/>
                      <w:lang w:val="en-US" w:eastAsia="zh-CN"/>
                    </w:rPr>
                  </w:pPr>
                </w:p>
              </w:tc>
            </w:tr>
            <w:tr w14:paraId="3B3F8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8BFF27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375CF8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溶出仪</w:t>
                  </w:r>
                </w:p>
              </w:tc>
              <w:tc>
                <w:tcPr>
                  <w:tcW w:w="1330" w:type="pct"/>
                  <w:vAlign w:val="center"/>
                </w:tcPr>
                <w:p w14:paraId="018F887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RC-6</w:t>
                  </w:r>
                </w:p>
              </w:tc>
              <w:tc>
                <w:tcPr>
                  <w:tcW w:w="1145" w:type="pct"/>
                  <w:vAlign w:val="center"/>
                </w:tcPr>
                <w:p w14:paraId="5D43C74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7264683D">
                  <w:pPr>
                    <w:pStyle w:val="41"/>
                    <w:bidi w:val="0"/>
                    <w:jc w:val="center"/>
                    <w:rPr>
                      <w:rFonts w:hint="default"/>
                      <w:color w:val="auto"/>
                      <w:highlight w:val="none"/>
                      <w:lang w:val="en-US" w:eastAsia="zh-CN"/>
                    </w:rPr>
                  </w:pPr>
                </w:p>
              </w:tc>
            </w:tr>
            <w:tr w14:paraId="558CB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605EDD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0EB420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脆碎度测试仪</w:t>
                  </w:r>
                </w:p>
              </w:tc>
              <w:tc>
                <w:tcPr>
                  <w:tcW w:w="1330" w:type="pct"/>
                  <w:vAlign w:val="center"/>
                </w:tcPr>
                <w:p w14:paraId="50B27D9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CS-2</w:t>
                  </w:r>
                </w:p>
              </w:tc>
              <w:tc>
                <w:tcPr>
                  <w:tcW w:w="1145" w:type="pct"/>
                  <w:vAlign w:val="center"/>
                </w:tcPr>
                <w:p w14:paraId="027AE27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1483E819">
                  <w:pPr>
                    <w:pStyle w:val="41"/>
                    <w:bidi w:val="0"/>
                    <w:jc w:val="center"/>
                    <w:rPr>
                      <w:rFonts w:hint="default"/>
                      <w:color w:val="auto"/>
                      <w:highlight w:val="none"/>
                      <w:lang w:val="en-US" w:eastAsia="zh-CN"/>
                    </w:rPr>
                  </w:pPr>
                </w:p>
              </w:tc>
            </w:tr>
            <w:tr w14:paraId="23460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72435D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543E34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崩解时限测试仪</w:t>
                  </w:r>
                </w:p>
              </w:tc>
              <w:tc>
                <w:tcPr>
                  <w:tcW w:w="1330" w:type="pct"/>
                  <w:vAlign w:val="center"/>
                </w:tcPr>
                <w:p w14:paraId="569B8FC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BJ-2</w:t>
                  </w:r>
                </w:p>
              </w:tc>
              <w:tc>
                <w:tcPr>
                  <w:tcW w:w="1145" w:type="pct"/>
                  <w:vAlign w:val="center"/>
                </w:tcPr>
                <w:p w14:paraId="7B38209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D9E837F">
                  <w:pPr>
                    <w:pStyle w:val="41"/>
                    <w:bidi w:val="0"/>
                    <w:jc w:val="center"/>
                    <w:rPr>
                      <w:rFonts w:hint="default"/>
                      <w:color w:val="auto"/>
                      <w:highlight w:val="none"/>
                      <w:lang w:val="en-US" w:eastAsia="zh-CN"/>
                    </w:rPr>
                  </w:pPr>
                </w:p>
              </w:tc>
            </w:tr>
            <w:tr w14:paraId="2E6F5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F0F2E8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7C261C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卡氏微量水分测定仪</w:t>
                  </w:r>
                </w:p>
              </w:tc>
              <w:tc>
                <w:tcPr>
                  <w:tcW w:w="1330" w:type="pct"/>
                  <w:vAlign w:val="center"/>
                </w:tcPr>
                <w:p w14:paraId="77C4023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ZDF-35</w:t>
                  </w:r>
                </w:p>
              </w:tc>
              <w:tc>
                <w:tcPr>
                  <w:tcW w:w="1145" w:type="pct"/>
                  <w:vAlign w:val="center"/>
                </w:tcPr>
                <w:p w14:paraId="5A41C55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557E69D">
                  <w:pPr>
                    <w:pStyle w:val="41"/>
                    <w:bidi w:val="0"/>
                    <w:jc w:val="center"/>
                    <w:rPr>
                      <w:rFonts w:hint="default"/>
                      <w:color w:val="auto"/>
                      <w:highlight w:val="none"/>
                      <w:lang w:val="en-US" w:eastAsia="zh-CN"/>
                    </w:rPr>
                  </w:pPr>
                </w:p>
              </w:tc>
            </w:tr>
            <w:tr w14:paraId="034F2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F70770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094B71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旋光仪</w:t>
                  </w:r>
                </w:p>
              </w:tc>
              <w:tc>
                <w:tcPr>
                  <w:tcW w:w="1330" w:type="pct"/>
                  <w:vAlign w:val="center"/>
                </w:tcPr>
                <w:p w14:paraId="258AE7B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WZZ-1</w:t>
                  </w:r>
                </w:p>
              </w:tc>
              <w:tc>
                <w:tcPr>
                  <w:tcW w:w="1145" w:type="pct"/>
                  <w:vAlign w:val="center"/>
                </w:tcPr>
                <w:p w14:paraId="59694B3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E230456">
                  <w:pPr>
                    <w:pStyle w:val="41"/>
                    <w:bidi w:val="0"/>
                    <w:jc w:val="center"/>
                    <w:rPr>
                      <w:rFonts w:hint="default"/>
                      <w:color w:val="auto"/>
                      <w:highlight w:val="none"/>
                      <w:lang w:val="en-US" w:eastAsia="zh-CN"/>
                    </w:rPr>
                  </w:pPr>
                </w:p>
              </w:tc>
            </w:tr>
            <w:tr w14:paraId="7DE721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F0D3FC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D72A8E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电热恒温鼓风干燥箱</w:t>
                  </w:r>
                </w:p>
              </w:tc>
              <w:tc>
                <w:tcPr>
                  <w:tcW w:w="1330" w:type="pct"/>
                  <w:vAlign w:val="center"/>
                </w:tcPr>
                <w:p w14:paraId="0703006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DHG-9023A</w:t>
                  </w:r>
                </w:p>
              </w:tc>
              <w:tc>
                <w:tcPr>
                  <w:tcW w:w="1145" w:type="pct"/>
                  <w:vAlign w:val="center"/>
                </w:tcPr>
                <w:p w14:paraId="61E4344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4675797">
                  <w:pPr>
                    <w:pStyle w:val="41"/>
                    <w:bidi w:val="0"/>
                    <w:jc w:val="center"/>
                    <w:rPr>
                      <w:rFonts w:hint="default"/>
                      <w:color w:val="auto"/>
                      <w:highlight w:val="none"/>
                      <w:lang w:val="en-US" w:eastAsia="zh-CN"/>
                    </w:rPr>
                  </w:pPr>
                </w:p>
              </w:tc>
            </w:tr>
            <w:tr w14:paraId="7E330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65D284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D0CB0C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超声清洗器</w:t>
                  </w:r>
                </w:p>
              </w:tc>
              <w:tc>
                <w:tcPr>
                  <w:tcW w:w="1330" w:type="pct"/>
                  <w:vAlign w:val="center"/>
                </w:tcPr>
                <w:p w14:paraId="75BBA64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KH2200B</w:t>
                  </w:r>
                </w:p>
              </w:tc>
              <w:tc>
                <w:tcPr>
                  <w:tcW w:w="1145" w:type="pct"/>
                  <w:vAlign w:val="center"/>
                </w:tcPr>
                <w:p w14:paraId="6E0E14E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F53BB38">
                  <w:pPr>
                    <w:pStyle w:val="41"/>
                    <w:bidi w:val="0"/>
                    <w:jc w:val="center"/>
                    <w:rPr>
                      <w:rFonts w:hint="default"/>
                      <w:color w:val="auto"/>
                      <w:highlight w:val="none"/>
                      <w:lang w:val="en-US" w:eastAsia="zh-CN"/>
                    </w:rPr>
                  </w:pPr>
                </w:p>
              </w:tc>
            </w:tr>
            <w:tr w14:paraId="3B7716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7F1C28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70E129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高速离心机</w:t>
                  </w:r>
                </w:p>
              </w:tc>
              <w:tc>
                <w:tcPr>
                  <w:tcW w:w="1330" w:type="pct"/>
                  <w:vAlign w:val="center"/>
                </w:tcPr>
                <w:p w14:paraId="7398774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Centrifuge 5424</w:t>
                  </w:r>
                </w:p>
              </w:tc>
              <w:tc>
                <w:tcPr>
                  <w:tcW w:w="1145" w:type="pct"/>
                  <w:vAlign w:val="center"/>
                </w:tcPr>
                <w:p w14:paraId="3AC1590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6AD5B97">
                  <w:pPr>
                    <w:pStyle w:val="41"/>
                    <w:bidi w:val="0"/>
                    <w:jc w:val="center"/>
                    <w:rPr>
                      <w:rFonts w:hint="default"/>
                      <w:color w:val="auto"/>
                      <w:highlight w:val="none"/>
                      <w:lang w:val="en-US" w:eastAsia="zh-CN"/>
                    </w:rPr>
                  </w:pPr>
                </w:p>
              </w:tc>
            </w:tr>
            <w:tr w14:paraId="65102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DB9029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8D51A3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数显恒温水浴锅</w:t>
                  </w:r>
                </w:p>
              </w:tc>
              <w:tc>
                <w:tcPr>
                  <w:tcW w:w="1330" w:type="pct"/>
                  <w:vAlign w:val="center"/>
                </w:tcPr>
                <w:p w14:paraId="6AC29B6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HH-6</w:t>
                  </w:r>
                </w:p>
              </w:tc>
              <w:tc>
                <w:tcPr>
                  <w:tcW w:w="1145" w:type="pct"/>
                  <w:vAlign w:val="center"/>
                </w:tcPr>
                <w:p w14:paraId="2AA94AF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700D66DA">
                  <w:pPr>
                    <w:pStyle w:val="41"/>
                    <w:bidi w:val="0"/>
                    <w:jc w:val="center"/>
                    <w:rPr>
                      <w:rFonts w:hint="default"/>
                      <w:color w:val="auto"/>
                      <w:highlight w:val="none"/>
                      <w:lang w:val="en-US" w:eastAsia="zh-CN"/>
                    </w:rPr>
                  </w:pPr>
                </w:p>
              </w:tc>
            </w:tr>
            <w:tr w14:paraId="2CFC7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E09385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7323D3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旋转蒸发仪</w:t>
                  </w:r>
                </w:p>
              </w:tc>
              <w:tc>
                <w:tcPr>
                  <w:tcW w:w="1330" w:type="pct"/>
                  <w:vAlign w:val="center"/>
                </w:tcPr>
                <w:p w14:paraId="159F9B1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R-3</w:t>
                  </w:r>
                </w:p>
              </w:tc>
              <w:tc>
                <w:tcPr>
                  <w:tcW w:w="1145" w:type="pct"/>
                  <w:vAlign w:val="center"/>
                </w:tcPr>
                <w:p w14:paraId="53D8809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F828E4F">
                  <w:pPr>
                    <w:pStyle w:val="41"/>
                    <w:bidi w:val="0"/>
                    <w:jc w:val="center"/>
                    <w:rPr>
                      <w:rFonts w:hint="default"/>
                      <w:color w:val="auto"/>
                      <w:highlight w:val="none"/>
                      <w:lang w:val="en-US" w:eastAsia="zh-CN"/>
                    </w:rPr>
                  </w:pPr>
                </w:p>
              </w:tc>
            </w:tr>
            <w:tr w14:paraId="6137E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A57C97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93E426D">
                  <w:pPr>
                    <w:pStyle w:val="41"/>
                    <w:bidi w:val="0"/>
                    <w:jc w:val="center"/>
                    <w:rPr>
                      <w:rFonts w:hint="default"/>
                      <w:color w:val="auto"/>
                      <w:highlight w:val="none"/>
                      <w:lang w:val="en-US" w:eastAsia="zh-CN"/>
                    </w:rPr>
                  </w:pPr>
                  <w:r>
                    <w:rPr>
                      <w:color w:val="auto"/>
                      <w:highlight w:val="none"/>
                    </w:rPr>
                    <w:t>超声波清洗器</w:t>
                  </w:r>
                </w:p>
              </w:tc>
              <w:tc>
                <w:tcPr>
                  <w:tcW w:w="1330" w:type="pct"/>
                  <w:vAlign w:val="center"/>
                </w:tcPr>
                <w:p w14:paraId="40EABBC2">
                  <w:pPr>
                    <w:pStyle w:val="41"/>
                    <w:bidi w:val="0"/>
                    <w:jc w:val="center"/>
                    <w:rPr>
                      <w:rFonts w:hint="default"/>
                      <w:color w:val="auto"/>
                      <w:highlight w:val="none"/>
                      <w:lang w:val="en-US" w:eastAsia="zh-CN"/>
                    </w:rPr>
                  </w:pPr>
                  <w:r>
                    <w:rPr>
                      <w:color w:val="auto"/>
                      <w:highlight w:val="none"/>
                    </w:rPr>
                    <w:t>KS500E</w:t>
                  </w:r>
                </w:p>
              </w:tc>
              <w:tc>
                <w:tcPr>
                  <w:tcW w:w="1145" w:type="pct"/>
                  <w:vAlign w:val="center"/>
                </w:tcPr>
                <w:p w14:paraId="109BBD78">
                  <w:pPr>
                    <w:pStyle w:val="41"/>
                    <w:bidi w:val="0"/>
                    <w:jc w:val="center"/>
                    <w:rPr>
                      <w:rFonts w:hint="default"/>
                      <w:color w:val="auto"/>
                      <w:highlight w:val="none"/>
                      <w:lang w:val="en-US" w:eastAsia="zh-CN"/>
                    </w:rPr>
                  </w:pPr>
                  <w:r>
                    <w:rPr>
                      <w:color w:val="auto"/>
                      <w:highlight w:val="none"/>
                    </w:rPr>
                    <w:t>1</w:t>
                  </w:r>
                </w:p>
              </w:tc>
              <w:tc>
                <w:tcPr>
                  <w:tcW w:w="812" w:type="pct"/>
                  <w:vMerge w:val="restart"/>
                  <w:vAlign w:val="center"/>
                </w:tcPr>
                <w:p w14:paraId="36951CF7">
                  <w:pPr>
                    <w:pStyle w:val="41"/>
                    <w:bidi w:val="0"/>
                    <w:jc w:val="center"/>
                    <w:rPr>
                      <w:rFonts w:hint="default"/>
                      <w:color w:val="auto"/>
                      <w:highlight w:val="none"/>
                      <w:lang w:val="en-US" w:eastAsia="zh-CN"/>
                    </w:rPr>
                  </w:pPr>
                  <w:r>
                    <w:rPr>
                      <w:rFonts w:hint="eastAsia"/>
                      <w:color w:val="auto"/>
                      <w:highlight w:val="none"/>
                      <w:lang w:val="en-US" w:eastAsia="zh-CN"/>
                    </w:rPr>
                    <w:t>6号楼（重组蛋白药物及微生物诊断试剂研发实验楼）</w:t>
                  </w:r>
                </w:p>
              </w:tc>
            </w:tr>
            <w:tr w14:paraId="4DF12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3E7F7E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7F3154A">
                  <w:pPr>
                    <w:pStyle w:val="41"/>
                    <w:bidi w:val="0"/>
                    <w:jc w:val="center"/>
                    <w:rPr>
                      <w:rFonts w:hint="default"/>
                      <w:color w:val="auto"/>
                      <w:highlight w:val="none"/>
                      <w:lang w:val="en-US" w:eastAsia="zh-CN"/>
                    </w:rPr>
                  </w:pPr>
                  <w:r>
                    <w:rPr>
                      <w:color w:val="auto"/>
                      <w:highlight w:val="none"/>
                    </w:rPr>
                    <w:t>电子天平1mg</w:t>
                  </w:r>
                </w:p>
              </w:tc>
              <w:tc>
                <w:tcPr>
                  <w:tcW w:w="1330" w:type="pct"/>
                  <w:vAlign w:val="center"/>
                </w:tcPr>
                <w:p w14:paraId="63164D63">
                  <w:pPr>
                    <w:pStyle w:val="41"/>
                    <w:bidi w:val="0"/>
                    <w:jc w:val="center"/>
                    <w:rPr>
                      <w:rFonts w:hint="default"/>
                      <w:color w:val="auto"/>
                      <w:highlight w:val="none"/>
                      <w:lang w:val="en-US" w:eastAsia="zh-CN"/>
                    </w:rPr>
                  </w:pPr>
                  <w:r>
                    <w:rPr>
                      <w:color w:val="auto"/>
                      <w:highlight w:val="none"/>
                    </w:rPr>
                    <w:t>MS403TS</w:t>
                  </w:r>
                </w:p>
              </w:tc>
              <w:tc>
                <w:tcPr>
                  <w:tcW w:w="1145" w:type="pct"/>
                  <w:vAlign w:val="center"/>
                </w:tcPr>
                <w:p w14:paraId="7FD81578">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0874ABDC">
                  <w:pPr>
                    <w:pStyle w:val="41"/>
                    <w:bidi w:val="0"/>
                    <w:jc w:val="center"/>
                    <w:rPr>
                      <w:rFonts w:hint="default"/>
                      <w:color w:val="auto"/>
                      <w:highlight w:val="none"/>
                      <w:lang w:val="en-US" w:eastAsia="zh-CN"/>
                    </w:rPr>
                  </w:pPr>
                </w:p>
              </w:tc>
            </w:tr>
            <w:tr w14:paraId="65ABD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DDD275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B734084">
                  <w:pPr>
                    <w:pStyle w:val="41"/>
                    <w:bidi w:val="0"/>
                    <w:jc w:val="center"/>
                    <w:rPr>
                      <w:rFonts w:hint="default"/>
                      <w:color w:val="auto"/>
                      <w:highlight w:val="none"/>
                      <w:lang w:val="en-US" w:eastAsia="zh-CN"/>
                    </w:rPr>
                  </w:pPr>
                  <w:r>
                    <w:rPr>
                      <w:color w:val="auto"/>
                      <w:highlight w:val="none"/>
                    </w:rPr>
                    <w:t>电子天平0.1mg</w:t>
                  </w:r>
                </w:p>
              </w:tc>
              <w:tc>
                <w:tcPr>
                  <w:tcW w:w="1330" w:type="pct"/>
                  <w:vAlign w:val="center"/>
                </w:tcPr>
                <w:p w14:paraId="7C114690">
                  <w:pPr>
                    <w:pStyle w:val="41"/>
                    <w:bidi w:val="0"/>
                    <w:jc w:val="center"/>
                    <w:rPr>
                      <w:rFonts w:hint="default"/>
                      <w:color w:val="auto"/>
                      <w:highlight w:val="none"/>
                      <w:lang w:val="en-US" w:eastAsia="zh-CN"/>
                    </w:rPr>
                  </w:pPr>
                  <w:r>
                    <w:rPr>
                      <w:color w:val="auto"/>
                      <w:highlight w:val="none"/>
                    </w:rPr>
                    <w:t>ME5002T</w:t>
                  </w:r>
                </w:p>
              </w:tc>
              <w:tc>
                <w:tcPr>
                  <w:tcW w:w="1145" w:type="pct"/>
                  <w:vAlign w:val="center"/>
                </w:tcPr>
                <w:p w14:paraId="39A0D0F1">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689B5267">
                  <w:pPr>
                    <w:pStyle w:val="41"/>
                    <w:bidi w:val="0"/>
                    <w:jc w:val="center"/>
                    <w:rPr>
                      <w:rFonts w:hint="default"/>
                      <w:color w:val="auto"/>
                      <w:highlight w:val="none"/>
                      <w:lang w:val="en-US" w:eastAsia="zh-CN"/>
                    </w:rPr>
                  </w:pPr>
                </w:p>
              </w:tc>
            </w:tr>
            <w:tr w14:paraId="2D2BC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ADCA9D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6A62671">
                  <w:pPr>
                    <w:pStyle w:val="41"/>
                    <w:bidi w:val="0"/>
                    <w:jc w:val="center"/>
                    <w:rPr>
                      <w:rFonts w:hint="default"/>
                      <w:color w:val="auto"/>
                      <w:highlight w:val="none"/>
                      <w:lang w:val="en-US" w:eastAsia="zh-CN"/>
                    </w:rPr>
                  </w:pPr>
                  <w:r>
                    <w:rPr>
                      <w:color w:val="auto"/>
                      <w:highlight w:val="none"/>
                    </w:rPr>
                    <w:t>精密天平（0.001g）</w:t>
                  </w:r>
                </w:p>
              </w:tc>
              <w:tc>
                <w:tcPr>
                  <w:tcW w:w="1330" w:type="pct"/>
                  <w:vAlign w:val="center"/>
                </w:tcPr>
                <w:p w14:paraId="636B318D">
                  <w:pPr>
                    <w:pStyle w:val="41"/>
                    <w:bidi w:val="0"/>
                    <w:jc w:val="center"/>
                    <w:rPr>
                      <w:rFonts w:hint="default"/>
                      <w:color w:val="auto"/>
                      <w:highlight w:val="none"/>
                      <w:lang w:val="en-US" w:eastAsia="zh-CN"/>
                    </w:rPr>
                  </w:pPr>
                  <w:r>
                    <w:rPr>
                      <w:color w:val="auto"/>
                      <w:highlight w:val="none"/>
                    </w:rPr>
                    <w:t>ME5002T</w:t>
                  </w:r>
                </w:p>
              </w:tc>
              <w:tc>
                <w:tcPr>
                  <w:tcW w:w="1145" w:type="pct"/>
                  <w:vAlign w:val="center"/>
                </w:tcPr>
                <w:p w14:paraId="34B68934">
                  <w:pPr>
                    <w:pStyle w:val="41"/>
                    <w:bidi w:val="0"/>
                    <w:jc w:val="center"/>
                    <w:rPr>
                      <w:rFonts w:hint="default"/>
                      <w:color w:val="auto"/>
                      <w:highlight w:val="none"/>
                      <w:lang w:val="en-US" w:eastAsia="zh-CN"/>
                    </w:rPr>
                  </w:pPr>
                  <w:r>
                    <w:rPr>
                      <w:rFonts w:hint="eastAsia"/>
                      <w:color w:val="auto"/>
                      <w:highlight w:val="none"/>
                    </w:rPr>
                    <w:t>1</w:t>
                  </w:r>
                </w:p>
              </w:tc>
              <w:tc>
                <w:tcPr>
                  <w:tcW w:w="812" w:type="pct"/>
                  <w:vMerge w:val="continue"/>
                  <w:vAlign w:val="center"/>
                </w:tcPr>
                <w:p w14:paraId="7A4AF3CE">
                  <w:pPr>
                    <w:pStyle w:val="41"/>
                    <w:bidi w:val="0"/>
                    <w:jc w:val="center"/>
                    <w:rPr>
                      <w:rFonts w:hint="default"/>
                      <w:color w:val="auto"/>
                      <w:highlight w:val="none"/>
                      <w:lang w:val="en-US" w:eastAsia="zh-CN"/>
                    </w:rPr>
                  </w:pPr>
                </w:p>
              </w:tc>
            </w:tr>
            <w:tr w14:paraId="3E76A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BCC840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586B6B9">
                  <w:pPr>
                    <w:pStyle w:val="41"/>
                    <w:bidi w:val="0"/>
                    <w:jc w:val="center"/>
                    <w:rPr>
                      <w:rFonts w:hint="default"/>
                      <w:color w:val="auto"/>
                      <w:highlight w:val="none"/>
                      <w:lang w:val="en-US" w:eastAsia="zh-CN"/>
                    </w:rPr>
                  </w:pPr>
                  <w:r>
                    <w:rPr>
                      <w:color w:val="auto"/>
                      <w:highlight w:val="none"/>
                    </w:rPr>
                    <w:t>电子台秤</w:t>
                  </w:r>
                </w:p>
              </w:tc>
              <w:tc>
                <w:tcPr>
                  <w:tcW w:w="1330" w:type="pct"/>
                  <w:vAlign w:val="center"/>
                </w:tcPr>
                <w:p w14:paraId="50AB9D82">
                  <w:pPr>
                    <w:pStyle w:val="41"/>
                    <w:bidi w:val="0"/>
                    <w:jc w:val="center"/>
                    <w:rPr>
                      <w:rFonts w:hint="default"/>
                      <w:color w:val="auto"/>
                      <w:highlight w:val="none"/>
                      <w:lang w:val="en-US" w:eastAsia="zh-CN"/>
                    </w:rPr>
                  </w:pPr>
                  <w:r>
                    <w:rPr>
                      <w:color w:val="auto"/>
                      <w:highlight w:val="none"/>
                    </w:rPr>
                    <w:t>BBA238-8B60N/S</w:t>
                  </w:r>
                </w:p>
              </w:tc>
              <w:tc>
                <w:tcPr>
                  <w:tcW w:w="1145" w:type="pct"/>
                  <w:vAlign w:val="center"/>
                </w:tcPr>
                <w:p w14:paraId="6E663DCC">
                  <w:pPr>
                    <w:pStyle w:val="41"/>
                    <w:bidi w:val="0"/>
                    <w:jc w:val="center"/>
                    <w:rPr>
                      <w:rFonts w:hint="default"/>
                      <w:color w:val="auto"/>
                      <w:highlight w:val="none"/>
                      <w:lang w:val="en-US" w:eastAsia="zh-CN"/>
                    </w:rPr>
                  </w:pPr>
                  <w:r>
                    <w:rPr>
                      <w:rFonts w:hint="eastAsia"/>
                      <w:color w:val="auto"/>
                      <w:highlight w:val="none"/>
                    </w:rPr>
                    <w:t>1</w:t>
                  </w:r>
                </w:p>
              </w:tc>
              <w:tc>
                <w:tcPr>
                  <w:tcW w:w="812" w:type="pct"/>
                  <w:vMerge w:val="continue"/>
                  <w:vAlign w:val="center"/>
                </w:tcPr>
                <w:p w14:paraId="369D70A4">
                  <w:pPr>
                    <w:pStyle w:val="41"/>
                    <w:bidi w:val="0"/>
                    <w:jc w:val="center"/>
                    <w:rPr>
                      <w:rFonts w:hint="default"/>
                      <w:color w:val="auto"/>
                      <w:highlight w:val="none"/>
                      <w:lang w:val="en-US" w:eastAsia="zh-CN"/>
                    </w:rPr>
                  </w:pPr>
                </w:p>
              </w:tc>
            </w:tr>
            <w:tr w14:paraId="03806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CF1F4C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6C4EFFC">
                  <w:pPr>
                    <w:pStyle w:val="41"/>
                    <w:bidi w:val="0"/>
                    <w:jc w:val="center"/>
                    <w:rPr>
                      <w:rFonts w:hint="default"/>
                      <w:color w:val="auto"/>
                      <w:highlight w:val="none"/>
                      <w:lang w:val="en-US" w:eastAsia="zh-CN"/>
                    </w:rPr>
                  </w:pPr>
                  <w:r>
                    <w:rPr>
                      <w:color w:val="auto"/>
                      <w:highlight w:val="none"/>
                    </w:rPr>
                    <w:t>天平</w:t>
                  </w:r>
                </w:p>
              </w:tc>
              <w:tc>
                <w:tcPr>
                  <w:tcW w:w="1330" w:type="pct"/>
                  <w:vAlign w:val="center"/>
                </w:tcPr>
                <w:p w14:paraId="6F216C54">
                  <w:pPr>
                    <w:pStyle w:val="41"/>
                    <w:bidi w:val="0"/>
                    <w:jc w:val="center"/>
                    <w:rPr>
                      <w:rFonts w:hint="default"/>
                      <w:color w:val="auto"/>
                      <w:highlight w:val="none"/>
                      <w:lang w:val="en-US" w:eastAsia="zh-CN"/>
                    </w:rPr>
                  </w:pPr>
                  <w:r>
                    <w:rPr>
                      <w:color w:val="auto"/>
                      <w:highlight w:val="none"/>
                    </w:rPr>
                    <w:t>WT100-IF/YZ1515X</w:t>
                  </w:r>
                </w:p>
              </w:tc>
              <w:tc>
                <w:tcPr>
                  <w:tcW w:w="1145" w:type="pct"/>
                  <w:vAlign w:val="center"/>
                </w:tcPr>
                <w:p w14:paraId="2355B54C">
                  <w:pPr>
                    <w:pStyle w:val="41"/>
                    <w:bidi w:val="0"/>
                    <w:jc w:val="center"/>
                    <w:rPr>
                      <w:rFonts w:hint="default"/>
                      <w:color w:val="auto"/>
                      <w:highlight w:val="none"/>
                      <w:lang w:val="en-US" w:eastAsia="zh-CN"/>
                    </w:rPr>
                  </w:pPr>
                  <w:r>
                    <w:rPr>
                      <w:rFonts w:hint="eastAsia"/>
                      <w:color w:val="auto"/>
                      <w:highlight w:val="none"/>
                    </w:rPr>
                    <w:t>4</w:t>
                  </w:r>
                </w:p>
              </w:tc>
              <w:tc>
                <w:tcPr>
                  <w:tcW w:w="812" w:type="pct"/>
                  <w:vMerge w:val="continue"/>
                  <w:vAlign w:val="center"/>
                </w:tcPr>
                <w:p w14:paraId="629B2BE0">
                  <w:pPr>
                    <w:pStyle w:val="41"/>
                    <w:bidi w:val="0"/>
                    <w:jc w:val="center"/>
                    <w:rPr>
                      <w:rFonts w:hint="default"/>
                      <w:color w:val="auto"/>
                      <w:highlight w:val="none"/>
                      <w:lang w:val="en-US" w:eastAsia="zh-CN"/>
                    </w:rPr>
                  </w:pPr>
                </w:p>
              </w:tc>
            </w:tr>
            <w:tr w14:paraId="2D947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3E924B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9AE6C24">
                  <w:pPr>
                    <w:pStyle w:val="41"/>
                    <w:bidi w:val="0"/>
                    <w:jc w:val="center"/>
                    <w:rPr>
                      <w:rFonts w:hint="default"/>
                      <w:color w:val="auto"/>
                      <w:highlight w:val="none"/>
                      <w:lang w:val="en-US" w:eastAsia="zh-CN"/>
                    </w:rPr>
                  </w:pPr>
                  <w:r>
                    <w:rPr>
                      <w:color w:val="auto"/>
                      <w:highlight w:val="none"/>
                    </w:rPr>
                    <w:t>pH计</w:t>
                  </w:r>
                </w:p>
              </w:tc>
              <w:tc>
                <w:tcPr>
                  <w:tcW w:w="1330" w:type="pct"/>
                  <w:vAlign w:val="center"/>
                </w:tcPr>
                <w:p w14:paraId="2DF511A4">
                  <w:pPr>
                    <w:pStyle w:val="41"/>
                    <w:bidi w:val="0"/>
                    <w:jc w:val="center"/>
                    <w:rPr>
                      <w:rFonts w:hint="default"/>
                      <w:color w:val="auto"/>
                      <w:highlight w:val="none"/>
                      <w:lang w:val="en-US" w:eastAsia="zh-CN"/>
                    </w:rPr>
                  </w:pPr>
                  <w:r>
                    <w:rPr>
                      <w:color w:val="auto"/>
                      <w:highlight w:val="none"/>
                    </w:rPr>
                    <w:t>FE28-Standard</w:t>
                  </w:r>
                </w:p>
              </w:tc>
              <w:tc>
                <w:tcPr>
                  <w:tcW w:w="1145" w:type="pct"/>
                  <w:vAlign w:val="center"/>
                </w:tcPr>
                <w:p w14:paraId="3A992204">
                  <w:pPr>
                    <w:pStyle w:val="41"/>
                    <w:bidi w:val="0"/>
                    <w:jc w:val="center"/>
                    <w:rPr>
                      <w:rFonts w:hint="default"/>
                      <w:color w:val="auto"/>
                      <w:highlight w:val="none"/>
                      <w:lang w:val="en-US" w:eastAsia="zh-CN"/>
                    </w:rPr>
                  </w:pPr>
                  <w:r>
                    <w:rPr>
                      <w:rFonts w:hint="eastAsia"/>
                      <w:color w:val="auto"/>
                      <w:highlight w:val="none"/>
                    </w:rPr>
                    <w:t>2</w:t>
                  </w:r>
                </w:p>
              </w:tc>
              <w:tc>
                <w:tcPr>
                  <w:tcW w:w="812" w:type="pct"/>
                  <w:vMerge w:val="continue"/>
                  <w:vAlign w:val="center"/>
                </w:tcPr>
                <w:p w14:paraId="4B786CF9">
                  <w:pPr>
                    <w:pStyle w:val="41"/>
                    <w:bidi w:val="0"/>
                    <w:jc w:val="center"/>
                    <w:rPr>
                      <w:rFonts w:hint="default"/>
                      <w:color w:val="auto"/>
                      <w:highlight w:val="none"/>
                      <w:lang w:val="en-US" w:eastAsia="zh-CN"/>
                    </w:rPr>
                  </w:pPr>
                </w:p>
              </w:tc>
            </w:tr>
            <w:tr w14:paraId="20891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BE24E0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52319D2">
                  <w:pPr>
                    <w:pStyle w:val="41"/>
                    <w:bidi w:val="0"/>
                    <w:jc w:val="center"/>
                    <w:rPr>
                      <w:rFonts w:hint="default"/>
                      <w:color w:val="auto"/>
                      <w:highlight w:val="none"/>
                      <w:lang w:val="en-US" w:eastAsia="zh-CN"/>
                    </w:rPr>
                  </w:pPr>
                  <w:r>
                    <w:rPr>
                      <w:color w:val="auto"/>
                      <w:highlight w:val="none"/>
                    </w:rPr>
                    <w:t>磁力加热搅拌器</w:t>
                  </w:r>
                </w:p>
              </w:tc>
              <w:tc>
                <w:tcPr>
                  <w:tcW w:w="1330" w:type="pct"/>
                  <w:vAlign w:val="center"/>
                </w:tcPr>
                <w:p w14:paraId="59DB3289">
                  <w:pPr>
                    <w:pStyle w:val="41"/>
                    <w:bidi w:val="0"/>
                    <w:jc w:val="center"/>
                    <w:rPr>
                      <w:rFonts w:hint="default"/>
                      <w:color w:val="auto"/>
                      <w:highlight w:val="none"/>
                      <w:lang w:val="en-US" w:eastAsia="zh-CN"/>
                    </w:rPr>
                  </w:pPr>
                  <w:r>
                    <w:rPr>
                      <w:color w:val="auto"/>
                      <w:highlight w:val="none"/>
                    </w:rPr>
                    <w:t>SP88857106</w:t>
                  </w:r>
                </w:p>
              </w:tc>
              <w:tc>
                <w:tcPr>
                  <w:tcW w:w="1145" w:type="pct"/>
                  <w:vAlign w:val="center"/>
                </w:tcPr>
                <w:p w14:paraId="36B2870D">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1C2B8C98">
                  <w:pPr>
                    <w:pStyle w:val="41"/>
                    <w:bidi w:val="0"/>
                    <w:jc w:val="center"/>
                    <w:rPr>
                      <w:rFonts w:hint="default"/>
                      <w:color w:val="auto"/>
                      <w:highlight w:val="none"/>
                      <w:lang w:val="en-US" w:eastAsia="zh-CN"/>
                    </w:rPr>
                  </w:pPr>
                </w:p>
              </w:tc>
            </w:tr>
            <w:tr w14:paraId="3BFDB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EA66A0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68CBBEE">
                  <w:pPr>
                    <w:pStyle w:val="41"/>
                    <w:bidi w:val="0"/>
                    <w:jc w:val="center"/>
                    <w:rPr>
                      <w:rFonts w:hint="default"/>
                      <w:color w:val="auto"/>
                      <w:highlight w:val="none"/>
                      <w:lang w:val="en-US" w:eastAsia="zh-CN"/>
                    </w:rPr>
                  </w:pPr>
                  <w:r>
                    <w:rPr>
                      <w:color w:val="auto"/>
                      <w:highlight w:val="none"/>
                    </w:rPr>
                    <w:t>压力蒸汽灭菌器</w:t>
                  </w:r>
                </w:p>
              </w:tc>
              <w:tc>
                <w:tcPr>
                  <w:tcW w:w="1330" w:type="pct"/>
                  <w:vAlign w:val="center"/>
                </w:tcPr>
                <w:p w14:paraId="0898203E">
                  <w:pPr>
                    <w:pStyle w:val="41"/>
                    <w:bidi w:val="0"/>
                    <w:jc w:val="center"/>
                    <w:rPr>
                      <w:rFonts w:hint="default"/>
                      <w:color w:val="auto"/>
                      <w:highlight w:val="none"/>
                      <w:lang w:val="en-US" w:eastAsia="zh-CN"/>
                    </w:rPr>
                  </w:pPr>
                  <w:r>
                    <w:rPr>
                      <w:color w:val="auto"/>
                      <w:highlight w:val="none"/>
                    </w:rPr>
                    <w:t>SGLBE-EE1D 650L双摩</w:t>
                  </w:r>
                </w:p>
              </w:tc>
              <w:tc>
                <w:tcPr>
                  <w:tcW w:w="1145" w:type="pct"/>
                  <w:vAlign w:val="center"/>
                </w:tcPr>
                <w:p w14:paraId="64541149">
                  <w:pPr>
                    <w:pStyle w:val="41"/>
                    <w:bidi w:val="0"/>
                    <w:jc w:val="center"/>
                    <w:rPr>
                      <w:rFonts w:hint="default"/>
                      <w:color w:val="auto"/>
                      <w:highlight w:val="none"/>
                      <w:lang w:val="en-US" w:eastAsia="zh-CN"/>
                    </w:rPr>
                  </w:pPr>
                  <w:r>
                    <w:rPr>
                      <w:color w:val="auto"/>
                      <w:highlight w:val="none"/>
                    </w:rPr>
                    <w:t>2</w:t>
                  </w:r>
                </w:p>
              </w:tc>
              <w:tc>
                <w:tcPr>
                  <w:tcW w:w="812" w:type="pct"/>
                  <w:vMerge w:val="continue"/>
                  <w:vAlign w:val="center"/>
                </w:tcPr>
                <w:p w14:paraId="39AD171F">
                  <w:pPr>
                    <w:pStyle w:val="41"/>
                    <w:bidi w:val="0"/>
                    <w:jc w:val="center"/>
                    <w:rPr>
                      <w:rFonts w:hint="default"/>
                      <w:color w:val="auto"/>
                      <w:highlight w:val="none"/>
                      <w:lang w:val="en-US" w:eastAsia="zh-CN"/>
                    </w:rPr>
                  </w:pPr>
                </w:p>
              </w:tc>
            </w:tr>
            <w:tr w14:paraId="39618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729FE1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E3D989B">
                  <w:pPr>
                    <w:pStyle w:val="41"/>
                    <w:bidi w:val="0"/>
                    <w:jc w:val="center"/>
                    <w:rPr>
                      <w:rFonts w:hint="default"/>
                      <w:color w:val="auto"/>
                      <w:highlight w:val="none"/>
                      <w:lang w:val="en-US" w:eastAsia="zh-CN"/>
                    </w:rPr>
                  </w:pPr>
                  <w:r>
                    <w:rPr>
                      <w:color w:val="auto"/>
                      <w:highlight w:val="none"/>
                    </w:rPr>
                    <w:t>医用冷藏箱</w:t>
                  </w:r>
                </w:p>
              </w:tc>
              <w:tc>
                <w:tcPr>
                  <w:tcW w:w="1330" w:type="pct"/>
                  <w:vAlign w:val="center"/>
                </w:tcPr>
                <w:p w14:paraId="783A21FF">
                  <w:pPr>
                    <w:pStyle w:val="41"/>
                    <w:bidi w:val="0"/>
                    <w:jc w:val="center"/>
                    <w:rPr>
                      <w:rFonts w:hint="default"/>
                      <w:color w:val="auto"/>
                      <w:highlight w:val="none"/>
                      <w:lang w:val="en-US" w:eastAsia="zh-CN"/>
                    </w:rPr>
                  </w:pPr>
                  <w:r>
                    <w:rPr>
                      <w:color w:val="auto"/>
                      <w:highlight w:val="none"/>
                    </w:rPr>
                    <w:t>HYC-940</w:t>
                  </w:r>
                </w:p>
              </w:tc>
              <w:tc>
                <w:tcPr>
                  <w:tcW w:w="1145" w:type="pct"/>
                  <w:vAlign w:val="center"/>
                </w:tcPr>
                <w:p w14:paraId="3E92ED9E">
                  <w:pPr>
                    <w:pStyle w:val="41"/>
                    <w:bidi w:val="0"/>
                    <w:jc w:val="center"/>
                    <w:rPr>
                      <w:rFonts w:hint="default"/>
                      <w:color w:val="auto"/>
                      <w:highlight w:val="none"/>
                      <w:lang w:val="en-US" w:eastAsia="zh-CN"/>
                    </w:rPr>
                  </w:pPr>
                  <w:r>
                    <w:rPr>
                      <w:rFonts w:hint="eastAsia"/>
                      <w:color w:val="auto"/>
                      <w:highlight w:val="none"/>
                    </w:rPr>
                    <w:t>4</w:t>
                  </w:r>
                </w:p>
              </w:tc>
              <w:tc>
                <w:tcPr>
                  <w:tcW w:w="812" w:type="pct"/>
                  <w:vMerge w:val="continue"/>
                  <w:vAlign w:val="center"/>
                </w:tcPr>
                <w:p w14:paraId="3C2C28AA">
                  <w:pPr>
                    <w:pStyle w:val="41"/>
                    <w:bidi w:val="0"/>
                    <w:jc w:val="center"/>
                    <w:rPr>
                      <w:rFonts w:hint="default"/>
                      <w:color w:val="auto"/>
                      <w:highlight w:val="none"/>
                      <w:lang w:val="en-US" w:eastAsia="zh-CN"/>
                    </w:rPr>
                  </w:pPr>
                </w:p>
              </w:tc>
            </w:tr>
            <w:tr w14:paraId="683C8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88DCC9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0BA6BE1">
                  <w:pPr>
                    <w:pStyle w:val="41"/>
                    <w:bidi w:val="0"/>
                    <w:jc w:val="center"/>
                    <w:rPr>
                      <w:rFonts w:hint="default"/>
                      <w:color w:val="auto"/>
                      <w:highlight w:val="none"/>
                      <w:lang w:val="en-US" w:eastAsia="zh-CN"/>
                    </w:rPr>
                  </w:pPr>
                  <w:r>
                    <w:rPr>
                      <w:color w:val="auto"/>
                      <w:highlight w:val="none"/>
                    </w:rPr>
                    <w:t>贴膜机</w:t>
                  </w:r>
                </w:p>
              </w:tc>
              <w:tc>
                <w:tcPr>
                  <w:tcW w:w="1330" w:type="pct"/>
                  <w:vAlign w:val="center"/>
                </w:tcPr>
                <w:p w14:paraId="285BBD7F">
                  <w:pPr>
                    <w:pStyle w:val="41"/>
                    <w:bidi w:val="0"/>
                    <w:jc w:val="center"/>
                    <w:rPr>
                      <w:rFonts w:hint="default"/>
                      <w:color w:val="auto"/>
                      <w:highlight w:val="none"/>
                      <w:lang w:val="en-US" w:eastAsia="zh-CN"/>
                    </w:rPr>
                  </w:pPr>
                  <w:r>
                    <w:rPr>
                      <w:color w:val="auto"/>
                      <w:highlight w:val="none"/>
                    </w:rPr>
                    <w:t>/</w:t>
                  </w:r>
                </w:p>
              </w:tc>
              <w:tc>
                <w:tcPr>
                  <w:tcW w:w="1145" w:type="pct"/>
                  <w:vAlign w:val="center"/>
                </w:tcPr>
                <w:p w14:paraId="5400B98B">
                  <w:pPr>
                    <w:pStyle w:val="41"/>
                    <w:bidi w:val="0"/>
                    <w:jc w:val="center"/>
                    <w:rPr>
                      <w:rFonts w:hint="default"/>
                      <w:color w:val="auto"/>
                      <w:highlight w:val="none"/>
                      <w:lang w:val="en-US" w:eastAsia="zh-CN"/>
                    </w:rPr>
                  </w:pPr>
                  <w:r>
                    <w:rPr>
                      <w:color w:val="auto"/>
                      <w:highlight w:val="none"/>
                    </w:rPr>
                    <w:t>2</w:t>
                  </w:r>
                </w:p>
              </w:tc>
              <w:tc>
                <w:tcPr>
                  <w:tcW w:w="812" w:type="pct"/>
                  <w:vMerge w:val="continue"/>
                  <w:vAlign w:val="center"/>
                </w:tcPr>
                <w:p w14:paraId="7624F48B">
                  <w:pPr>
                    <w:pStyle w:val="41"/>
                    <w:bidi w:val="0"/>
                    <w:jc w:val="center"/>
                    <w:rPr>
                      <w:rFonts w:hint="default"/>
                      <w:color w:val="auto"/>
                      <w:highlight w:val="none"/>
                      <w:lang w:val="en-US" w:eastAsia="zh-CN"/>
                    </w:rPr>
                  </w:pPr>
                </w:p>
              </w:tc>
            </w:tr>
            <w:tr w14:paraId="33E5F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7FC13F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4F18BCF">
                  <w:pPr>
                    <w:pStyle w:val="41"/>
                    <w:bidi w:val="0"/>
                    <w:jc w:val="center"/>
                    <w:rPr>
                      <w:rFonts w:hint="default"/>
                      <w:color w:val="auto"/>
                      <w:highlight w:val="none"/>
                      <w:lang w:val="en-US" w:eastAsia="zh-CN"/>
                    </w:rPr>
                  </w:pPr>
                  <w:r>
                    <w:rPr>
                      <w:color w:val="auto"/>
                      <w:highlight w:val="none"/>
                    </w:rPr>
                    <w:t>鼓风干燥箱</w:t>
                  </w:r>
                </w:p>
              </w:tc>
              <w:tc>
                <w:tcPr>
                  <w:tcW w:w="1330" w:type="pct"/>
                  <w:vAlign w:val="center"/>
                </w:tcPr>
                <w:p w14:paraId="5A559AB2">
                  <w:pPr>
                    <w:pStyle w:val="41"/>
                    <w:bidi w:val="0"/>
                    <w:jc w:val="center"/>
                    <w:rPr>
                      <w:rFonts w:hint="default"/>
                      <w:color w:val="auto"/>
                      <w:highlight w:val="none"/>
                      <w:lang w:val="en-US" w:eastAsia="zh-CN"/>
                    </w:rPr>
                  </w:pPr>
                  <w:r>
                    <w:rPr>
                      <w:color w:val="auto"/>
                      <w:highlight w:val="none"/>
                    </w:rPr>
                    <w:t>DHG-9123A</w:t>
                  </w:r>
                </w:p>
              </w:tc>
              <w:tc>
                <w:tcPr>
                  <w:tcW w:w="1145" w:type="pct"/>
                  <w:vAlign w:val="center"/>
                </w:tcPr>
                <w:p w14:paraId="3FB12890">
                  <w:pPr>
                    <w:pStyle w:val="41"/>
                    <w:bidi w:val="0"/>
                    <w:jc w:val="center"/>
                    <w:rPr>
                      <w:rFonts w:hint="default"/>
                      <w:color w:val="auto"/>
                      <w:highlight w:val="none"/>
                      <w:lang w:val="en-US" w:eastAsia="zh-CN"/>
                    </w:rPr>
                  </w:pPr>
                  <w:r>
                    <w:rPr>
                      <w:color w:val="auto"/>
                      <w:highlight w:val="none"/>
                    </w:rPr>
                    <w:t>2</w:t>
                  </w:r>
                </w:p>
              </w:tc>
              <w:tc>
                <w:tcPr>
                  <w:tcW w:w="812" w:type="pct"/>
                  <w:vMerge w:val="continue"/>
                  <w:vAlign w:val="center"/>
                </w:tcPr>
                <w:p w14:paraId="3931E0CC">
                  <w:pPr>
                    <w:pStyle w:val="41"/>
                    <w:bidi w:val="0"/>
                    <w:jc w:val="center"/>
                    <w:rPr>
                      <w:rFonts w:hint="default"/>
                      <w:color w:val="auto"/>
                      <w:highlight w:val="none"/>
                      <w:lang w:val="en-US" w:eastAsia="zh-CN"/>
                    </w:rPr>
                  </w:pPr>
                </w:p>
              </w:tc>
            </w:tr>
            <w:tr w14:paraId="4A1B9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88A89C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8AE1879">
                  <w:pPr>
                    <w:pStyle w:val="41"/>
                    <w:bidi w:val="0"/>
                    <w:jc w:val="center"/>
                    <w:rPr>
                      <w:rFonts w:hint="default"/>
                      <w:color w:val="auto"/>
                      <w:highlight w:val="none"/>
                      <w:lang w:val="en-US" w:eastAsia="zh-CN"/>
                    </w:rPr>
                  </w:pPr>
                  <w:r>
                    <w:rPr>
                      <w:color w:val="auto"/>
                      <w:highlight w:val="none"/>
                    </w:rPr>
                    <w:t>移液机</w:t>
                  </w:r>
                </w:p>
              </w:tc>
              <w:tc>
                <w:tcPr>
                  <w:tcW w:w="1330" w:type="pct"/>
                  <w:vAlign w:val="center"/>
                </w:tcPr>
                <w:p w14:paraId="21A8017C">
                  <w:pPr>
                    <w:pStyle w:val="41"/>
                    <w:bidi w:val="0"/>
                    <w:jc w:val="center"/>
                    <w:rPr>
                      <w:rFonts w:hint="default"/>
                      <w:color w:val="auto"/>
                      <w:highlight w:val="none"/>
                      <w:lang w:val="en-US" w:eastAsia="zh-CN"/>
                    </w:rPr>
                  </w:pPr>
                  <w:r>
                    <w:rPr>
                      <w:color w:val="auto"/>
                      <w:highlight w:val="none"/>
                    </w:rPr>
                    <w:t>/</w:t>
                  </w:r>
                </w:p>
              </w:tc>
              <w:tc>
                <w:tcPr>
                  <w:tcW w:w="1145" w:type="pct"/>
                  <w:vAlign w:val="center"/>
                </w:tcPr>
                <w:p w14:paraId="1FD0300F">
                  <w:pPr>
                    <w:pStyle w:val="41"/>
                    <w:bidi w:val="0"/>
                    <w:jc w:val="center"/>
                    <w:rPr>
                      <w:rFonts w:hint="default"/>
                      <w:color w:val="auto"/>
                      <w:highlight w:val="none"/>
                      <w:lang w:val="en-US" w:eastAsia="zh-CN"/>
                    </w:rPr>
                  </w:pPr>
                  <w:r>
                    <w:rPr>
                      <w:rFonts w:hint="eastAsia"/>
                      <w:color w:val="auto"/>
                      <w:highlight w:val="none"/>
                    </w:rPr>
                    <w:t>4</w:t>
                  </w:r>
                </w:p>
              </w:tc>
              <w:tc>
                <w:tcPr>
                  <w:tcW w:w="812" w:type="pct"/>
                  <w:vMerge w:val="continue"/>
                  <w:vAlign w:val="center"/>
                </w:tcPr>
                <w:p w14:paraId="0FE3BF8B">
                  <w:pPr>
                    <w:pStyle w:val="41"/>
                    <w:bidi w:val="0"/>
                    <w:jc w:val="center"/>
                    <w:rPr>
                      <w:rFonts w:hint="default"/>
                      <w:color w:val="auto"/>
                      <w:highlight w:val="none"/>
                      <w:lang w:val="en-US" w:eastAsia="zh-CN"/>
                    </w:rPr>
                  </w:pPr>
                </w:p>
              </w:tc>
            </w:tr>
            <w:tr w14:paraId="5C5F7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564873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E474BF2">
                  <w:pPr>
                    <w:pStyle w:val="41"/>
                    <w:bidi w:val="0"/>
                    <w:jc w:val="center"/>
                    <w:rPr>
                      <w:rFonts w:hint="default"/>
                      <w:color w:val="auto"/>
                      <w:highlight w:val="none"/>
                      <w:lang w:val="en-US" w:eastAsia="zh-CN"/>
                    </w:rPr>
                  </w:pPr>
                  <w:r>
                    <w:rPr>
                      <w:color w:val="auto"/>
                      <w:highlight w:val="none"/>
                    </w:rPr>
                    <w:t>真空干燥箱</w:t>
                  </w:r>
                </w:p>
              </w:tc>
              <w:tc>
                <w:tcPr>
                  <w:tcW w:w="1330" w:type="pct"/>
                  <w:vAlign w:val="center"/>
                </w:tcPr>
                <w:p w14:paraId="2CDB5BE5">
                  <w:pPr>
                    <w:pStyle w:val="41"/>
                    <w:bidi w:val="0"/>
                    <w:jc w:val="center"/>
                    <w:rPr>
                      <w:rFonts w:hint="default"/>
                      <w:color w:val="auto"/>
                      <w:highlight w:val="none"/>
                      <w:lang w:val="en-US" w:eastAsia="zh-CN"/>
                    </w:rPr>
                  </w:pPr>
                  <w:r>
                    <w:rPr>
                      <w:color w:val="auto"/>
                      <w:highlight w:val="none"/>
                    </w:rPr>
                    <w:t>DZF-6050</w:t>
                  </w:r>
                </w:p>
              </w:tc>
              <w:tc>
                <w:tcPr>
                  <w:tcW w:w="1145" w:type="pct"/>
                  <w:vAlign w:val="center"/>
                </w:tcPr>
                <w:p w14:paraId="0BAD621D">
                  <w:pPr>
                    <w:pStyle w:val="41"/>
                    <w:bidi w:val="0"/>
                    <w:jc w:val="center"/>
                    <w:rPr>
                      <w:rFonts w:hint="default"/>
                      <w:color w:val="auto"/>
                      <w:highlight w:val="none"/>
                      <w:lang w:val="en-US" w:eastAsia="zh-CN"/>
                    </w:rPr>
                  </w:pPr>
                  <w:r>
                    <w:rPr>
                      <w:rFonts w:hint="eastAsia"/>
                      <w:color w:val="auto"/>
                      <w:highlight w:val="none"/>
                    </w:rPr>
                    <w:t>5</w:t>
                  </w:r>
                </w:p>
              </w:tc>
              <w:tc>
                <w:tcPr>
                  <w:tcW w:w="812" w:type="pct"/>
                  <w:vMerge w:val="continue"/>
                  <w:vAlign w:val="center"/>
                </w:tcPr>
                <w:p w14:paraId="673518C8">
                  <w:pPr>
                    <w:pStyle w:val="41"/>
                    <w:bidi w:val="0"/>
                    <w:jc w:val="center"/>
                    <w:rPr>
                      <w:rFonts w:hint="default"/>
                      <w:color w:val="auto"/>
                      <w:highlight w:val="none"/>
                      <w:lang w:val="en-US" w:eastAsia="zh-CN"/>
                    </w:rPr>
                  </w:pPr>
                </w:p>
              </w:tc>
            </w:tr>
            <w:tr w14:paraId="3B147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080C78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2C27856">
                  <w:pPr>
                    <w:pStyle w:val="41"/>
                    <w:bidi w:val="0"/>
                    <w:jc w:val="center"/>
                    <w:rPr>
                      <w:rFonts w:hint="default"/>
                      <w:color w:val="auto"/>
                      <w:highlight w:val="none"/>
                      <w:lang w:val="en-US" w:eastAsia="zh-CN"/>
                    </w:rPr>
                  </w:pPr>
                  <w:r>
                    <w:rPr>
                      <w:color w:val="auto"/>
                      <w:highlight w:val="none"/>
                    </w:rPr>
                    <w:t>真空泵</w:t>
                  </w:r>
                </w:p>
              </w:tc>
              <w:tc>
                <w:tcPr>
                  <w:tcW w:w="1330" w:type="pct"/>
                  <w:vAlign w:val="center"/>
                </w:tcPr>
                <w:p w14:paraId="46CA34C9">
                  <w:pPr>
                    <w:pStyle w:val="41"/>
                    <w:bidi w:val="0"/>
                    <w:jc w:val="center"/>
                    <w:rPr>
                      <w:rFonts w:hint="default"/>
                      <w:color w:val="auto"/>
                      <w:highlight w:val="none"/>
                      <w:lang w:val="en-US" w:eastAsia="zh-CN"/>
                    </w:rPr>
                  </w:pPr>
                  <w:r>
                    <w:rPr>
                      <w:color w:val="auto"/>
                      <w:highlight w:val="none"/>
                    </w:rPr>
                    <w:t>MZ2CNT</w:t>
                  </w:r>
                </w:p>
              </w:tc>
              <w:tc>
                <w:tcPr>
                  <w:tcW w:w="1145" w:type="pct"/>
                  <w:vAlign w:val="center"/>
                </w:tcPr>
                <w:p w14:paraId="1AA325A1">
                  <w:pPr>
                    <w:pStyle w:val="41"/>
                    <w:bidi w:val="0"/>
                    <w:jc w:val="center"/>
                    <w:rPr>
                      <w:rFonts w:hint="default"/>
                      <w:color w:val="auto"/>
                      <w:highlight w:val="none"/>
                      <w:lang w:val="en-US" w:eastAsia="zh-CN"/>
                    </w:rPr>
                  </w:pPr>
                  <w:r>
                    <w:rPr>
                      <w:color w:val="auto"/>
                      <w:highlight w:val="none"/>
                    </w:rPr>
                    <w:t>4</w:t>
                  </w:r>
                </w:p>
              </w:tc>
              <w:tc>
                <w:tcPr>
                  <w:tcW w:w="812" w:type="pct"/>
                  <w:vMerge w:val="continue"/>
                  <w:vAlign w:val="center"/>
                </w:tcPr>
                <w:p w14:paraId="18194A9E">
                  <w:pPr>
                    <w:pStyle w:val="41"/>
                    <w:bidi w:val="0"/>
                    <w:jc w:val="center"/>
                    <w:rPr>
                      <w:rFonts w:hint="default"/>
                      <w:color w:val="auto"/>
                      <w:highlight w:val="none"/>
                      <w:lang w:val="en-US" w:eastAsia="zh-CN"/>
                    </w:rPr>
                  </w:pPr>
                </w:p>
              </w:tc>
            </w:tr>
            <w:tr w14:paraId="61EC8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C19B9F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61C5515">
                  <w:pPr>
                    <w:pStyle w:val="41"/>
                    <w:bidi w:val="0"/>
                    <w:jc w:val="center"/>
                    <w:rPr>
                      <w:rFonts w:hint="default"/>
                      <w:color w:val="auto"/>
                      <w:highlight w:val="none"/>
                      <w:lang w:val="en-US" w:eastAsia="zh-CN"/>
                    </w:rPr>
                  </w:pPr>
                  <w:r>
                    <w:rPr>
                      <w:color w:val="auto"/>
                      <w:highlight w:val="none"/>
                    </w:rPr>
                    <w:t>真空包装机</w:t>
                  </w:r>
                </w:p>
              </w:tc>
              <w:tc>
                <w:tcPr>
                  <w:tcW w:w="1330" w:type="pct"/>
                  <w:vAlign w:val="center"/>
                </w:tcPr>
                <w:p w14:paraId="3F3BB9E2">
                  <w:pPr>
                    <w:pStyle w:val="41"/>
                    <w:bidi w:val="0"/>
                    <w:jc w:val="center"/>
                    <w:rPr>
                      <w:rFonts w:hint="default"/>
                      <w:color w:val="auto"/>
                      <w:highlight w:val="none"/>
                      <w:lang w:val="en-US" w:eastAsia="zh-CN"/>
                    </w:rPr>
                  </w:pPr>
                  <w:r>
                    <w:rPr>
                      <w:color w:val="auto"/>
                      <w:highlight w:val="none"/>
                    </w:rPr>
                    <w:t>/</w:t>
                  </w:r>
                </w:p>
              </w:tc>
              <w:tc>
                <w:tcPr>
                  <w:tcW w:w="1145" w:type="pct"/>
                  <w:vAlign w:val="center"/>
                </w:tcPr>
                <w:p w14:paraId="34F4595E">
                  <w:pPr>
                    <w:pStyle w:val="41"/>
                    <w:bidi w:val="0"/>
                    <w:jc w:val="center"/>
                    <w:rPr>
                      <w:rFonts w:hint="default"/>
                      <w:color w:val="auto"/>
                      <w:highlight w:val="none"/>
                      <w:lang w:val="en-US" w:eastAsia="zh-CN"/>
                    </w:rPr>
                  </w:pPr>
                  <w:r>
                    <w:rPr>
                      <w:color w:val="auto"/>
                      <w:highlight w:val="none"/>
                    </w:rPr>
                    <w:t>2</w:t>
                  </w:r>
                </w:p>
              </w:tc>
              <w:tc>
                <w:tcPr>
                  <w:tcW w:w="812" w:type="pct"/>
                  <w:vMerge w:val="continue"/>
                  <w:vAlign w:val="center"/>
                </w:tcPr>
                <w:p w14:paraId="4F4CBC17">
                  <w:pPr>
                    <w:pStyle w:val="41"/>
                    <w:bidi w:val="0"/>
                    <w:jc w:val="center"/>
                    <w:rPr>
                      <w:rFonts w:hint="default"/>
                      <w:color w:val="auto"/>
                      <w:highlight w:val="none"/>
                      <w:lang w:val="en-US" w:eastAsia="zh-CN"/>
                    </w:rPr>
                  </w:pPr>
                </w:p>
              </w:tc>
            </w:tr>
            <w:tr w14:paraId="21653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1BB459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C81212B">
                  <w:pPr>
                    <w:pStyle w:val="41"/>
                    <w:bidi w:val="0"/>
                    <w:jc w:val="center"/>
                    <w:rPr>
                      <w:rFonts w:hint="default"/>
                      <w:color w:val="auto"/>
                      <w:highlight w:val="none"/>
                      <w:lang w:val="en-US" w:eastAsia="zh-CN"/>
                    </w:rPr>
                  </w:pPr>
                  <w:r>
                    <w:rPr>
                      <w:color w:val="auto"/>
                      <w:highlight w:val="none"/>
                    </w:rPr>
                    <w:t>手套箱</w:t>
                  </w:r>
                </w:p>
              </w:tc>
              <w:tc>
                <w:tcPr>
                  <w:tcW w:w="1330" w:type="pct"/>
                  <w:vAlign w:val="center"/>
                </w:tcPr>
                <w:p w14:paraId="1779B9AA">
                  <w:pPr>
                    <w:pStyle w:val="41"/>
                    <w:bidi w:val="0"/>
                    <w:jc w:val="center"/>
                    <w:rPr>
                      <w:rFonts w:hint="default"/>
                      <w:color w:val="auto"/>
                      <w:highlight w:val="none"/>
                      <w:lang w:val="en-US" w:eastAsia="zh-CN"/>
                    </w:rPr>
                  </w:pPr>
                  <w:r>
                    <w:rPr>
                      <w:color w:val="auto"/>
                      <w:highlight w:val="none"/>
                    </w:rPr>
                    <w:t>JMS-XD1</w:t>
                  </w:r>
                </w:p>
              </w:tc>
              <w:tc>
                <w:tcPr>
                  <w:tcW w:w="1145" w:type="pct"/>
                  <w:vAlign w:val="center"/>
                </w:tcPr>
                <w:p w14:paraId="47F96575">
                  <w:pPr>
                    <w:pStyle w:val="41"/>
                    <w:bidi w:val="0"/>
                    <w:jc w:val="center"/>
                    <w:rPr>
                      <w:rFonts w:hint="default"/>
                      <w:color w:val="auto"/>
                      <w:highlight w:val="none"/>
                      <w:lang w:val="en-US" w:eastAsia="zh-CN"/>
                    </w:rPr>
                  </w:pPr>
                  <w:r>
                    <w:rPr>
                      <w:color w:val="auto"/>
                      <w:highlight w:val="none"/>
                    </w:rPr>
                    <w:t>1</w:t>
                  </w:r>
                </w:p>
              </w:tc>
              <w:tc>
                <w:tcPr>
                  <w:tcW w:w="812" w:type="pct"/>
                  <w:vMerge w:val="continue"/>
                  <w:vAlign w:val="center"/>
                </w:tcPr>
                <w:p w14:paraId="608CDD64">
                  <w:pPr>
                    <w:pStyle w:val="41"/>
                    <w:bidi w:val="0"/>
                    <w:jc w:val="center"/>
                    <w:rPr>
                      <w:rFonts w:hint="default"/>
                      <w:color w:val="auto"/>
                      <w:highlight w:val="none"/>
                      <w:lang w:val="en-US" w:eastAsia="zh-CN"/>
                    </w:rPr>
                  </w:pPr>
                </w:p>
              </w:tc>
            </w:tr>
            <w:tr w14:paraId="4D529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16BF8D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294A043">
                  <w:pPr>
                    <w:pStyle w:val="41"/>
                    <w:bidi w:val="0"/>
                    <w:jc w:val="center"/>
                    <w:rPr>
                      <w:rFonts w:hint="default"/>
                      <w:color w:val="auto"/>
                      <w:highlight w:val="none"/>
                      <w:lang w:val="en-US" w:eastAsia="zh-CN"/>
                    </w:rPr>
                  </w:pPr>
                  <w:r>
                    <w:rPr>
                      <w:color w:val="auto"/>
                      <w:highlight w:val="none"/>
                    </w:rPr>
                    <w:t>生物安全柜</w:t>
                  </w:r>
                </w:p>
              </w:tc>
              <w:tc>
                <w:tcPr>
                  <w:tcW w:w="1330" w:type="pct"/>
                  <w:vAlign w:val="center"/>
                </w:tcPr>
                <w:p w14:paraId="4FF3B632">
                  <w:pPr>
                    <w:pStyle w:val="41"/>
                    <w:bidi w:val="0"/>
                    <w:jc w:val="center"/>
                    <w:rPr>
                      <w:rFonts w:hint="default"/>
                      <w:color w:val="auto"/>
                      <w:highlight w:val="none"/>
                      <w:lang w:val="en-US" w:eastAsia="zh-CN"/>
                    </w:rPr>
                  </w:pPr>
                  <w:r>
                    <w:rPr>
                      <w:color w:val="auto"/>
                      <w:highlight w:val="none"/>
                    </w:rPr>
                    <w:t>BSC-1304IIA2</w:t>
                  </w:r>
                </w:p>
              </w:tc>
              <w:tc>
                <w:tcPr>
                  <w:tcW w:w="1145" w:type="pct"/>
                  <w:vAlign w:val="center"/>
                </w:tcPr>
                <w:p w14:paraId="5E5EBA22">
                  <w:pPr>
                    <w:pStyle w:val="41"/>
                    <w:bidi w:val="0"/>
                    <w:jc w:val="center"/>
                    <w:rPr>
                      <w:rFonts w:hint="default"/>
                      <w:color w:val="auto"/>
                      <w:highlight w:val="none"/>
                      <w:lang w:val="en-US" w:eastAsia="zh-CN"/>
                    </w:rPr>
                  </w:pPr>
                  <w:r>
                    <w:rPr>
                      <w:rFonts w:hint="eastAsia"/>
                      <w:color w:val="auto"/>
                      <w:highlight w:val="none"/>
                    </w:rPr>
                    <w:t>15</w:t>
                  </w:r>
                </w:p>
              </w:tc>
              <w:tc>
                <w:tcPr>
                  <w:tcW w:w="812" w:type="pct"/>
                  <w:vMerge w:val="continue"/>
                  <w:vAlign w:val="center"/>
                </w:tcPr>
                <w:p w14:paraId="0202AA58">
                  <w:pPr>
                    <w:pStyle w:val="41"/>
                    <w:bidi w:val="0"/>
                    <w:jc w:val="center"/>
                    <w:rPr>
                      <w:rFonts w:hint="default"/>
                      <w:color w:val="auto"/>
                      <w:highlight w:val="none"/>
                      <w:lang w:val="en-US" w:eastAsia="zh-CN"/>
                    </w:rPr>
                  </w:pPr>
                </w:p>
              </w:tc>
            </w:tr>
            <w:tr w14:paraId="30640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73A694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7B4BF26">
                  <w:pPr>
                    <w:pStyle w:val="41"/>
                    <w:bidi w:val="0"/>
                    <w:jc w:val="center"/>
                    <w:rPr>
                      <w:rFonts w:hint="default"/>
                      <w:color w:val="auto"/>
                      <w:highlight w:val="none"/>
                      <w:lang w:val="en-US" w:eastAsia="zh-CN"/>
                    </w:rPr>
                  </w:pPr>
                  <w:r>
                    <w:rPr>
                      <w:color w:val="auto"/>
                      <w:highlight w:val="none"/>
                    </w:rPr>
                    <w:t>培养摇床</w:t>
                  </w:r>
                </w:p>
              </w:tc>
              <w:tc>
                <w:tcPr>
                  <w:tcW w:w="1330" w:type="pct"/>
                  <w:vAlign w:val="center"/>
                </w:tcPr>
                <w:p w14:paraId="1920A3FA">
                  <w:pPr>
                    <w:pStyle w:val="41"/>
                    <w:bidi w:val="0"/>
                    <w:jc w:val="center"/>
                    <w:rPr>
                      <w:rFonts w:hint="default"/>
                      <w:color w:val="auto"/>
                      <w:highlight w:val="none"/>
                      <w:lang w:val="en-US" w:eastAsia="zh-CN"/>
                    </w:rPr>
                  </w:pPr>
                  <w:r>
                    <w:rPr>
                      <w:color w:val="auto"/>
                      <w:highlight w:val="none"/>
                    </w:rPr>
                    <w:t>S411230014</w:t>
                  </w:r>
                </w:p>
              </w:tc>
              <w:tc>
                <w:tcPr>
                  <w:tcW w:w="1145" w:type="pct"/>
                  <w:vAlign w:val="center"/>
                </w:tcPr>
                <w:p w14:paraId="2B891130">
                  <w:pPr>
                    <w:pStyle w:val="41"/>
                    <w:bidi w:val="0"/>
                    <w:jc w:val="center"/>
                    <w:rPr>
                      <w:rFonts w:hint="default"/>
                      <w:color w:val="auto"/>
                      <w:highlight w:val="none"/>
                      <w:lang w:val="en-US" w:eastAsia="zh-CN"/>
                    </w:rPr>
                  </w:pPr>
                  <w:r>
                    <w:rPr>
                      <w:rFonts w:hint="eastAsia"/>
                      <w:color w:val="auto"/>
                      <w:highlight w:val="none"/>
                    </w:rPr>
                    <w:t>2</w:t>
                  </w:r>
                </w:p>
              </w:tc>
              <w:tc>
                <w:tcPr>
                  <w:tcW w:w="812" w:type="pct"/>
                  <w:vMerge w:val="continue"/>
                  <w:vAlign w:val="center"/>
                </w:tcPr>
                <w:p w14:paraId="2D8BE5D6">
                  <w:pPr>
                    <w:pStyle w:val="41"/>
                    <w:bidi w:val="0"/>
                    <w:jc w:val="center"/>
                    <w:rPr>
                      <w:rFonts w:hint="default"/>
                      <w:color w:val="auto"/>
                      <w:highlight w:val="none"/>
                      <w:lang w:val="en-US" w:eastAsia="zh-CN"/>
                    </w:rPr>
                  </w:pPr>
                </w:p>
              </w:tc>
            </w:tr>
            <w:tr w14:paraId="3DD0F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497778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E5CC4B0">
                  <w:pPr>
                    <w:pStyle w:val="41"/>
                    <w:bidi w:val="0"/>
                    <w:jc w:val="center"/>
                    <w:rPr>
                      <w:rFonts w:hint="default"/>
                      <w:color w:val="auto"/>
                      <w:highlight w:val="none"/>
                      <w:lang w:val="en-US" w:eastAsia="zh-CN"/>
                    </w:rPr>
                  </w:pPr>
                  <w:r>
                    <w:rPr>
                      <w:color w:val="auto"/>
                      <w:highlight w:val="none"/>
                    </w:rPr>
                    <w:t>台式离心机</w:t>
                  </w:r>
                </w:p>
              </w:tc>
              <w:tc>
                <w:tcPr>
                  <w:tcW w:w="1330" w:type="pct"/>
                  <w:vAlign w:val="center"/>
                </w:tcPr>
                <w:p w14:paraId="56358D70">
                  <w:pPr>
                    <w:pStyle w:val="41"/>
                    <w:bidi w:val="0"/>
                    <w:jc w:val="center"/>
                    <w:rPr>
                      <w:rFonts w:hint="default"/>
                      <w:color w:val="auto"/>
                      <w:highlight w:val="none"/>
                      <w:lang w:val="en-US" w:eastAsia="zh-CN"/>
                    </w:rPr>
                  </w:pPr>
                  <w:r>
                    <w:rPr>
                      <w:color w:val="auto"/>
                      <w:highlight w:val="none"/>
                    </w:rPr>
                    <w:t>ST40R</w:t>
                  </w:r>
                </w:p>
              </w:tc>
              <w:tc>
                <w:tcPr>
                  <w:tcW w:w="1145" w:type="pct"/>
                  <w:vAlign w:val="center"/>
                </w:tcPr>
                <w:p w14:paraId="78380A68">
                  <w:pPr>
                    <w:pStyle w:val="41"/>
                    <w:bidi w:val="0"/>
                    <w:jc w:val="center"/>
                    <w:rPr>
                      <w:rFonts w:hint="default"/>
                      <w:color w:val="auto"/>
                      <w:highlight w:val="none"/>
                      <w:lang w:val="en-US" w:eastAsia="zh-CN"/>
                    </w:rPr>
                  </w:pPr>
                  <w:r>
                    <w:rPr>
                      <w:rFonts w:hint="eastAsia"/>
                      <w:color w:val="auto"/>
                      <w:highlight w:val="none"/>
                    </w:rPr>
                    <w:t>6</w:t>
                  </w:r>
                </w:p>
              </w:tc>
              <w:tc>
                <w:tcPr>
                  <w:tcW w:w="812" w:type="pct"/>
                  <w:vMerge w:val="continue"/>
                  <w:vAlign w:val="center"/>
                </w:tcPr>
                <w:p w14:paraId="094E6879">
                  <w:pPr>
                    <w:pStyle w:val="41"/>
                    <w:bidi w:val="0"/>
                    <w:jc w:val="center"/>
                    <w:rPr>
                      <w:rFonts w:hint="default"/>
                      <w:color w:val="auto"/>
                      <w:highlight w:val="none"/>
                      <w:lang w:val="en-US" w:eastAsia="zh-CN"/>
                    </w:rPr>
                  </w:pPr>
                </w:p>
              </w:tc>
            </w:tr>
            <w:tr w14:paraId="04362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A5D64A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86DBF6D">
                  <w:pPr>
                    <w:pStyle w:val="41"/>
                    <w:bidi w:val="0"/>
                    <w:jc w:val="center"/>
                    <w:rPr>
                      <w:rFonts w:hint="default"/>
                      <w:color w:val="auto"/>
                      <w:highlight w:val="none"/>
                      <w:lang w:val="en-US" w:eastAsia="zh-CN"/>
                    </w:rPr>
                  </w:pPr>
                  <w:r>
                    <w:rPr>
                      <w:color w:val="auto"/>
                      <w:highlight w:val="none"/>
                    </w:rPr>
                    <w:t>冰箱</w:t>
                  </w:r>
                </w:p>
              </w:tc>
              <w:tc>
                <w:tcPr>
                  <w:tcW w:w="1330" w:type="pct"/>
                  <w:vAlign w:val="center"/>
                </w:tcPr>
                <w:p w14:paraId="578891F0">
                  <w:pPr>
                    <w:pStyle w:val="41"/>
                    <w:bidi w:val="0"/>
                    <w:jc w:val="center"/>
                    <w:rPr>
                      <w:rFonts w:hint="default"/>
                      <w:color w:val="auto"/>
                      <w:highlight w:val="none"/>
                      <w:lang w:val="en-US" w:eastAsia="zh-CN"/>
                    </w:rPr>
                  </w:pPr>
                  <w:r>
                    <w:rPr>
                      <w:color w:val="auto"/>
                      <w:highlight w:val="none"/>
                    </w:rPr>
                    <w:t>BC-98OY</w:t>
                  </w:r>
                </w:p>
              </w:tc>
              <w:tc>
                <w:tcPr>
                  <w:tcW w:w="1145" w:type="pct"/>
                  <w:vAlign w:val="center"/>
                </w:tcPr>
                <w:p w14:paraId="7B8002EC">
                  <w:pPr>
                    <w:pStyle w:val="41"/>
                    <w:bidi w:val="0"/>
                    <w:jc w:val="center"/>
                    <w:rPr>
                      <w:rFonts w:hint="default"/>
                      <w:color w:val="auto"/>
                      <w:highlight w:val="none"/>
                      <w:lang w:val="en-US" w:eastAsia="zh-CN"/>
                    </w:rPr>
                  </w:pPr>
                  <w:r>
                    <w:rPr>
                      <w:rFonts w:hint="eastAsia"/>
                      <w:color w:val="auto"/>
                      <w:highlight w:val="none"/>
                    </w:rPr>
                    <w:t>6</w:t>
                  </w:r>
                </w:p>
              </w:tc>
              <w:tc>
                <w:tcPr>
                  <w:tcW w:w="812" w:type="pct"/>
                  <w:vMerge w:val="continue"/>
                  <w:vAlign w:val="center"/>
                </w:tcPr>
                <w:p w14:paraId="542DC7F8">
                  <w:pPr>
                    <w:pStyle w:val="41"/>
                    <w:bidi w:val="0"/>
                    <w:jc w:val="center"/>
                    <w:rPr>
                      <w:rFonts w:hint="default"/>
                      <w:color w:val="auto"/>
                      <w:highlight w:val="none"/>
                      <w:lang w:val="en-US" w:eastAsia="zh-CN"/>
                    </w:rPr>
                  </w:pPr>
                </w:p>
              </w:tc>
            </w:tr>
            <w:tr w14:paraId="4613C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E5E1EF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7A2DB31">
                  <w:pPr>
                    <w:pStyle w:val="41"/>
                    <w:bidi w:val="0"/>
                    <w:jc w:val="center"/>
                    <w:rPr>
                      <w:rFonts w:hint="default"/>
                      <w:color w:val="auto"/>
                      <w:highlight w:val="none"/>
                      <w:lang w:val="en-US" w:eastAsia="zh-CN"/>
                    </w:rPr>
                  </w:pPr>
                  <w:r>
                    <w:rPr>
                      <w:color w:val="auto"/>
                      <w:highlight w:val="none"/>
                    </w:rPr>
                    <w:t>高压灭菌锅</w:t>
                  </w:r>
                </w:p>
              </w:tc>
              <w:tc>
                <w:tcPr>
                  <w:tcW w:w="1330" w:type="pct"/>
                  <w:vAlign w:val="center"/>
                </w:tcPr>
                <w:p w14:paraId="50AE2D06">
                  <w:pPr>
                    <w:pStyle w:val="41"/>
                    <w:bidi w:val="0"/>
                    <w:jc w:val="center"/>
                    <w:rPr>
                      <w:rFonts w:hint="default"/>
                      <w:color w:val="auto"/>
                      <w:highlight w:val="none"/>
                      <w:lang w:val="en-US" w:eastAsia="zh-CN"/>
                    </w:rPr>
                  </w:pPr>
                  <w:r>
                    <w:rPr>
                      <w:color w:val="auto"/>
                      <w:highlight w:val="none"/>
                    </w:rPr>
                    <w:t>LDZM-80KCS-III</w:t>
                  </w:r>
                </w:p>
              </w:tc>
              <w:tc>
                <w:tcPr>
                  <w:tcW w:w="1145" w:type="pct"/>
                  <w:vAlign w:val="center"/>
                </w:tcPr>
                <w:p w14:paraId="0F4DEEE8">
                  <w:pPr>
                    <w:pStyle w:val="41"/>
                    <w:bidi w:val="0"/>
                    <w:jc w:val="center"/>
                    <w:rPr>
                      <w:rFonts w:hint="default"/>
                      <w:color w:val="auto"/>
                      <w:highlight w:val="none"/>
                      <w:lang w:val="en-US" w:eastAsia="zh-CN"/>
                    </w:rPr>
                  </w:pPr>
                  <w:r>
                    <w:rPr>
                      <w:rFonts w:hint="eastAsia"/>
                      <w:color w:val="auto"/>
                      <w:highlight w:val="none"/>
                    </w:rPr>
                    <w:t>4</w:t>
                  </w:r>
                </w:p>
              </w:tc>
              <w:tc>
                <w:tcPr>
                  <w:tcW w:w="812" w:type="pct"/>
                  <w:vMerge w:val="continue"/>
                  <w:vAlign w:val="center"/>
                </w:tcPr>
                <w:p w14:paraId="60EE9D52">
                  <w:pPr>
                    <w:pStyle w:val="41"/>
                    <w:bidi w:val="0"/>
                    <w:jc w:val="center"/>
                    <w:rPr>
                      <w:rFonts w:hint="default"/>
                      <w:color w:val="auto"/>
                      <w:highlight w:val="none"/>
                      <w:lang w:val="en-US" w:eastAsia="zh-CN"/>
                    </w:rPr>
                  </w:pPr>
                </w:p>
              </w:tc>
            </w:tr>
            <w:tr w14:paraId="7789F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A2A378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AEB5F7B">
                  <w:pPr>
                    <w:pStyle w:val="41"/>
                    <w:bidi w:val="0"/>
                    <w:jc w:val="center"/>
                    <w:rPr>
                      <w:rFonts w:hint="default"/>
                      <w:color w:val="auto"/>
                      <w:highlight w:val="none"/>
                      <w:lang w:val="en-US" w:eastAsia="zh-CN"/>
                    </w:rPr>
                  </w:pPr>
                  <w:r>
                    <w:rPr>
                      <w:color w:val="auto"/>
                      <w:highlight w:val="none"/>
                    </w:rPr>
                    <w:t>负70度冰箱</w:t>
                  </w:r>
                </w:p>
              </w:tc>
              <w:tc>
                <w:tcPr>
                  <w:tcW w:w="1330" w:type="pct"/>
                  <w:vAlign w:val="center"/>
                </w:tcPr>
                <w:p w14:paraId="05B36C24">
                  <w:pPr>
                    <w:pStyle w:val="41"/>
                    <w:bidi w:val="0"/>
                    <w:jc w:val="center"/>
                    <w:rPr>
                      <w:rFonts w:hint="default"/>
                      <w:color w:val="auto"/>
                      <w:highlight w:val="none"/>
                      <w:lang w:val="en-US" w:eastAsia="zh-CN"/>
                    </w:rPr>
                  </w:pPr>
                  <w:r>
                    <w:rPr>
                      <w:color w:val="auto"/>
                      <w:highlight w:val="none"/>
                    </w:rPr>
                    <w:t>DW-86L338</w:t>
                  </w:r>
                </w:p>
              </w:tc>
              <w:tc>
                <w:tcPr>
                  <w:tcW w:w="1145" w:type="pct"/>
                  <w:vAlign w:val="center"/>
                </w:tcPr>
                <w:p w14:paraId="6A2EF09D">
                  <w:pPr>
                    <w:pStyle w:val="41"/>
                    <w:bidi w:val="0"/>
                    <w:jc w:val="center"/>
                    <w:rPr>
                      <w:rFonts w:hint="default"/>
                      <w:color w:val="auto"/>
                      <w:highlight w:val="none"/>
                      <w:lang w:val="en-US" w:eastAsia="zh-CN"/>
                    </w:rPr>
                  </w:pPr>
                  <w:r>
                    <w:rPr>
                      <w:rFonts w:hint="eastAsia"/>
                      <w:color w:val="auto"/>
                      <w:highlight w:val="none"/>
                    </w:rPr>
                    <w:t>2</w:t>
                  </w:r>
                </w:p>
              </w:tc>
              <w:tc>
                <w:tcPr>
                  <w:tcW w:w="812" w:type="pct"/>
                  <w:vMerge w:val="continue"/>
                  <w:vAlign w:val="center"/>
                </w:tcPr>
                <w:p w14:paraId="24294D0F">
                  <w:pPr>
                    <w:pStyle w:val="41"/>
                    <w:bidi w:val="0"/>
                    <w:jc w:val="center"/>
                    <w:rPr>
                      <w:rFonts w:hint="default"/>
                      <w:color w:val="auto"/>
                      <w:highlight w:val="none"/>
                      <w:lang w:val="en-US" w:eastAsia="zh-CN"/>
                    </w:rPr>
                  </w:pPr>
                </w:p>
              </w:tc>
            </w:tr>
            <w:tr w14:paraId="7B028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05622E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E17B427">
                  <w:pPr>
                    <w:pStyle w:val="41"/>
                    <w:bidi w:val="0"/>
                    <w:jc w:val="center"/>
                    <w:rPr>
                      <w:rFonts w:hint="default"/>
                      <w:color w:val="auto"/>
                      <w:highlight w:val="none"/>
                      <w:lang w:val="en-US" w:eastAsia="zh-CN"/>
                    </w:rPr>
                  </w:pPr>
                  <w:r>
                    <w:rPr>
                      <w:color w:val="auto"/>
                      <w:highlight w:val="none"/>
                    </w:rPr>
                    <w:t>二氧化碳培养箱</w:t>
                  </w:r>
                </w:p>
              </w:tc>
              <w:tc>
                <w:tcPr>
                  <w:tcW w:w="1330" w:type="pct"/>
                  <w:vAlign w:val="center"/>
                </w:tcPr>
                <w:p w14:paraId="11043D8B">
                  <w:pPr>
                    <w:pStyle w:val="41"/>
                    <w:bidi w:val="0"/>
                    <w:jc w:val="center"/>
                    <w:rPr>
                      <w:rFonts w:hint="default"/>
                      <w:color w:val="auto"/>
                      <w:highlight w:val="none"/>
                      <w:lang w:val="en-US" w:eastAsia="zh-CN"/>
                    </w:rPr>
                  </w:pPr>
                  <w:r>
                    <w:rPr>
                      <w:color w:val="auto"/>
                      <w:highlight w:val="none"/>
                    </w:rPr>
                    <w:t>Thermo3543</w:t>
                  </w:r>
                </w:p>
              </w:tc>
              <w:tc>
                <w:tcPr>
                  <w:tcW w:w="1145" w:type="pct"/>
                  <w:vAlign w:val="center"/>
                </w:tcPr>
                <w:p w14:paraId="4B8644BB">
                  <w:pPr>
                    <w:pStyle w:val="41"/>
                    <w:bidi w:val="0"/>
                    <w:jc w:val="center"/>
                    <w:rPr>
                      <w:rFonts w:hint="default"/>
                      <w:color w:val="auto"/>
                      <w:highlight w:val="none"/>
                      <w:lang w:val="en-US" w:eastAsia="zh-CN"/>
                    </w:rPr>
                  </w:pPr>
                  <w:r>
                    <w:rPr>
                      <w:rFonts w:hint="eastAsia"/>
                      <w:color w:val="auto"/>
                      <w:highlight w:val="none"/>
                    </w:rPr>
                    <w:t>6</w:t>
                  </w:r>
                </w:p>
              </w:tc>
              <w:tc>
                <w:tcPr>
                  <w:tcW w:w="812" w:type="pct"/>
                  <w:vMerge w:val="continue"/>
                  <w:vAlign w:val="center"/>
                </w:tcPr>
                <w:p w14:paraId="60BE704D">
                  <w:pPr>
                    <w:pStyle w:val="41"/>
                    <w:bidi w:val="0"/>
                    <w:jc w:val="center"/>
                    <w:rPr>
                      <w:rFonts w:hint="default"/>
                      <w:color w:val="auto"/>
                      <w:highlight w:val="none"/>
                      <w:lang w:val="en-US" w:eastAsia="zh-CN"/>
                    </w:rPr>
                  </w:pPr>
                </w:p>
              </w:tc>
            </w:tr>
            <w:tr w14:paraId="74CF2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F5098B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15F0CBE">
                  <w:pPr>
                    <w:pStyle w:val="41"/>
                    <w:bidi w:val="0"/>
                    <w:jc w:val="center"/>
                    <w:rPr>
                      <w:rFonts w:hint="default"/>
                      <w:color w:val="auto"/>
                      <w:highlight w:val="none"/>
                      <w:lang w:val="en-US" w:eastAsia="zh-CN"/>
                    </w:rPr>
                  </w:pPr>
                  <w:r>
                    <w:rPr>
                      <w:rFonts w:hint="eastAsia"/>
                      <w:color w:val="auto"/>
                      <w:highlight w:val="none"/>
                    </w:rPr>
                    <w:t>高效液相色谱仪（</w:t>
                  </w:r>
                  <w:r>
                    <w:rPr>
                      <w:color w:val="auto"/>
                      <w:highlight w:val="none"/>
                    </w:rPr>
                    <w:t>HPLC</w:t>
                  </w:r>
                  <w:r>
                    <w:rPr>
                      <w:rFonts w:hint="eastAsia"/>
                      <w:color w:val="auto"/>
                      <w:highlight w:val="none"/>
                    </w:rPr>
                    <w:t>）</w:t>
                  </w:r>
                </w:p>
              </w:tc>
              <w:tc>
                <w:tcPr>
                  <w:tcW w:w="1330" w:type="pct"/>
                  <w:vAlign w:val="center"/>
                </w:tcPr>
                <w:p w14:paraId="64B80CDE">
                  <w:pPr>
                    <w:pStyle w:val="41"/>
                    <w:bidi w:val="0"/>
                    <w:jc w:val="center"/>
                    <w:rPr>
                      <w:rFonts w:hint="default"/>
                      <w:color w:val="auto"/>
                      <w:highlight w:val="none"/>
                      <w:lang w:val="en-US" w:eastAsia="zh-CN"/>
                    </w:rPr>
                  </w:pPr>
                  <w:r>
                    <w:rPr>
                      <w:color w:val="auto"/>
                      <w:highlight w:val="none"/>
                    </w:rPr>
                    <w:t>安捷伦</w:t>
                  </w:r>
                </w:p>
              </w:tc>
              <w:tc>
                <w:tcPr>
                  <w:tcW w:w="1145" w:type="pct"/>
                  <w:vAlign w:val="center"/>
                </w:tcPr>
                <w:p w14:paraId="6F663843">
                  <w:pPr>
                    <w:pStyle w:val="41"/>
                    <w:bidi w:val="0"/>
                    <w:jc w:val="center"/>
                    <w:rPr>
                      <w:rFonts w:hint="default"/>
                      <w:color w:val="auto"/>
                      <w:highlight w:val="none"/>
                      <w:lang w:val="en-US" w:eastAsia="zh-CN"/>
                    </w:rPr>
                  </w:pPr>
                  <w:r>
                    <w:rPr>
                      <w:rFonts w:hint="eastAsia"/>
                      <w:color w:val="auto"/>
                      <w:highlight w:val="none"/>
                    </w:rPr>
                    <w:t>1</w:t>
                  </w:r>
                </w:p>
              </w:tc>
              <w:tc>
                <w:tcPr>
                  <w:tcW w:w="812" w:type="pct"/>
                  <w:vMerge w:val="continue"/>
                  <w:vAlign w:val="center"/>
                </w:tcPr>
                <w:p w14:paraId="3C46F462">
                  <w:pPr>
                    <w:pStyle w:val="41"/>
                    <w:bidi w:val="0"/>
                    <w:jc w:val="center"/>
                    <w:rPr>
                      <w:rFonts w:hint="default"/>
                      <w:color w:val="auto"/>
                      <w:highlight w:val="none"/>
                      <w:lang w:val="en-US" w:eastAsia="zh-CN"/>
                    </w:rPr>
                  </w:pPr>
                </w:p>
              </w:tc>
            </w:tr>
            <w:tr w14:paraId="4B863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DF608A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121FAB6">
                  <w:pPr>
                    <w:pStyle w:val="41"/>
                    <w:bidi w:val="0"/>
                    <w:jc w:val="center"/>
                    <w:rPr>
                      <w:rFonts w:hint="default"/>
                      <w:color w:val="auto"/>
                      <w:highlight w:val="none"/>
                      <w:lang w:val="en-US" w:eastAsia="zh-CN"/>
                    </w:rPr>
                  </w:pPr>
                  <w:r>
                    <w:rPr>
                      <w:color w:val="auto"/>
                      <w:highlight w:val="none"/>
                    </w:rPr>
                    <w:t>荧光定量PCR</w:t>
                  </w:r>
                </w:p>
              </w:tc>
              <w:tc>
                <w:tcPr>
                  <w:tcW w:w="1330" w:type="pct"/>
                  <w:vAlign w:val="center"/>
                </w:tcPr>
                <w:p w14:paraId="18D0DF97">
                  <w:pPr>
                    <w:pStyle w:val="41"/>
                    <w:bidi w:val="0"/>
                    <w:jc w:val="center"/>
                    <w:rPr>
                      <w:rFonts w:hint="default"/>
                      <w:color w:val="auto"/>
                      <w:highlight w:val="none"/>
                      <w:lang w:val="en-US" w:eastAsia="zh-CN"/>
                    </w:rPr>
                  </w:pPr>
                  <w:r>
                    <w:rPr>
                      <w:color w:val="auto"/>
                      <w:highlight w:val="none"/>
                    </w:rPr>
                    <w:t>4363917</w:t>
                  </w:r>
                </w:p>
              </w:tc>
              <w:tc>
                <w:tcPr>
                  <w:tcW w:w="1145" w:type="pct"/>
                  <w:vAlign w:val="center"/>
                </w:tcPr>
                <w:p w14:paraId="5E6D4DF9">
                  <w:pPr>
                    <w:pStyle w:val="41"/>
                    <w:bidi w:val="0"/>
                    <w:jc w:val="center"/>
                    <w:rPr>
                      <w:rFonts w:hint="default"/>
                      <w:color w:val="auto"/>
                      <w:highlight w:val="none"/>
                      <w:lang w:val="en-US" w:eastAsia="zh-CN"/>
                    </w:rPr>
                  </w:pPr>
                  <w:r>
                    <w:rPr>
                      <w:rFonts w:hint="eastAsia"/>
                      <w:color w:val="auto"/>
                      <w:highlight w:val="none"/>
                    </w:rPr>
                    <w:t>1</w:t>
                  </w:r>
                </w:p>
              </w:tc>
              <w:tc>
                <w:tcPr>
                  <w:tcW w:w="812" w:type="pct"/>
                  <w:vMerge w:val="continue"/>
                  <w:vAlign w:val="center"/>
                </w:tcPr>
                <w:p w14:paraId="0CBA5A20">
                  <w:pPr>
                    <w:pStyle w:val="41"/>
                    <w:bidi w:val="0"/>
                    <w:jc w:val="center"/>
                    <w:rPr>
                      <w:rFonts w:hint="default"/>
                      <w:color w:val="auto"/>
                      <w:highlight w:val="none"/>
                      <w:lang w:val="en-US" w:eastAsia="zh-CN"/>
                    </w:rPr>
                  </w:pPr>
                </w:p>
              </w:tc>
            </w:tr>
            <w:tr w14:paraId="171C9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A8D8B0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5303C4C">
                  <w:pPr>
                    <w:pStyle w:val="41"/>
                    <w:bidi w:val="0"/>
                    <w:jc w:val="center"/>
                    <w:rPr>
                      <w:rFonts w:hint="default"/>
                      <w:color w:val="auto"/>
                      <w:highlight w:val="none"/>
                      <w:lang w:val="en-US" w:eastAsia="zh-CN"/>
                    </w:rPr>
                  </w:pPr>
                  <w:r>
                    <w:rPr>
                      <w:color w:val="auto"/>
                      <w:highlight w:val="none"/>
                    </w:rPr>
                    <w:t>酶标仪</w:t>
                  </w:r>
                </w:p>
              </w:tc>
              <w:tc>
                <w:tcPr>
                  <w:tcW w:w="1330" w:type="pct"/>
                  <w:vAlign w:val="center"/>
                </w:tcPr>
                <w:p w14:paraId="7473A5B1">
                  <w:pPr>
                    <w:pStyle w:val="41"/>
                    <w:bidi w:val="0"/>
                    <w:jc w:val="center"/>
                    <w:rPr>
                      <w:rFonts w:hint="default"/>
                      <w:color w:val="auto"/>
                      <w:highlight w:val="none"/>
                      <w:lang w:val="en-US" w:eastAsia="zh-CN"/>
                    </w:rPr>
                  </w:pPr>
                  <w:r>
                    <w:rPr>
                      <w:color w:val="auto"/>
                      <w:highlight w:val="none"/>
                    </w:rPr>
                    <w:t>Uultiskan FC</w:t>
                  </w:r>
                </w:p>
              </w:tc>
              <w:tc>
                <w:tcPr>
                  <w:tcW w:w="1145" w:type="pct"/>
                  <w:vAlign w:val="center"/>
                </w:tcPr>
                <w:p w14:paraId="54C1A625">
                  <w:pPr>
                    <w:pStyle w:val="41"/>
                    <w:bidi w:val="0"/>
                    <w:jc w:val="center"/>
                    <w:rPr>
                      <w:rFonts w:hint="default"/>
                      <w:color w:val="auto"/>
                      <w:highlight w:val="none"/>
                      <w:lang w:val="en-US" w:eastAsia="zh-CN"/>
                    </w:rPr>
                  </w:pPr>
                  <w:r>
                    <w:rPr>
                      <w:rFonts w:hint="eastAsia"/>
                      <w:color w:val="auto"/>
                      <w:highlight w:val="none"/>
                    </w:rPr>
                    <w:t>1</w:t>
                  </w:r>
                </w:p>
              </w:tc>
              <w:tc>
                <w:tcPr>
                  <w:tcW w:w="812" w:type="pct"/>
                  <w:vMerge w:val="continue"/>
                  <w:vAlign w:val="center"/>
                </w:tcPr>
                <w:p w14:paraId="6D8281FD">
                  <w:pPr>
                    <w:pStyle w:val="41"/>
                    <w:bidi w:val="0"/>
                    <w:jc w:val="center"/>
                    <w:rPr>
                      <w:rFonts w:hint="default"/>
                      <w:color w:val="auto"/>
                      <w:highlight w:val="none"/>
                      <w:lang w:val="en-US" w:eastAsia="zh-CN"/>
                    </w:rPr>
                  </w:pPr>
                </w:p>
              </w:tc>
            </w:tr>
            <w:tr w14:paraId="673F5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B98D9E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0959789">
                  <w:pPr>
                    <w:pStyle w:val="41"/>
                    <w:bidi w:val="0"/>
                    <w:jc w:val="center"/>
                    <w:rPr>
                      <w:rFonts w:hint="default"/>
                      <w:color w:val="auto"/>
                      <w:highlight w:val="none"/>
                      <w:lang w:val="en-US" w:eastAsia="zh-CN"/>
                    </w:rPr>
                  </w:pPr>
                  <w:r>
                    <w:rPr>
                      <w:color w:val="auto"/>
                      <w:highlight w:val="none"/>
                    </w:rPr>
                    <w:t>数控制冷多功能离心机</w:t>
                  </w:r>
                </w:p>
              </w:tc>
              <w:tc>
                <w:tcPr>
                  <w:tcW w:w="1330" w:type="pct"/>
                  <w:vAlign w:val="center"/>
                </w:tcPr>
                <w:p w14:paraId="62859FDD">
                  <w:pPr>
                    <w:pStyle w:val="41"/>
                    <w:bidi w:val="0"/>
                    <w:jc w:val="center"/>
                    <w:rPr>
                      <w:rFonts w:hint="default"/>
                      <w:color w:val="auto"/>
                      <w:highlight w:val="none"/>
                      <w:lang w:val="en-US" w:eastAsia="zh-CN"/>
                    </w:rPr>
                  </w:pPr>
                  <w:r>
                    <w:rPr>
                      <w:color w:val="auto"/>
                      <w:highlight w:val="none"/>
                    </w:rPr>
                    <w:t>ST40R</w:t>
                  </w:r>
                </w:p>
              </w:tc>
              <w:tc>
                <w:tcPr>
                  <w:tcW w:w="1145" w:type="pct"/>
                  <w:vAlign w:val="center"/>
                </w:tcPr>
                <w:p w14:paraId="540A84A0">
                  <w:pPr>
                    <w:pStyle w:val="41"/>
                    <w:bidi w:val="0"/>
                    <w:jc w:val="center"/>
                    <w:rPr>
                      <w:rFonts w:hint="default"/>
                      <w:color w:val="auto"/>
                      <w:highlight w:val="none"/>
                      <w:lang w:val="en-US" w:eastAsia="zh-CN"/>
                    </w:rPr>
                  </w:pPr>
                  <w:r>
                    <w:rPr>
                      <w:rFonts w:hint="eastAsia"/>
                      <w:color w:val="auto"/>
                      <w:highlight w:val="none"/>
                    </w:rPr>
                    <w:t>1</w:t>
                  </w:r>
                </w:p>
              </w:tc>
              <w:tc>
                <w:tcPr>
                  <w:tcW w:w="812" w:type="pct"/>
                  <w:vMerge w:val="continue"/>
                  <w:vAlign w:val="center"/>
                </w:tcPr>
                <w:p w14:paraId="01E8A604">
                  <w:pPr>
                    <w:pStyle w:val="41"/>
                    <w:bidi w:val="0"/>
                    <w:jc w:val="center"/>
                    <w:rPr>
                      <w:rFonts w:hint="default"/>
                      <w:color w:val="auto"/>
                      <w:highlight w:val="none"/>
                      <w:lang w:val="en-US" w:eastAsia="zh-CN"/>
                    </w:rPr>
                  </w:pPr>
                </w:p>
              </w:tc>
            </w:tr>
            <w:tr w14:paraId="289D4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D2663E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53B5983">
                  <w:pPr>
                    <w:pStyle w:val="41"/>
                    <w:bidi w:val="0"/>
                    <w:jc w:val="center"/>
                    <w:rPr>
                      <w:rFonts w:hint="default"/>
                      <w:color w:val="auto"/>
                      <w:highlight w:val="none"/>
                      <w:lang w:val="en-US" w:eastAsia="zh-CN"/>
                    </w:rPr>
                  </w:pPr>
                  <w:r>
                    <w:rPr>
                      <w:color w:val="auto"/>
                      <w:highlight w:val="none"/>
                    </w:rPr>
                    <w:t>蠕动泵</w:t>
                  </w:r>
                </w:p>
              </w:tc>
              <w:tc>
                <w:tcPr>
                  <w:tcW w:w="1330" w:type="pct"/>
                  <w:vAlign w:val="center"/>
                </w:tcPr>
                <w:p w14:paraId="6CAD4683">
                  <w:pPr>
                    <w:pStyle w:val="41"/>
                    <w:bidi w:val="0"/>
                    <w:jc w:val="center"/>
                    <w:rPr>
                      <w:rFonts w:hint="default"/>
                      <w:color w:val="auto"/>
                      <w:highlight w:val="none"/>
                      <w:lang w:val="en-US" w:eastAsia="zh-CN"/>
                    </w:rPr>
                  </w:pPr>
                  <w:r>
                    <w:rPr>
                      <w:color w:val="auto"/>
                      <w:highlight w:val="none"/>
                    </w:rPr>
                    <w:t>WT600Ga-YZ35</w:t>
                  </w:r>
                </w:p>
              </w:tc>
              <w:tc>
                <w:tcPr>
                  <w:tcW w:w="1145" w:type="pct"/>
                  <w:vAlign w:val="center"/>
                </w:tcPr>
                <w:p w14:paraId="1CA7EFA8">
                  <w:pPr>
                    <w:pStyle w:val="41"/>
                    <w:bidi w:val="0"/>
                    <w:jc w:val="center"/>
                    <w:rPr>
                      <w:rFonts w:hint="default"/>
                      <w:color w:val="auto"/>
                      <w:highlight w:val="none"/>
                      <w:lang w:val="en-US" w:eastAsia="zh-CN"/>
                    </w:rPr>
                  </w:pPr>
                  <w:r>
                    <w:rPr>
                      <w:rFonts w:hint="eastAsia"/>
                      <w:color w:val="auto"/>
                      <w:highlight w:val="none"/>
                    </w:rPr>
                    <w:t>3</w:t>
                  </w:r>
                </w:p>
              </w:tc>
              <w:tc>
                <w:tcPr>
                  <w:tcW w:w="812" w:type="pct"/>
                  <w:vMerge w:val="continue"/>
                  <w:vAlign w:val="center"/>
                </w:tcPr>
                <w:p w14:paraId="600C36A7">
                  <w:pPr>
                    <w:pStyle w:val="41"/>
                    <w:bidi w:val="0"/>
                    <w:jc w:val="center"/>
                    <w:rPr>
                      <w:rFonts w:hint="default"/>
                      <w:color w:val="auto"/>
                      <w:highlight w:val="none"/>
                      <w:lang w:val="en-US" w:eastAsia="zh-CN"/>
                    </w:rPr>
                  </w:pPr>
                </w:p>
              </w:tc>
            </w:tr>
            <w:tr w14:paraId="3EF74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808E34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F5225EE">
                  <w:pPr>
                    <w:pStyle w:val="41"/>
                    <w:bidi w:val="0"/>
                    <w:jc w:val="center"/>
                    <w:rPr>
                      <w:rFonts w:hint="default"/>
                      <w:color w:val="auto"/>
                      <w:highlight w:val="none"/>
                      <w:lang w:val="en-US" w:eastAsia="zh-CN"/>
                    </w:rPr>
                  </w:pPr>
                  <w:r>
                    <w:rPr>
                      <w:color w:val="auto"/>
                      <w:highlight w:val="none"/>
                    </w:rPr>
                    <w:t>水浴锅</w:t>
                  </w:r>
                </w:p>
              </w:tc>
              <w:tc>
                <w:tcPr>
                  <w:tcW w:w="1330" w:type="pct"/>
                  <w:vAlign w:val="center"/>
                </w:tcPr>
                <w:p w14:paraId="3A5F00AD">
                  <w:pPr>
                    <w:pStyle w:val="41"/>
                    <w:bidi w:val="0"/>
                    <w:jc w:val="center"/>
                    <w:rPr>
                      <w:rFonts w:hint="default"/>
                      <w:color w:val="auto"/>
                      <w:highlight w:val="none"/>
                      <w:lang w:val="en-US" w:eastAsia="zh-CN"/>
                    </w:rPr>
                  </w:pPr>
                  <w:r>
                    <w:rPr>
                      <w:color w:val="auto"/>
                      <w:highlight w:val="none"/>
                    </w:rPr>
                    <w:t>HH-2</w:t>
                  </w:r>
                </w:p>
              </w:tc>
              <w:tc>
                <w:tcPr>
                  <w:tcW w:w="1145" w:type="pct"/>
                  <w:vAlign w:val="center"/>
                </w:tcPr>
                <w:p w14:paraId="27BE31B9">
                  <w:pPr>
                    <w:pStyle w:val="41"/>
                    <w:bidi w:val="0"/>
                    <w:jc w:val="center"/>
                    <w:rPr>
                      <w:rFonts w:hint="default"/>
                      <w:color w:val="auto"/>
                      <w:highlight w:val="none"/>
                      <w:lang w:val="en-US" w:eastAsia="zh-CN"/>
                    </w:rPr>
                  </w:pPr>
                  <w:r>
                    <w:rPr>
                      <w:rFonts w:hint="eastAsia"/>
                      <w:color w:val="auto"/>
                      <w:highlight w:val="none"/>
                    </w:rPr>
                    <w:t>4</w:t>
                  </w:r>
                </w:p>
              </w:tc>
              <w:tc>
                <w:tcPr>
                  <w:tcW w:w="812" w:type="pct"/>
                  <w:vMerge w:val="continue"/>
                  <w:vAlign w:val="center"/>
                </w:tcPr>
                <w:p w14:paraId="45CA84DB">
                  <w:pPr>
                    <w:pStyle w:val="41"/>
                    <w:bidi w:val="0"/>
                    <w:jc w:val="center"/>
                    <w:rPr>
                      <w:rFonts w:hint="default"/>
                      <w:color w:val="auto"/>
                      <w:highlight w:val="none"/>
                      <w:lang w:val="en-US" w:eastAsia="zh-CN"/>
                    </w:rPr>
                  </w:pPr>
                </w:p>
              </w:tc>
            </w:tr>
            <w:tr w14:paraId="77886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859E62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1E38CF8">
                  <w:pPr>
                    <w:pStyle w:val="41"/>
                    <w:bidi w:val="0"/>
                    <w:jc w:val="center"/>
                    <w:rPr>
                      <w:rFonts w:hint="default"/>
                      <w:color w:val="auto"/>
                      <w:highlight w:val="none"/>
                      <w:lang w:val="en-US" w:eastAsia="zh-CN"/>
                    </w:rPr>
                  </w:pPr>
                  <w:r>
                    <w:rPr>
                      <w:color w:val="auto"/>
                      <w:highlight w:val="none"/>
                    </w:rPr>
                    <w:t>医用冷藏柜</w:t>
                  </w:r>
                </w:p>
              </w:tc>
              <w:tc>
                <w:tcPr>
                  <w:tcW w:w="1330" w:type="pct"/>
                  <w:vAlign w:val="center"/>
                </w:tcPr>
                <w:p w14:paraId="3A6D81F2">
                  <w:pPr>
                    <w:pStyle w:val="41"/>
                    <w:bidi w:val="0"/>
                    <w:jc w:val="center"/>
                    <w:rPr>
                      <w:rFonts w:hint="default"/>
                      <w:color w:val="auto"/>
                      <w:highlight w:val="none"/>
                      <w:lang w:val="en-US" w:eastAsia="zh-CN"/>
                    </w:rPr>
                  </w:pPr>
                  <w:r>
                    <w:rPr>
                      <w:color w:val="auto"/>
                      <w:highlight w:val="none"/>
                    </w:rPr>
                    <w:t>YC-968L</w:t>
                  </w:r>
                  <w:r>
                    <w:rPr>
                      <w:rFonts w:hint="eastAsia"/>
                      <w:color w:val="auto"/>
                      <w:highlight w:val="none"/>
                    </w:rPr>
                    <w:t xml:space="preserve"> </w:t>
                  </w:r>
                  <w:r>
                    <w:rPr>
                      <w:color w:val="auto"/>
                      <w:highlight w:val="none"/>
                    </w:rPr>
                    <w:t>1000L</w:t>
                  </w:r>
                </w:p>
              </w:tc>
              <w:tc>
                <w:tcPr>
                  <w:tcW w:w="1145" w:type="pct"/>
                  <w:vAlign w:val="center"/>
                </w:tcPr>
                <w:p w14:paraId="21CECE58">
                  <w:pPr>
                    <w:pStyle w:val="41"/>
                    <w:bidi w:val="0"/>
                    <w:jc w:val="center"/>
                    <w:rPr>
                      <w:rFonts w:hint="default"/>
                      <w:color w:val="auto"/>
                      <w:highlight w:val="none"/>
                      <w:lang w:val="en-US" w:eastAsia="zh-CN"/>
                    </w:rPr>
                  </w:pPr>
                  <w:r>
                    <w:rPr>
                      <w:rFonts w:hint="eastAsia"/>
                      <w:color w:val="auto"/>
                      <w:highlight w:val="none"/>
                    </w:rPr>
                    <w:t>3</w:t>
                  </w:r>
                </w:p>
              </w:tc>
              <w:tc>
                <w:tcPr>
                  <w:tcW w:w="812" w:type="pct"/>
                  <w:vMerge w:val="continue"/>
                  <w:vAlign w:val="center"/>
                </w:tcPr>
                <w:p w14:paraId="78498397">
                  <w:pPr>
                    <w:pStyle w:val="41"/>
                    <w:bidi w:val="0"/>
                    <w:jc w:val="center"/>
                    <w:rPr>
                      <w:rFonts w:hint="default"/>
                      <w:color w:val="auto"/>
                      <w:highlight w:val="none"/>
                      <w:lang w:val="en-US" w:eastAsia="zh-CN"/>
                    </w:rPr>
                  </w:pPr>
                </w:p>
              </w:tc>
            </w:tr>
            <w:tr w14:paraId="45EBA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FF8525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201D94B">
                  <w:pPr>
                    <w:pStyle w:val="41"/>
                    <w:bidi w:val="0"/>
                    <w:jc w:val="center"/>
                    <w:rPr>
                      <w:rFonts w:hint="default"/>
                      <w:color w:val="auto"/>
                      <w:highlight w:val="none"/>
                      <w:lang w:val="en-US" w:eastAsia="zh-CN"/>
                    </w:rPr>
                  </w:pPr>
                  <w:r>
                    <w:rPr>
                      <w:color w:val="auto"/>
                      <w:highlight w:val="none"/>
                    </w:rPr>
                    <w:t>显微镜</w:t>
                  </w:r>
                </w:p>
              </w:tc>
              <w:tc>
                <w:tcPr>
                  <w:tcW w:w="1330" w:type="pct"/>
                  <w:vAlign w:val="center"/>
                </w:tcPr>
                <w:p w14:paraId="719A57E6">
                  <w:pPr>
                    <w:pStyle w:val="41"/>
                    <w:bidi w:val="0"/>
                    <w:jc w:val="center"/>
                    <w:rPr>
                      <w:rFonts w:hint="default"/>
                      <w:color w:val="auto"/>
                      <w:highlight w:val="none"/>
                      <w:lang w:val="en-US" w:eastAsia="zh-CN"/>
                    </w:rPr>
                  </w:pPr>
                  <w:r>
                    <w:rPr>
                      <w:color w:val="auto"/>
                      <w:highlight w:val="none"/>
                    </w:rPr>
                    <w:t>XD202</w:t>
                  </w:r>
                </w:p>
              </w:tc>
              <w:tc>
                <w:tcPr>
                  <w:tcW w:w="1145" w:type="pct"/>
                  <w:vAlign w:val="center"/>
                </w:tcPr>
                <w:p w14:paraId="0649683F">
                  <w:pPr>
                    <w:pStyle w:val="41"/>
                    <w:bidi w:val="0"/>
                    <w:jc w:val="center"/>
                    <w:rPr>
                      <w:rFonts w:hint="default"/>
                      <w:color w:val="auto"/>
                      <w:highlight w:val="none"/>
                      <w:lang w:val="en-US" w:eastAsia="zh-CN"/>
                    </w:rPr>
                  </w:pPr>
                  <w:r>
                    <w:rPr>
                      <w:rFonts w:hint="eastAsia"/>
                      <w:color w:val="auto"/>
                      <w:highlight w:val="none"/>
                    </w:rPr>
                    <w:t>3</w:t>
                  </w:r>
                </w:p>
              </w:tc>
              <w:tc>
                <w:tcPr>
                  <w:tcW w:w="812" w:type="pct"/>
                  <w:vMerge w:val="continue"/>
                  <w:vAlign w:val="center"/>
                </w:tcPr>
                <w:p w14:paraId="1ECA9038">
                  <w:pPr>
                    <w:pStyle w:val="41"/>
                    <w:bidi w:val="0"/>
                    <w:jc w:val="center"/>
                    <w:rPr>
                      <w:rFonts w:hint="default"/>
                      <w:color w:val="auto"/>
                      <w:highlight w:val="none"/>
                      <w:lang w:val="en-US" w:eastAsia="zh-CN"/>
                    </w:rPr>
                  </w:pPr>
                </w:p>
              </w:tc>
            </w:tr>
            <w:tr w14:paraId="40957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8A7CBC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0D80C16">
                  <w:pPr>
                    <w:pStyle w:val="41"/>
                    <w:bidi w:val="0"/>
                    <w:jc w:val="center"/>
                    <w:rPr>
                      <w:rFonts w:hint="default"/>
                      <w:color w:val="auto"/>
                      <w:highlight w:val="none"/>
                      <w:lang w:val="en-US" w:eastAsia="zh-CN"/>
                    </w:rPr>
                  </w:pPr>
                  <w:r>
                    <w:rPr>
                      <w:color w:val="auto"/>
                      <w:highlight w:val="none"/>
                    </w:rPr>
                    <w:t>荧光显微镜</w:t>
                  </w:r>
                </w:p>
              </w:tc>
              <w:tc>
                <w:tcPr>
                  <w:tcW w:w="1330" w:type="pct"/>
                  <w:vAlign w:val="center"/>
                </w:tcPr>
                <w:p w14:paraId="68671729">
                  <w:pPr>
                    <w:pStyle w:val="41"/>
                    <w:bidi w:val="0"/>
                    <w:jc w:val="center"/>
                    <w:rPr>
                      <w:rFonts w:hint="default"/>
                      <w:color w:val="auto"/>
                      <w:highlight w:val="none"/>
                      <w:lang w:val="en-US" w:eastAsia="zh-CN"/>
                    </w:rPr>
                  </w:pPr>
                  <w:r>
                    <w:rPr>
                      <w:color w:val="auto"/>
                      <w:highlight w:val="none"/>
                    </w:rPr>
                    <w:t>正置荧光</w:t>
                  </w:r>
                </w:p>
              </w:tc>
              <w:tc>
                <w:tcPr>
                  <w:tcW w:w="1145" w:type="pct"/>
                  <w:vAlign w:val="center"/>
                </w:tcPr>
                <w:p w14:paraId="56CFD4B0">
                  <w:pPr>
                    <w:pStyle w:val="41"/>
                    <w:bidi w:val="0"/>
                    <w:jc w:val="center"/>
                    <w:rPr>
                      <w:rFonts w:hint="default"/>
                      <w:color w:val="auto"/>
                      <w:highlight w:val="none"/>
                      <w:lang w:val="en-US" w:eastAsia="zh-CN"/>
                    </w:rPr>
                  </w:pPr>
                  <w:r>
                    <w:rPr>
                      <w:rFonts w:hint="eastAsia"/>
                      <w:color w:val="auto"/>
                      <w:highlight w:val="none"/>
                    </w:rPr>
                    <w:t>1</w:t>
                  </w:r>
                </w:p>
              </w:tc>
              <w:tc>
                <w:tcPr>
                  <w:tcW w:w="812" w:type="pct"/>
                  <w:vMerge w:val="continue"/>
                  <w:vAlign w:val="center"/>
                </w:tcPr>
                <w:p w14:paraId="53B85D66">
                  <w:pPr>
                    <w:pStyle w:val="41"/>
                    <w:bidi w:val="0"/>
                    <w:jc w:val="center"/>
                    <w:rPr>
                      <w:rFonts w:hint="default"/>
                      <w:color w:val="auto"/>
                      <w:highlight w:val="none"/>
                      <w:lang w:val="en-US" w:eastAsia="zh-CN"/>
                    </w:rPr>
                  </w:pPr>
                </w:p>
              </w:tc>
            </w:tr>
            <w:tr w14:paraId="13681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4DBBA9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696C083">
                  <w:pPr>
                    <w:pStyle w:val="41"/>
                    <w:bidi w:val="0"/>
                    <w:jc w:val="center"/>
                    <w:rPr>
                      <w:rFonts w:hint="default"/>
                      <w:color w:val="auto"/>
                      <w:highlight w:val="none"/>
                      <w:lang w:val="en-US" w:eastAsia="zh-CN"/>
                    </w:rPr>
                  </w:pPr>
                  <w:r>
                    <w:rPr>
                      <w:color w:val="auto"/>
                      <w:highlight w:val="none"/>
                    </w:rPr>
                    <w:t>倒置显微镜</w:t>
                  </w:r>
                </w:p>
              </w:tc>
              <w:tc>
                <w:tcPr>
                  <w:tcW w:w="1330" w:type="pct"/>
                  <w:vAlign w:val="center"/>
                </w:tcPr>
                <w:p w14:paraId="6165FADA">
                  <w:pPr>
                    <w:pStyle w:val="41"/>
                    <w:bidi w:val="0"/>
                    <w:jc w:val="center"/>
                    <w:rPr>
                      <w:rFonts w:hint="default"/>
                      <w:color w:val="auto"/>
                      <w:highlight w:val="none"/>
                      <w:lang w:val="en-US" w:eastAsia="zh-CN"/>
                    </w:rPr>
                  </w:pPr>
                  <w:r>
                    <w:rPr>
                      <w:color w:val="auto"/>
                      <w:highlight w:val="none"/>
                    </w:rPr>
                    <w:t>TS100-F</w:t>
                  </w:r>
                </w:p>
              </w:tc>
              <w:tc>
                <w:tcPr>
                  <w:tcW w:w="1145" w:type="pct"/>
                  <w:vAlign w:val="center"/>
                </w:tcPr>
                <w:p w14:paraId="40258C80">
                  <w:pPr>
                    <w:pStyle w:val="41"/>
                    <w:bidi w:val="0"/>
                    <w:jc w:val="center"/>
                    <w:rPr>
                      <w:rFonts w:hint="default"/>
                      <w:color w:val="auto"/>
                      <w:highlight w:val="none"/>
                      <w:lang w:val="en-US" w:eastAsia="zh-CN"/>
                    </w:rPr>
                  </w:pPr>
                  <w:r>
                    <w:rPr>
                      <w:rFonts w:hint="eastAsia"/>
                      <w:color w:val="auto"/>
                      <w:highlight w:val="none"/>
                    </w:rPr>
                    <w:t>1</w:t>
                  </w:r>
                </w:p>
              </w:tc>
              <w:tc>
                <w:tcPr>
                  <w:tcW w:w="812" w:type="pct"/>
                  <w:vMerge w:val="continue"/>
                  <w:vAlign w:val="center"/>
                </w:tcPr>
                <w:p w14:paraId="32199CF9">
                  <w:pPr>
                    <w:pStyle w:val="41"/>
                    <w:bidi w:val="0"/>
                    <w:jc w:val="center"/>
                    <w:rPr>
                      <w:rFonts w:hint="default"/>
                      <w:color w:val="auto"/>
                      <w:highlight w:val="none"/>
                      <w:lang w:val="en-US" w:eastAsia="zh-CN"/>
                    </w:rPr>
                  </w:pPr>
                </w:p>
              </w:tc>
            </w:tr>
            <w:tr w14:paraId="7307B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18D49E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EFF2625">
                  <w:pPr>
                    <w:pStyle w:val="41"/>
                    <w:bidi w:val="0"/>
                    <w:jc w:val="center"/>
                    <w:rPr>
                      <w:rFonts w:hint="default"/>
                      <w:color w:val="auto"/>
                      <w:highlight w:val="none"/>
                      <w:lang w:val="en-US" w:eastAsia="zh-CN"/>
                    </w:rPr>
                  </w:pPr>
                  <w:r>
                    <w:rPr>
                      <w:color w:val="auto"/>
                      <w:highlight w:val="none"/>
                    </w:rPr>
                    <w:t>超声破碎仪</w:t>
                  </w:r>
                </w:p>
              </w:tc>
              <w:tc>
                <w:tcPr>
                  <w:tcW w:w="1330" w:type="pct"/>
                  <w:vAlign w:val="center"/>
                </w:tcPr>
                <w:p w14:paraId="52809260">
                  <w:pPr>
                    <w:pStyle w:val="41"/>
                    <w:bidi w:val="0"/>
                    <w:jc w:val="center"/>
                    <w:rPr>
                      <w:rFonts w:hint="default"/>
                      <w:color w:val="auto"/>
                      <w:highlight w:val="none"/>
                      <w:lang w:val="en-US" w:eastAsia="zh-CN"/>
                    </w:rPr>
                  </w:pPr>
                  <w:r>
                    <w:rPr>
                      <w:color w:val="auto"/>
                      <w:highlight w:val="none"/>
                    </w:rPr>
                    <w:t>Q700</w:t>
                  </w:r>
                </w:p>
              </w:tc>
              <w:tc>
                <w:tcPr>
                  <w:tcW w:w="1145" w:type="pct"/>
                  <w:vAlign w:val="center"/>
                </w:tcPr>
                <w:p w14:paraId="3F5B0FEE">
                  <w:pPr>
                    <w:pStyle w:val="41"/>
                    <w:bidi w:val="0"/>
                    <w:jc w:val="center"/>
                    <w:rPr>
                      <w:rFonts w:hint="default"/>
                      <w:color w:val="auto"/>
                      <w:highlight w:val="none"/>
                      <w:lang w:val="en-US" w:eastAsia="zh-CN"/>
                    </w:rPr>
                  </w:pPr>
                  <w:r>
                    <w:rPr>
                      <w:rFonts w:hint="eastAsia"/>
                      <w:color w:val="auto"/>
                      <w:highlight w:val="none"/>
                    </w:rPr>
                    <w:t>1</w:t>
                  </w:r>
                </w:p>
              </w:tc>
              <w:tc>
                <w:tcPr>
                  <w:tcW w:w="812" w:type="pct"/>
                  <w:vMerge w:val="continue"/>
                  <w:vAlign w:val="center"/>
                </w:tcPr>
                <w:p w14:paraId="649E2509">
                  <w:pPr>
                    <w:pStyle w:val="41"/>
                    <w:bidi w:val="0"/>
                    <w:jc w:val="center"/>
                    <w:rPr>
                      <w:rFonts w:hint="default"/>
                      <w:color w:val="auto"/>
                      <w:highlight w:val="none"/>
                      <w:lang w:val="en-US" w:eastAsia="zh-CN"/>
                    </w:rPr>
                  </w:pPr>
                </w:p>
              </w:tc>
            </w:tr>
            <w:tr w14:paraId="30A62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A2F24C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1C55CE6">
                  <w:pPr>
                    <w:pStyle w:val="41"/>
                    <w:bidi w:val="0"/>
                    <w:jc w:val="center"/>
                    <w:rPr>
                      <w:rFonts w:hint="default"/>
                      <w:color w:val="auto"/>
                      <w:highlight w:val="none"/>
                      <w:lang w:val="en-US" w:eastAsia="zh-CN"/>
                    </w:rPr>
                  </w:pPr>
                  <w:r>
                    <w:rPr>
                      <w:color w:val="auto"/>
                      <w:highlight w:val="none"/>
                    </w:rPr>
                    <w:t>细胞计数仪</w:t>
                  </w:r>
                </w:p>
              </w:tc>
              <w:tc>
                <w:tcPr>
                  <w:tcW w:w="1330" w:type="pct"/>
                  <w:vAlign w:val="center"/>
                </w:tcPr>
                <w:p w14:paraId="3027FC54">
                  <w:pPr>
                    <w:pStyle w:val="41"/>
                    <w:bidi w:val="0"/>
                    <w:jc w:val="center"/>
                    <w:rPr>
                      <w:rFonts w:hint="default"/>
                      <w:color w:val="auto"/>
                      <w:highlight w:val="none"/>
                      <w:lang w:val="en-US" w:eastAsia="zh-CN"/>
                    </w:rPr>
                  </w:pPr>
                  <w:r>
                    <w:rPr>
                      <w:color w:val="auto"/>
                      <w:highlight w:val="none"/>
                    </w:rPr>
                    <w:t>IC1000</w:t>
                  </w:r>
                </w:p>
              </w:tc>
              <w:tc>
                <w:tcPr>
                  <w:tcW w:w="1145" w:type="pct"/>
                  <w:vAlign w:val="center"/>
                </w:tcPr>
                <w:p w14:paraId="59A5C198">
                  <w:pPr>
                    <w:pStyle w:val="41"/>
                    <w:bidi w:val="0"/>
                    <w:jc w:val="center"/>
                    <w:rPr>
                      <w:rFonts w:hint="default"/>
                      <w:color w:val="auto"/>
                      <w:highlight w:val="none"/>
                      <w:lang w:val="en-US" w:eastAsia="zh-CN"/>
                    </w:rPr>
                  </w:pPr>
                  <w:r>
                    <w:rPr>
                      <w:rFonts w:hint="eastAsia"/>
                      <w:color w:val="auto"/>
                      <w:highlight w:val="none"/>
                    </w:rPr>
                    <w:t>3</w:t>
                  </w:r>
                </w:p>
              </w:tc>
              <w:tc>
                <w:tcPr>
                  <w:tcW w:w="812" w:type="pct"/>
                  <w:vMerge w:val="continue"/>
                  <w:vAlign w:val="center"/>
                </w:tcPr>
                <w:p w14:paraId="17C9D58B">
                  <w:pPr>
                    <w:pStyle w:val="41"/>
                    <w:bidi w:val="0"/>
                    <w:jc w:val="center"/>
                    <w:rPr>
                      <w:rFonts w:hint="default"/>
                      <w:color w:val="auto"/>
                      <w:highlight w:val="none"/>
                      <w:lang w:val="en-US" w:eastAsia="zh-CN"/>
                    </w:rPr>
                  </w:pPr>
                </w:p>
              </w:tc>
            </w:tr>
            <w:tr w14:paraId="5AFC3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DFB863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4ABC523">
                  <w:pPr>
                    <w:pStyle w:val="41"/>
                    <w:bidi w:val="0"/>
                    <w:jc w:val="center"/>
                    <w:rPr>
                      <w:rFonts w:hint="default"/>
                      <w:color w:val="auto"/>
                      <w:highlight w:val="none"/>
                      <w:lang w:val="en-US" w:eastAsia="zh-CN"/>
                    </w:rPr>
                  </w:pPr>
                  <w:r>
                    <w:rPr>
                      <w:color w:val="auto"/>
                      <w:highlight w:val="none"/>
                    </w:rPr>
                    <w:t>灭菌器</w:t>
                  </w:r>
                </w:p>
              </w:tc>
              <w:tc>
                <w:tcPr>
                  <w:tcW w:w="1330" w:type="pct"/>
                  <w:vAlign w:val="center"/>
                </w:tcPr>
                <w:p w14:paraId="5986515D">
                  <w:pPr>
                    <w:pStyle w:val="41"/>
                    <w:bidi w:val="0"/>
                    <w:jc w:val="center"/>
                    <w:rPr>
                      <w:rFonts w:hint="default"/>
                      <w:color w:val="auto"/>
                      <w:highlight w:val="none"/>
                      <w:lang w:val="en-US" w:eastAsia="zh-CN"/>
                    </w:rPr>
                  </w:pPr>
                  <w:r>
                    <w:rPr>
                      <w:color w:val="auto"/>
                      <w:highlight w:val="none"/>
                    </w:rPr>
                    <w:t>SGLBE-EE1D 650L双摩</w:t>
                  </w:r>
                </w:p>
              </w:tc>
              <w:tc>
                <w:tcPr>
                  <w:tcW w:w="1145" w:type="pct"/>
                  <w:vAlign w:val="center"/>
                </w:tcPr>
                <w:p w14:paraId="762A9EAF">
                  <w:pPr>
                    <w:pStyle w:val="41"/>
                    <w:bidi w:val="0"/>
                    <w:jc w:val="center"/>
                    <w:rPr>
                      <w:rFonts w:hint="default"/>
                      <w:color w:val="auto"/>
                      <w:highlight w:val="none"/>
                      <w:lang w:val="en-US" w:eastAsia="zh-CN"/>
                    </w:rPr>
                  </w:pPr>
                  <w:r>
                    <w:rPr>
                      <w:rFonts w:hint="eastAsia"/>
                      <w:color w:val="auto"/>
                      <w:highlight w:val="none"/>
                    </w:rPr>
                    <w:t>3</w:t>
                  </w:r>
                </w:p>
              </w:tc>
              <w:tc>
                <w:tcPr>
                  <w:tcW w:w="812" w:type="pct"/>
                  <w:vMerge w:val="continue"/>
                  <w:vAlign w:val="center"/>
                </w:tcPr>
                <w:p w14:paraId="47EC37E3">
                  <w:pPr>
                    <w:pStyle w:val="41"/>
                    <w:bidi w:val="0"/>
                    <w:jc w:val="center"/>
                    <w:rPr>
                      <w:rFonts w:hint="default"/>
                      <w:color w:val="auto"/>
                      <w:highlight w:val="none"/>
                      <w:lang w:val="en-US" w:eastAsia="zh-CN"/>
                    </w:rPr>
                  </w:pPr>
                </w:p>
              </w:tc>
            </w:tr>
            <w:tr w14:paraId="0D2E2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9B7111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8571874">
                  <w:pPr>
                    <w:pStyle w:val="41"/>
                    <w:bidi w:val="0"/>
                    <w:jc w:val="center"/>
                    <w:rPr>
                      <w:rFonts w:hint="default"/>
                      <w:color w:val="auto"/>
                      <w:highlight w:val="none"/>
                      <w:lang w:val="en-US" w:eastAsia="zh-CN"/>
                    </w:rPr>
                  </w:pPr>
                  <w:r>
                    <w:rPr>
                      <w:color w:val="auto"/>
                      <w:highlight w:val="none"/>
                    </w:rPr>
                    <w:t>灭菌器</w:t>
                  </w:r>
                </w:p>
              </w:tc>
              <w:tc>
                <w:tcPr>
                  <w:tcW w:w="1330" w:type="pct"/>
                  <w:vAlign w:val="center"/>
                </w:tcPr>
                <w:p w14:paraId="01D93765">
                  <w:pPr>
                    <w:pStyle w:val="41"/>
                    <w:bidi w:val="0"/>
                    <w:jc w:val="center"/>
                    <w:rPr>
                      <w:rFonts w:hint="default"/>
                      <w:color w:val="auto"/>
                      <w:highlight w:val="none"/>
                      <w:lang w:val="en-US" w:eastAsia="zh-CN"/>
                    </w:rPr>
                  </w:pPr>
                  <w:r>
                    <w:rPr>
                      <w:color w:val="auto"/>
                      <w:highlight w:val="none"/>
                    </w:rPr>
                    <w:t>XG1.GMX-0.36</w:t>
                  </w:r>
                </w:p>
              </w:tc>
              <w:tc>
                <w:tcPr>
                  <w:tcW w:w="1145" w:type="pct"/>
                  <w:vAlign w:val="center"/>
                </w:tcPr>
                <w:p w14:paraId="703F9AE0">
                  <w:pPr>
                    <w:pStyle w:val="41"/>
                    <w:bidi w:val="0"/>
                    <w:jc w:val="center"/>
                    <w:rPr>
                      <w:rFonts w:hint="default"/>
                      <w:color w:val="auto"/>
                      <w:highlight w:val="none"/>
                      <w:lang w:val="en-US" w:eastAsia="zh-CN"/>
                    </w:rPr>
                  </w:pPr>
                  <w:r>
                    <w:rPr>
                      <w:rFonts w:hint="eastAsia"/>
                      <w:color w:val="auto"/>
                      <w:highlight w:val="none"/>
                    </w:rPr>
                    <w:t>1</w:t>
                  </w:r>
                </w:p>
              </w:tc>
              <w:tc>
                <w:tcPr>
                  <w:tcW w:w="812" w:type="pct"/>
                  <w:vMerge w:val="continue"/>
                  <w:vAlign w:val="center"/>
                </w:tcPr>
                <w:p w14:paraId="49BC05BF">
                  <w:pPr>
                    <w:pStyle w:val="41"/>
                    <w:bidi w:val="0"/>
                    <w:jc w:val="center"/>
                    <w:rPr>
                      <w:rFonts w:hint="default"/>
                      <w:color w:val="auto"/>
                      <w:highlight w:val="none"/>
                      <w:lang w:val="en-US" w:eastAsia="zh-CN"/>
                    </w:rPr>
                  </w:pPr>
                </w:p>
              </w:tc>
            </w:tr>
            <w:tr w14:paraId="0336E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E5863C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AE27733">
                  <w:pPr>
                    <w:pStyle w:val="41"/>
                    <w:bidi w:val="0"/>
                    <w:jc w:val="center"/>
                    <w:rPr>
                      <w:rFonts w:hint="default"/>
                      <w:color w:val="auto"/>
                      <w:highlight w:val="none"/>
                      <w:lang w:val="en-US" w:eastAsia="zh-CN"/>
                    </w:rPr>
                  </w:pPr>
                  <w:r>
                    <w:rPr>
                      <w:rFonts w:hint="eastAsia"/>
                      <w:color w:val="auto"/>
                      <w:highlight w:val="none"/>
                    </w:rPr>
                    <w:t>洗眼器</w:t>
                  </w:r>
                </w:p>
              </w:tc>
              <w:tc>
                <w:tcPr>
                  <w:tcW w:w="1330" w:type="pct"/>
                  <w:vAlign w:val="center"/>
                </w:tcPr>
                <w:p w14:paraId="33492D68">
                  <w:pPr>
                    <w:pStyle w:val="41"/>
                    <w:bidi w:val="0"/>
                    <w:jc w:val="center"/>
                    <w:rPr>
                      <w:rFonts w:hint="default"/>
                      <w:color w:val="auto"/>
                      <w:highlight w:val="none"/>
                      <w:lang w:val="en-US" w:eastAsia="zh-CN"/>
                    </w:rPr>
                  </w:pPr>
                  <w:r>
                    <w:rPr>
                      <w:rFonts w:hint="eastAsia"/>
                      <w:color w:val="auto"/>
                      <w:highlight w:val="none"/>
                    </w:rPr>
                    <w:t>/</w:t>
                  </w:r>
                </w:p>
              </w:tc>
              <w:tc>
                <w:tcPr>
                  <w:tcW w:w="1145" w:type="pct"/>
                  <w:vAlign w:val="center"/>
                </w:tcPr>
                <w:p w14:paraId="3D88E10D">
                  <w:pPr>
                    <w:pStyle w:val="41"/>
                    <w:bidi w:val="0"/>
                    <w:jc w:val="center"/>
                    <w:rPr>
                      <w:rFonts w:hint="default"/>
                      <w:color w:val="auto"/>
                      <w:highlight w:val="none"/>
                      <w:lang w:val="en-US" w:eastAsia="zh-CN"/>
                    </w:rPr>
                  </w:pPr>
                  <w:r>
                    <w:rPr>
                      <w:rFonts w:hint="eastAsia"/>
                      <w:color w:val="auto"/>
                      <w:highlight w:val="none"/>
                    </w:rPr>
                    <w:t>2</w:t>
                  </w:r>
                </w:p>
              </w:tc>
              <w:tc>
                <w:tcPr>
                  <w:tcW w:w="812" w:type="pct"/>
                  <w:vMerge w:val="continue"/>
                  <w:vAlign w:val="center"/>
                </w:tcPr>
                <w:p w14:paraId="7160F99D">
                  <w:pPr>
                    <w:pStyle w:val="41"/>
                    <w:bidi w:val="0"/>
                    <w:jc w:val="center"/>
                    <w:rPr>
                      <w:rFonts w:hint="default"/>
                      <w:color w:val="auto"/>
                      <w:highlight w:val="none"/>
                      <w:lang w:val="en-US" w:eastAsia="zh-CN"/>
                    </w:rPr>
                  </w:pPr>
                </w:p>
              </w:tc>
            </w:tr>
            <w:tr w14:paraId="03218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96AE62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652426B">
                  <w:pPr>
                    <w:pStyle w:val="41"/>
                    <w:bidi w:val="0"/>
                    <w:jc w:val="center"/>
                    <w:rPr>
                      <w:rFonts w:hint="default"/>
                      <w:color w:val="auto"/>
                      <w:highlight w:val="none"/>
                      <w:lang w:val="en-US" w:eastAsia="zh-CN"/>
                    </w:rPr>
                  </w:pPr>
                  <w:r>
                    <w:rPr>
                      <w:color w:val="auto"/>
                      <w:highlight w:val="none"/>
                    </w:rPr>
                    <w:t>纯水仪</w:t>
                  </w:r>
                </w:p>
              </w:tc>
              <w:tc>
                <w:tcPr>
                  <w:tcW w:w="1330" w:type="pct"/>
                  <w:vAlign w:val="center"/>
                </w:tcPr>
                <w:p w14:paraId="634EBCFF">
                  <w:pPr>
                    <w:pStyle w:val="41"/>
                    <w:bidi w:val="0"/>
                    <w:jc w:val="center"/>
                    <w:rPr>
                      <w:rFonts w:hint="default"/>
                      <w:color w:val="auto"/>
                      <w:highlight w:val="none"/>
                      <w:lang w:val="en-US" w:eastAsia="zh-CN"/>
                    </w:rPr>
                  </w:pPr>
                  <w:r>
                    <w:rPr>
                      <w:color w:val="auto"/>
                      <w:highlight w:val="none"/>
                    </w:rPr>
                    <w:t>E5+A10</w:t>
                  </w:r>
                </w:p>
              </w:tc>
              <w:tc>
                <w:tcPr>
                  <w:tcW w:w="1145" w:type="pct"/>
                  <w:vAlign w:val="center"/>
                </w:tcPr>
                <w:p w14:paraId="0279B083">
                  <w:pPr>
                    <w:pStyle w:val="41"/>
                    <w:bidi w:val="0"/>
                    <w:jc w:val="center"/>
                    <w:rPr>
                      <w:rFonts w:hint="default"/>
                      <w:color w:val="auto"/>
                      <w:highlight w:val="none"/>
                      <w:lang w:val="en-US" w:eastAsia="zh-CN"/>
                    </w:rPr>
                  </w:pPr>
                  <w:r>
                    <w:rPr>
                      <w:rFonts w:hint="eastAsia"/>
                      <w:color w:val="auto"/>
                      <w:highlight w:val="none"/>
                    </w:rPr>
                    <w:t>2</w:t>
                  </w:r>
                </w:p>
              </w:tc>
              <w:tc>
                <w:tcPr>
                  <w:tcW w:w="812" w:type="pct"/>
                  <w:vMerge w:val="continue"/>
                  <w:vAlign w:val="center"/>
                </w:tcPr>
                <w:p w14:paraId="143C7C85">
                  <w:pPr>
                    <w:pStyle w:val="41"/>
                    <w:bidi w:val="0"/>
                    <w:jc w:val="center"/>
                    <w:rPr>
                      <w:rFonts w:hint="default"/>
                      <w:color w:val="auto"/>
                      <w:highlight w:val="none"/>
                      <w:lang w:val="en-US" w:eastAsia="zh-CN"/>
                    </w:rPr>
                  </w:pPr>
                </w:p>
              </w:tc>
            </w:tr>
            <w:tr w14:paraId="15DA1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BC3972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8483BF5">
                  <w:pPr>
                    <w:pStyle w:val="41"/>
                    <w:bidi w:val="0"/>
                    <w:jc w:val="center"/>
                    <w:rPr>
                      <w:rFonts w:hint="default"/>
                      <w:color w:val="auto"/>
                      <w:highlight w:val="none"/>
                      <w:lang w:val="en-US" w:eastAsia="zh-CN"/>
                    </w:rPr>
                  </w:pPr>
                  <w:r>
                    <w:rPr>
                      <w:color w:val="auto"/>
                      <w:highlight w:val="none"/>
                    </w:rPr>
                    <w:t>控温摇床</w:t>
                  </w:r>
                </w:p>
              </w:tc>
              <w:tc>
                <w:tcPr>
                  <w:tcW w:w="1330" w:type="pct"/>
                  <w:vAlign w:val="center"/>
                </w:tcPr>
                <w:p w14:paraId="54FFE33D">
                  <w:pPr>
                    <w:pStyle w:val="41"/>
                    <w:bidi w:val="0"/>
                    <w:jc w:val="center"/>
                    <w:rPr>
                      <w:rFonts w:hint="default"/>
                      <w:color w:val="auto"/>
                      <w:highlight w:val="none"/>
                      <w:lang w:val="en-US" w:eastAsia="zh-CN"/>
                    </w:rPr>
                  </w:pPr>
                  <w:r>
                    <w:rPr>
                      <w:color w:val="auto"/>
                      <w:highlight w:val="none"/>
                    </w:rPr>
                    <w:t>NEW BRUNSWICK S41I</w:t>
                  </w:r>
                </w:p>
              </w:tc>
              <w:tc>
                <w:tcPr>
                  <w:tcW w:w="1145" w:type="pct"/>
                  <w:vAlign w:val="center"/>
                </w:tcPr>
                <w:p w14:paraId="20ECBA17">
                  <w:pPr>
                    <w:pStyle w:val="41"/>
                    <w:bidi w:val="0"/>
                    <w:jc w:val="center"/>
                    <w:rPr>
                      <w:rFonts w:hint="default"/>
                      <w:color w:val="auto"/>
                      <w:highlight w:val="none"/>
                      <w:lang w:val="en-US" w:eastAsia="zh-CN"/>
                    </w:rPr>
                  </w:pPr>
                  <w:r>
                    <w:rPr>
                      <w:rFonts w:hint="eastAsia"/>
                      <w:color w:val="auto"/>
                      <w:highlight w:val="none"/>
                    </w:rPr>
                    <w:t>2</w:t>
                  </w:r>
                </w:p>
              </w:tc>
              <w:tc>
                <w:tcPr>
                  <w:tcW w:w="812" w:type="pct"/>
                  <w:vMerge w:val="continue"/>
                  <w:vAlign w:val="center"/>
                </w:tcPr>
                <w:p w14:paraId="18B34A1C">
                  <w:pPr>
                    <w:pStyle w:val="41"/>
                    <w:bidi w:val="0"/>
                    <w:jc w:val="center"/>
                    <w:rPr>
                      <w:rFonts w:hint="default"/>
                      <w:color w:val="auto"/>
                      <w:highlight w:val="none"/>
                      <w:lang w:val="en-US" w:eastAsia="zh-CN"/>
                    </w:rPr>
                  </w:pPr>
                </w:p>
              </w:tc>
            </w:tr>
            <w:tr w14:paraId="3AF4F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CC922E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97BA615">
                  <w:pPr>
                    <w:pStyle w:val="41"/>
                    <w:bidi w:val="0"/>
                    <w:jc w:val="center"/>
                    <w:rPr>
                      <w:rFonts w:hint="default"/>
                      <w:color w:val="auto"/>
                      <w:highlight w:val="none"/>
                      <w:lang w:val="en-US" w:eastAsia="zh-CN"/>
                    </w:rPr>
                  </w:pPr>
                  <w:r>
                    <w:rPr>
                      <w:color w:val="auto"/>
                      <w:highlight w:val="none"/>
                    </w:rPr>
                    <w:t>液氮罐</w:t>
                  </w:r>
                </w:p>
              </w:tc>
              <w:tc>
                <w:tcPr>
                  <w:tcW w:w="1330" w:type="pct"/>
                  <w:vAlign w:val="center"/>
                </w:tcPr>
                <w:p w14:paraId="70CEC86A">
                  <w:pPr>
                    <w:pStyle w:val="41"/>
                    <w:bidi w:val="0"/>
                    <w:jc w:val="center"/>
                    <w:rPr>
                      <w:rFonts w:hint="default"/>
                      <w:color w:val="auto"/>
                      <w:highlight w:val="none"/>
                      <w:lang w:val="en-US" w:eastAsia="zh-CN"/>
                    </w:rPr>
                  </w:pPr>
                  <w:r>
                    <w:rPr>
                      <w:color w:val="auto"/>
                      <w:highlight w:val="none"/>
                    </w:rPr>
                    <w:t>LS6000-CS100</w:t>
                  </w:r>
                </w:p>
              </w:tc>
              <w:tc>
                <w:tcPr>
                  <w:tcW w:w="1145" w:type="pct"/>
                  <w:vAlign w:val="center"/>
                </w:tcPr>
                <w:p w14:paraId="2005726B">
                  <w:pPr>
                    <w:pStyle w:val="41"/>
                    <w:bidi w:val="0"/>
                    <w:jc w:val="center"/>
                    <w:rPr>
                      <w:rFonts w:hint="default"/>
                      <w:color w:val="auto"/>
                      <w:highlight w:val="none"/>
                      <w:lang w:val="en-US" w:eastAsia="zh-CN"/>
                    </w:rPr>
                  </w:pPr>
                  <w:r>
                    <w:rPr>
                      <w:rFonts w:hint="eastAsia"/>
                      <w:color w:val="auto"/>
                      <w:highlight w:val="none"/>
                    </w:rPr>
                    <w:t>2</w:t>
                  </w:r>
                </w:p>
              </w:tc>
              <w:tc>
                <w:tcPr>
                  <w:tcW w:w="812" w:type="pct"/>
                  <w:vMerge w:val="continue"/>
                  <w:vAlign w:val="center"/>
                </w:tcPr>
                <w:p w14:paraId="33B0CDED">
                  <w:pPr>
                    <w:pStyle w:val="41"/>
                    <w:bidi w:val="0"/>
                    <w:jc w:val="center"/>
                    <w:rPr>
                      <w:rFonts w:hint="default"/>
                      <w:color w:val="auto"/>
                      <w:highlight w:val="none"/>
                      <w:lang w:val="en-US" w:eastAsia="zh-CN"/>
                    </w:rPr>
                  </w:pPr>
                </w:p>
              </w:tc>
            </w:tr>
            <w:tr w14:paraId="55D3E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5B4102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E2B07B7">
                  <w:pPr>
                    <w:pStyle w:val="41"/>
                    <w:bidi w:val="0"/>
                    <w:jc w:val="center"/>
                    <w:rPr>
                      <w:rFonts w:hint="default"/>
                      <w:color w:val="auto"/>
                      <w:highlight w:val="none"/>
                      <w:lang w:val="en-US" w:eastAsia="zh-CN"/>
                    </w:rPr>
                  </w:pPr>
                  <w:r>
                    <w:rPr>
                      <w:color w:val="auto"/>
                      <w:highlight w:val="none"/>
                    </w:rPr>
                    <w:t>超低温冰箱</w:t>
                  </w:r>
                </w:p>
              </w:tc>
              <w:tc>
                <w:tcPr>
                  <w:tcW w:w="1330" w:type="pct"/>
                  <w:vAlign w:val="center"/>
                </w:tcPr>
                <w:p w14:paraId="306FC7E1">
                  <w:pPr>
                    <w:pStyle w:val="41"/>
                    <w:bidi w:val="0"/>
                    <w:jc w:val="center"/>
                    <w:rPr>
                      <w:rFonts w:hint="default"/>
                      <w:color w:val="auto"/>
                      <w:highlight w:val="none"/>
                      <w:lang w:val="en-US" w:eastAsia="zh-CN"/>
                    </w:rPr>
                  </w:pPr>
                  <w:r>
                    <w:rPr>
                      <w:color w:val="auto"/>
                      <w:highlight w:val="none"/>
                    </w:rPr>
                    <w:t>DW-86L338J</w:t>
                  </w:r>
                </w:p>
              </w:tc>
              <w:tc>
                <w:tcPr>
                  <w:tcW w:w="1145" w:type="pct"/>
                  <w:vAlign w:val="center"/>
                </w:tcPr>
                <w:p w14:paraId="4605B6D3">
                  <w:pPr>
                    <w:pStyle w:val="41"/>
                    <w:bidi w:val="0"/>
                    <w:jc w:val="center"/>
                    <w:rPr>
                      <w:rFonts w:hint="default"/>
                      <w:color w:val="auto"/>
                      <w:highlight w:val="none"/>
                      <w:lang w:val="en-US" w:eastAsia="zh-CN"/>
                    </w:rPr>
                  </w:pPr>
                  <w:r>
                    <w:rPr>
                      <w:rFonts w:hint="eastAsia"/>
                      <w:color w:val="auto"/>
                      <w:highlight w:val="none"/>
                    </w:rPr>
                    <w:t>2</w:t>
                  </w:r>
                </w:p>
              </w:tc>
              <w:tc>
                <w:tcPr>
                  <w:tcW w:w="812" w:type="pct"/>
                  <w:vMerge w:val="continue"/>
                  <w:vAlign w:val="center"/>
                </w:tcPr>
                <w:p w14:paraId="6A2ADB50">
                  <w:pPr>
                    <w:pStyle w:val="41"/>
                    <w:bidi w:val="0"/>
                    <w:jc w:val="center"/>
                    <w:rPr>
                      <w:rFonts w:hint="default"/>
                      <w:color w:val="auto"/>
                      <w:highlight w:val="none"/>
                      <w:lang w:val="en-US" w:eastAsia="zh-CN"/>
                    </w:rPr>
                  </w:pPr>
                </w:p>
              </w:tc>
            </w:tr>
            <w:tr w14:paraId="11398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05EAA2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A65F999">
                  <w:pPr>
                    <w:pStyle w:val="41"/>
                    <w:bidi w:val="0"/>
                    <w:jc w:val="center"/>
                    <w:rPr>
                      <w:rFonts w:hint="default"/>
                      <w:color w:val="auto"/>
                      <w:highlight w:val="none"/>
                      <w:lang w:val="en-US" w:eastAsia="zh-CN"/>
                    </w:rPr>
                  </w:pPr>
                  <w:r>
                    <w:rPr>
                      <w:color w:val="auto"/>
                      <w:highlight w:val="none"/>
                    </w:rPr>
                    <w:t>恒温培养振荡器</w:t>
                  </w:r>
                </w:p>
              </w:tc>
              <w:tc>
                <w:tcPr>
                  <w:tcW w:w="1330" w:type="pct"/>
                  <w:vAlign w:val="center"/>
                </w:tcPr>
                <w:p w14:paraId="4A50A3B9">
                  <w:pPr>
                    <w:pStyle w:val="41"/>
                    <w:bidi w:val="0"/>
                    <w:jc w:val="center"/>
                    <w:rPr>
                      <w:rFonts w:hint="default"/>
                      <w:color w:val="auto"/>
                      <w:highlight w:val="none"/>
                      <w:lang w:val="en-US" w:eastAsia="zh-CN"/>
                    </w:rPr>
                  </w:pPr>
                  <w:r>
                    <w:rPr>
                      <w:color w:val="auto"/>
                      <w:highlight w:val="none"/>
                    </w:rPr>
                    <w:t>HN70-2A</w:t>
                  </w:r>
                </w:p>
              </w:tc>
              <w:tc>
                <w:tcPr>
                  <w:tcW w:w="1145" w:type="pct"/>
                  <w:vAlign w:val="center"/>
                </w:tcPr>
                <w:p w14:paraId="4A0130C8">
                  <w:pPr>
                    <w:pStyle w:val="41"/>
                    <w:bidi w:val="0"/>
                    <w:jc w:val="center"/>
                    <w:rPr>
                      <w:rFonts w:hint="default"/>
                      <w:color w:val="auto"/>
                      <w:highlight w:val="none"/>
                      <w:lang w:val="en-US" w:eastAsia="zh-CN"/>
                    </w:rPr>
                  </w:pPr>
                  <w:r>
                    <w:rPr>
                      <w:rFonts w:hint="eastAsia"/>
                      <w:color w:val="auto"/>
                      <w:highlight w:val="none"/>
                    </w:rPr>
                    <w:t>1</w:t>
                  </w:r>
                </w:p>
              </w:tc>
              <w:tc>
                <w:tcPr>
                  <w:tcW w:w="812" w:type="pct"/>
                  <w:vMerge w:val="continue"/>
                  <w:vAlign w:val="center"/>
                </w:tcPr>
                <w:p w14:paraId="1868D59E">
                  <w:pPr>
                    <w:pStyle w:val="41"/>
                    <w:bidi w:val="0"/>
                    <w:jc w:val="center"/>
                    <w:rPr>
                      <w:rFonts w:hint="default"/>
                      <w:color w:val="auto"/>
                      <w:highlight w:val="none"/>
                      <w:lang w:val="en-US" w:eastAsia="zh-CN"/>
                    </w:rPr>
                  </w:pPr>
                </w:p>
              </w:tc>
            </w:tr>
            <w:tr w14:paraId="1C85E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5D4383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D42E3B0">
                  <w:pPr>
                    <w:pStyle w:val="41"/>
                    <w:bidi w:val="0"/>
                    <w:jc w:val="center"/>
                    <w:rPr>
                      <w:rFonts w:hint="default"/>
                      <w:color w:val="auto"/>
                      <w:highlight w:val="none"/>
                      <w:lang w:val="en-US" w:eastAsia="zh-CN"/>
                    </w:rPr>
                  </w:pPr>
                  <w:r>
                    <w:rPr>
                      <w:color w:val="auto"/>
                      <w:highlight w:val="none"/>
                    </w:rPr>
                    <w:t>地秤</w:t>
                  </w:r>
                </w:p>
              </w:tc>
              <w:tc>
                <w:tcPr>
                  <w:tcW w:w="1330" w:type="pct"/>
                  <w:vAlign w:val="center"/>
                </w:tcPr>
                <w:p w14:paraId="22756CF6">
                  <w:pPr>
                    <w:pStyle w:val="41"/>
                    <w:bidi w:val="0"/>
                    <w:jc w:val="center"/>
                    <w:rPr>
                      <w:rFonts w:hint="default"/>
                      <w:color w:val="auto"/>
                      <w:highlight w:val="none"/>
                      <w:lang w:val="en-US" w:eastAsia="zh-CN"/>
                    </w:rPr>
                  </w:pPr>
                  <w:r>
                    <w:rPr>
                      <w:rFonts w:hint="eastAsia"/>
                      <w:color w:val="auto"/>
                      <w:highlight w:val="none"/>
                    </w:rPr>
                    <w:t>/</w:t>
                  </w:r>
                </w:p>
              </w:tc>
              <w:tc>
                <w:tcPr>
                  <w:tcW w:w="1145" w:type="pct"/>
                  <w:vAlign w:val="center"/>
                </w:tcPr>
                <w:p w14:paraId="0B549188">
                  <w:pPr>
                    <w:pStyle w:val="41"/>
                    <w:bidi w:val="0"/>
                    <w:jc w:val="center"/>
                    <w:rPr>
                      <w:rFonts w:hint="default"/>
                      <w:color w:val="auto"/>
                      <w:highlight w:val="none"/>
                      <w:lang w:val="en-US" w:eastAsia="zh-CN"/>
                    </w:rPr>
                  </w:pPr>
                  <w:r>
                    <w:rPr>
                      <w:rFonts w:hint="eastAsia"/>
                      <w:color w:val="auto"/>
                      <w:highlight w:val="none"/>
                    </w:rPr>
                    <w:t>1</w:t>
                  </w:r>
                </w:p>
              </w:tc>
              <w:tc>
                <w:tcPr>
                  <w:tcW w:w="812" w:type="pct"/>
                  <w:vMerge w:val="continue"/>
                  <w:vAlign w:val="center"/>
                </w:tcPr>
                <w:p w14:paraId="5BA49507">
                  <w:pPr>
                    <w:pStyle w:val="41"/>
                    <w:bidi w:val="0"/>
                    <w:jc w:val="center"/>
                    <w:rPr>
                      <w:rFonts w:hint="default"/>
                      <w:color w:val="auto"/>
                      <w:highlight w:val="none"/>
                      <w:lang w:val="en-US" w:eastAsia="zh-CN"/>
                    </w:rPr>
                  </w:pPr>
                </w:p>
              </w:tc>
            </w:tr>
            <w:tr w14:paraId="04D30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D4D801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8A93BAA">
                  <w:pPr>
                    <w:pStyle w:val="41"/>
                    <w:bidi w:val="0"/>
                    <w:jc w:val="center"/>
                    <w:rPr>
                      <w:rFonts w:hint="default"/>
                      <w:color w:val="auto"/>
                      <w:highlight w:val="none"/>
                      <w:lang w:val="en-US" w:eastAsia="zh-CN"/>
                    </w:rPr>
                  </w:pPr>
                  <w:r>
                    <w:rPr>
                      <w:color w:val="auto"/>
                      <w:highlight w:val="none"/>
                    </w:rPr>
                    <w:t>低温离心机</w:t>
                  </w:r>
                </w:p>
              </w:tc>
              <w:tc>
                <w:tcPr>
                  <w:tcW w:w="1330" w:type="pct"/>
                  <w:vAlign w:val="center"/>
                </w:tcPr>
                <w:p w14:paraId="239FD659">
                  <w:pPr>
                    <w:pStyle w:val="41"/>
                    <w:bidi w:val="0"/>
                    <w:jc w:val="center"/>
                    <w:rPr>
                      <w:rFonts w:hint="default"/>
                      <w:color w:val="auto"/>
                      <w:highlight w:val="none"/>
                      <w:lang w:val="en-US" w:eastAsia="zh-CN"/>
                    </w:rPr>
                  </w:pPr>
                  <w:r>
                    <w:rPr>
                      <w:color w:val="auto"/>
                      <w:highlight w:val="none"/>
                    </w:rPr>
                    <w:t>ST40R</w:t>
                  </w:r>
                </w:p>
              </w:tc>
              <w:tc>
                <w:tcPr>
                  <w:tcW w:w="1145" w:type="pct"/>
                  <w:vAlign w:val="center"/>
                </w:tcPr>
                <w:p w14:paraId="30E457C5">
                  <w:pPr>
                    <w:pStyle w:val="41"/>
                    <w:bidi w:val="0"/>
                    <w:jc w:val="center"/>
                    <w:rPr>
                      <w:rFonts w:hint="default"/>
                      <w:color w:val="auto"/>
                      <w:highlight w:val="none"/>
                      <w:lang w:val="en-US" w:eastAsia="zh-CN"/>
                    </w:rPr>
                  </w:pPr>
                  <w:r>
                    <w:rPr>
                      <w:rFonts w:hint="eastAsia"/>
                      <w:color w:val="auto"/>
                      <w:highlight w:val="none"/>
                    </w:rPr>
                    <w:t>1</w:t>
                  </w:r>
                </w:p>
              </w:tc>
              <w:tc>
                <w:tcPr>
                  <w:tcW w:w="812" w:type="pct"/>
                  <w:vMerge w:val="continue"/>
                  <w:vAlign w:val="center"/>
                </w:tcPr>
                <w:p w14:paraId="78448482">
                  <w:pPr>
                    <w:pStyle w:val="41"/>
                    <w:bidi w:val="0"/>
                    <w:jc w:val="center"/>
                    <w:rPr>
                      <w:rFonts w:hint="default"/>
                      <w:color w:val="auto"/>
                      <w:highlight w:val="none"/>
                      <w:lang w:val="en-US" w:eastAsia="zh-CN"/>
                    </w:rPr>
                  </w:pPr>
                </w:p>
              </w:tc>
            </w:tr>
            <w:tr w14:paraId="3184C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1D0416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ADD41B3">
                  <w:pPr>
                    <w:pStyle w:val="41"/>
                    <w:bidi w:val="0"/>
                    <w:jc w:val="center"/>
                    <w:rPr>
                      <w:rFonts w:hint="default"/>
                      <w:color w:val="auto"/>
                      <w:highlight w:val="none"/>
                      <w:lang w:val="en-US" w:eastAsia="zh-CN"/>
                    </w:rPr>
                  </w:pPr>
                  <w:r>
                    <w:rPr>
                      <w:color w:val="auto"/>
                      <w:highlight w:val="none"/>
                    </w:rPr>
                    <w:t>程控降温仪</w:t>
                  </w:r>
                </w:p>
              </w:tc>
              <w:tc>
                <w:tcPr>
                  <w:tcW w:w="1330" w:type="pct"/>
                  <w:vAlign w:val="center"/>
                </w:tcPr>
                <w:p w14:paraId="169F1046">
                  <w:pPr>
                    <w:pStyle w:val="41"/>
                    <w:bidi w:val="0"/>
                    <w:jc w:val="center"/>
                    <w:rPr>
                      <w:rFonts w:hint="default"/>
                      <w:color w:val="auto"/>
                      <w:highlight w:val="none"/>
                      <w:lang w:val="en-US" w:eastAsia="zh-CN"/>
                    </w:rPr>
                  </w:pPr>
                  <w:r>
                    <w:rPr>
                      <w:color w:val="auto"/>
                      <w:highlight w:val="none"/>
                    </w:rPr>
                    <w:t>CryMed</w:t>
                  </w:r>
                </w:p>
              </w:tc>
              <w:tc>
                <w:tcPr>
                  <w:tcW w:w="1145" w:type="pct"/>
                  <w:vAlign w:val="center"/>
                </w:tcPr>
                <w:p w14:paraId="0270BFD9">
                  <w:pPr>
                    <w:pStyle w:val="41"/>
                    <w:bidi w:val="0"/>
                    <w:jc w:val="center"/>
                    <w:rPr>
                      <w:rFonts w:hint="default"/>
                      <w:color w:val="auto"/>
                      <w:highlight w:val="none"/>
                      <w:lang w:val="en-US" w:eastAsia="zh-CN"/>
                    </w:rPr>
                  </w:pPr>
                  <w:r>
                    <w:rPr>
                      <w:rFonts w:hint="eastAsia"/>
                      <w:color w:val="auto"/>
                      <w:highlight w:val="none"/>
                    </w:rPr>
                    <w:t>1</w:t>
                  </w:r>
                </w:p>
              </w:tc>
              <w:tc>
                <w:tcPr>
                  <w:tcW w:w="812" w:type="pct"/>
                  <w:vMerge w:val="continue"/>
                  <w:vAlign w:val="center"/>
                </w:tcPr>
                <w:p w14:paraId="67A288F3">
                  <w:pPr>
                    <w:pStyle w:val="41"/>
                    <w:bidi w:val="0"/>
                    <w:jc w:val="center"/>
                    <w:rPr>
                      <w:rFonts w:hint="default"/>
                      <w:color w:val="auto"/>
                      <w:highlight w:val="none"/>
                      <w:lang w:val="en-US" w:eastAsia="zh-CN"/>
                    </w:rPr>
                  </w:pPr>
                </w:p>
              </w:tc>
            </w:tr>
            <w:tr w14:paraId="4CF8B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63CF99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E6344E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生物反应器</w:t>
                  </w:r>
                </w:p>
              </w:tc>
              <w:tc>
                <w:tcPr>
                  <w:tcW w:w="1330" w:type="pct"/>
                  <w:vAlign w:val="center"/>
                </w:tcPr>
                <w:p w14:paraId="16B1320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74FD430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restart"/>
                  <w:vAlign w:val="center"/>
                </w:tcPr>
                <w:p w14:paraId="1BC93290">
                  <w:pPr>
                    <w:pStyle w:val="41"/>
                    <w:bidi w:val="0"/>
                    <w:jc w:val="center"/>
                    <w:rPr>
                      <w:rFonts w:hint="default"/>
                      <w:color w:val="auto"/>
                      <w:highlight w:val="none"/>
                      <w:lang w:val="en-US" w:eastAsia="zh-CN"/>
                    </w:rPr>
                  </w:pPr>
                  <w:r>
                    <w:rPr>
                      <w:rFonts w:hint="eastAsia"/>
                      <w:color w:val="auto"/>
                      <w:highlight w:val="none"/>
                      <w:lang w:val="en-US" w:eastAsia="zh-CN"/>
                    </w:rPr>
                    <w:t>7号楼（重组蛋白药物实验楼）</w:t>
                  </w:r>
                </w:p>
              </w:tc>
            </w:tr>
            <w:tr w14:paraId="68671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6D3FBC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2CBE1C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种生物反应器</w:t>
                  </w:r>
                </w:p>
              </w:tc>
              <w:tc>
                <w:tcPr>
                  <w:tcW w:w="1330" w:type="pct"/>
                  <w:vAlign w:val="center"/>
                </w:tcPr>
                <w:p w14:paraId="10A1649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1972FC0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1BBFF48F">
                  <w:pPr>
                    <w:pStyle w:val="41"/>
                    <w:bidi w:val="0"/>
                    <w:jc w:val="center"/>
                    <w:rPr>
                      <w:rFonts w:hint="default"/>
                      <w:color w:val="auto"/>
                      <w:highlight w:val="none"/>
                      <w:lang w:val="en-US" w:eastAsia="zh-CN"/>
                    </w:rPr>
                  </w:pPr>
                </w:p>
              </w:tc>
            </w:tr>
            <w:tr w14:paraId="0690F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2F65E1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0DFC83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发酵液澄清仪</w:t>
                  </w:r>
                </w:p>
              </w:tc>
              <w:tc>
                <w:tcPr>
                  <w:tcW w:w="1330" w:type="pct"/>
                  <w:vAlign w:val="center"/>
                </w:tcPr>
                <w:p w14:paraId="4B61AB1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574266D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FA7B7EF">
                  <w:pPr>
                    <w:pStyle w:val="41"/>
                    <w:bidi w:val="0"/>
                    <w:jc w:val="center"/>
                    <w:rPr>
                      <w:rFonts w:hint="default"/>
                      <w:color w:val="auto"/>
                      <w:highlight w:val="none"/>
                      <w:lang w:val="en-US" w:eastAsia="zh-CN"/>
                    </w:rPr>
                  </w:pPr>
                </w:p>
              </w:tc>
            </w:tr>
            <w:tr w14:paraId="3AACC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C8F374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894CF0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层析仪</w:t>
                  </w:r>
                </w:p>
              </w:tc>
              <w:tc>
                <w:tcPr>
                  <w:tcW w:w="1330" w:type="pct"/>
                  <w:vAlign w:val="center"/>
                </w:tcPr>
                <w:p w14:paraId="39891BE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27C49F3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56DFD9BB">
                  <w:pPr>
                    <w:pStyle w:val="41"/>
                    <w:bidi w:val="0"/>
                    <w:jc w:val="center"/>
                    <w:rPr>
                      <w:rFonts w:hint="default"/>
                      <w:color w:val="auto"/>
                      <w:highlight w:val="none"/>
                      <w:lang w:val="en-US" w:eastAsia="zh-CN"/>
                    </w:rPr>
                  </w:pPr>
                </w:p>
              </w:tc>
            </w:tr>
            <w:tr w14:paraId="493F5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E4714E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C71E8D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超滤仪</w:t>
                  </w:r>
                </w:p>
              </w:tc>
              <w:tc>
                <w:tcPr>
                  <w:tcW w:w="1330" w:type="pct"/>
                  <w:vAlign w:val="center"/>
                </w:tcPr>
                <w:p w14:paraId="74304E8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37B555F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1FEA3BA2">
                  <w:pPr>
                    <w:pStyle w:val="41"/>
                    <w:bidi w:val="0"/>
                    <w:jc w:val="center"/>
                    <w:rPr>
                      <w:rFonts w:hint="default"/>
                      <w:color w:val="auto"/>
                      <w:highlight w:val="none"/>
                      <w:lang w:val="en-US" w:eastAsia="zh-CN"/>
                    </w:rPr>
                  </w:pPr>
                </w:p>
              </w:tc>
            </w:tr>
            <w:tr w14:paraId="1ED83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D76CE7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CBEEF1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液相色谱</w:t>
                  </w:r>
                </w:p>
              </w:tc>
              <w:tc>
                <w:tcPr>
                  <w:tcW w:w="1330" w:type="pct"/>
                  <w:vAlign w:val="center"/>
                </w:tcPr>
                <w:p w14:paraId="3559717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48CC07D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4AE5CC28">
                  <w:pPr>
                    <w:pStyle w:val="41"/>
                    <w:bidi w:val="0"/>
                    <w:jc w:val="center"/>
                    <w:rPr>
                      <w:rFonts w:hint="default"/>
                      <w:color w:val="auto"/>
                      <w:highlight w:val="none"/>
                      <w:lang w:val="en-US" w:eastAsia="zh-CN"/>
                    </w:rPr>
                  </w:pPr>
                </w:p>
              </w:tc>
            </w:tr>
            <w:tr w14:paraId="5A42E4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F03173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7D1E10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毛细管电泳</w:t>
                  </w:r>
                </w:p>
              </w:tc>
              <w:tc>
                <w:tcPr>
                  <w:tcW w:w="1330" w:type="pct"/>
                  <w:vAlign w:val="center"/>
                </w:tcPr>
                <w:p w14:paraId="6275219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63FB4FD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7796B63">
                  <w:pPr>
                    <w:pStyle w:val="41"/>
                    <w:bidi w:val="0"/>
                    <w:jc w:val="center"/>
                    <w:rPr>
                      <w:rFonts w:hint="default"/>
                      <w:color w:val="auto"/>
                      <w:highlight w:val="none"/>
                      <w:lang w:val="en-US" w:eastAsia="zh-CN"/>
                    </w:rPr>
                  </w:pPr>
                </w:p>
              </w:tc>
            </w:tr>
            <w:tr w14:paraId="6EFC6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AB6455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3DAF04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荧光定量PCR</w:t>
                  </w:r>
                </w:p>
              </w:tc>
              <w:tc>
                <w:tcPr>
                  <w:tcW w:w="1330" w:type="pct"/>
                  <w:vAlign w:val="center"/>
                </w:tcPr>
                <w:p w14:paraId="0E61EB8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59FA9F9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7AAF7ED">
                  <w:pPr>
                    <w:pStyle w:val="41"/>
                    <w:bidi w:val="0"/>
                    <w:jc w:val="center"/>
                    <w:rPr>
                      <w:rFonts w:hint="default"/>
                      <w:color w:val="auto"/>
                      <w:highlight w:val="none"/>
                      <w:lang w:val="en-US" w:eastAsia="zh-CN"/>
                    </w:rPr>
                  </w:pPr>
                </w:p>
              </w:tc>
            </w:tr>
            <w:tr w14:paraId="50BBC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62B25E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56EC13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紫外分光</w:t>
                  </w:r>
                  <w:r>
                    <w:rPr>
                      <w:rFonts w:hint="eastAsia" w:cs="Times New Roman"/>
                      <w:color w:val="auto"/>
                      <w:sz w:val="21"/>
                      <w:szCs w:val="21"/>
                      <w:highlight w:val="none"/>
                      <w:lang w:val="en-US" w:eastAsia="zh-CN"/>
                    </w:rPr>
                    <w:t>光度</w:t>
                  </w:r>
                  <w:r>
                    <w:rPr>
                      <w:rFonts w:hint="default" w:ascii="Times New Roman" w:hAnsi="Times New Roman" w:eastAsia="宋体" w:cs="Times New Roman"/>
                      <w:color w:val="auto"/>
                      <w:sz w:val="21"/>
                      <w:szCs w:val="21"/>
                      <w:highlight w:val="none"/>
                      <w:lang w:val="en-US" w:eastAsia="zh-CN"/>
                    </w:rPr>
                    <w:t>仪</w:t>
                  </w:r>
                </w:p>
              </w:tc>
              <w:tc>
                <w:tcPr>
                  <w:tcW w:w="1330" w:type="pct"/>
                  <w:vAlign w:val="center"/>
                </w:tcPr>
                <w:p w14:paraId="2D6457E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24A6911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7737EA1D">
                  <w:pPr>
                    <w:pStyle w:val="41"/>
                    <w:bidi w:val="0"/>
                    <w:jc w:val="center"/>
                    <w:rPr>
                      <w:rFonts w:hint="default"/>
                      <w:color w:val="auto"/>
                      <w:highlight w:val="none"/>
                      <w:lang w:val="en-US" w:eastAsia="zh-CN"/>
                    </w:rPr>
                  </w:pPr>
                </w:p>
              </w:tc>
            </w:tr>
            <w:tr w14:paraId="21B42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CF20DF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5F5CFA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酶标仪</w:t>
                  </w:r>
                </w:p>
              </w:tc>
              <w:tc>
                <w:tcPr>
                  <w:tcW w:w="1330" w:type="pct"/>
                  <w:vAlign w:val="center"/>
                </w:tcPr>
                <w:p w14:paraId="76CFF9F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73EBEB5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49BFFA8">
                  <w:pPr>
                    <w:pStyle w:val="41"/>
                    <w:bidi w:val="0"/>
                    <w:jc w:val="center"/>
                    <w:rPr>
                      <w:rFonts w:hint="default"/>
                      <w:color w:val="auto"/>
                      <w:highlight w:val="none"/>
                      <w:lang w:val="en-US" w:eastAsia="zh-CN"/>
                    </w:rPr>
                  </w:pPr>
                </w:p>
              </w:tc>
            </w:tr>
            <w:tr w14:paraId="2C076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5AF96F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A440D2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洗板机</w:t>
                  </w:r>
                </w:p>
              </w:tc>
              <w:tc>
                <w:tcPr>
                  <w:tcW w:w="1330" w:type="pct"/>
                  <w:vAlign w:val="center"/>
                </w:tcPr>
                <w:p w14:paraId="358B394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5F4E839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4A89512">
                  <w:pPr>
                    <w:pStyle w:val="41"/>
                    <w:bidi w:val="0"/>
                    <w:jc w:val="center"/>
                    <w:rPr>
                      <w:rFonts w:hint="default"/>
                      <w:color w:val="auto"/>
                      <w:highlight w:val="none"/>
                      <w:lang w:val="en-US" w:eastAsia="zh-CN"/>
                    </w:rPr>
                  </w:pPr>
                </w:p>
              </w:tc>
            </w:tr>
            <w:tr w14:paraId="77DDA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B948D9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BF0BB2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胶成像仪</w:t>
                  </w:r>
                </w:p>
              </w:tc>
              <w:tc>
                <w:tcPr>
                  <w:tcW w:w="1330" w:type="pct"/>
                  <w:vAlign w:val="center"/>
                </w:tcPr>
                <w:p w14:paraId="7116D1F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4B58B60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7E6A7060">
                  <w:pPr>
                    <w:pStyle w:val="41"/>
                    <w:bidi w:val="0"/>
                    <w:jc w:val="center"/>
                    <w:rPr>
                      <w:rFonts w:hint="default"/>
                      <w:color w:val="auto"/>
                      <w:highlight w:val="none"/>
                      <w:lang w:val="en-US" w:eastAsia="zh-CN"/>
                    </w:rPr>
                  </w:pPr>
                </w:p>
              </w:tc>
            </w:tr>
            <w:tr w14:paraId="164F2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EEDEE6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96350C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垂直电泳系统</w:t>
                  </w:r>
                </w:p>
              </w:tc>
              <w:tc>
                <w:tcPr>
                  <w:tcW w:w="1330" w:type="pct"/>
                  <w:vAlign w:val="center"/>
                </w:tcPr>
                <w:p w14:paraId="08E3725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18C2B3E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FF43111">
                  <w:pPr>
                    <w:pStyle w:val="41"/>
                    <w:bidi w:val="0"/>
                    <w:jc w:val="center"/>
                    <w:rPr>
                      <w:rFonts w:hint="default"/>
                      <w:color w:val="auto"/>
                      <w:highlight w:val="none"/>
                      <w:lang w:val="en-US" w:eastAsia="zh-CN"/>
                    </w:rPr>
                  </w:pPr>
                </w:p>
              </w:tc>
            </w:tr>
            <w:tr w14:paraId="57846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EC7A6A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6311A5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稳定性培养箱</w:t>
                  </w:r>
                </w:p>
              </w:tc>
              <w:tc>
                <w:tcPr>
                  <w:tcW w:w="1330" w:type="pct"/>
                  <w:vAlign w:val="center"/>
                </w:tcPr>
                <w:p w14:paraId="22EB996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5995EDE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09808C48">
                  <w:pPr>
                    <w:pStyle w:val="41"/>
                    <w:bidi w:val="0"/>
                    <w:jc w:val="center"/>
                    <w:rPr>
                      <w:rFonts w:hint="default"/>
                      <w:color w:val="auto"/>
                      <w:highlight w:val="none"/>
                      <w:lang w:val="en-US" w:eastAsia="zh-CN"/>
                    </w:rPr>
                  </w:pPr>
                </w:p>
              </w:tc>
            </w:tr>
            <w:tr w14:paraId="0A137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1052FB5">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BE0B72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纯水仪</w:t>
                  </w:r>
                </w:p>
              </w:tc>
              <w:tc>
                <w:tcPr>
                  <w:tcW w:w="1330" w:type="pct"/>
                  <w:vAlign w:val="center"/>
                </w:tcPr>
                <w:p w14:paraId="462BEA0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0501626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10CB05C3">
                  <w:pPr>
                    <w:pStyle w:val="41"/>
                    <w:bidi w:val="0"/>
                    <w:jc w:val="center"/>
                    <w:rPr>
                      <w:rFonts w:hint="default"/>
                      <w:color w:val="auto"/>
                      <w:highlight w:val="none"/>
                      <w:lang w:val="en-US" w:eastAsia="zh-CN"/>
                    </w:rPr>
                  </w:pPr>
                </w:p>
              </w:tc>
            </w:tr>
            <w:tr w14:paraId="7C67D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487A28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4F90FF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离心机</w:t>
                  </w:r>
                </w:p>
              </w:tc>
              <w:tc>
                <w:tcPr>
                  <w:tcW w:w="1330" w:type="pct"/>
                  <w:vAlign w:val="center"/>
                </w:tcPr>
                <w:p w14:paraId="3C91DA9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4F04684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3E74210B">
                  <w:pPr>
                    <w:pStyle w:val="41"/>
                    <w:bidi w:val="0"/>
                    <w:jc w:val="center"/>
                    <w:rPr>
                      <w:rFonts w:hint="default"/>
                      <w:color w:val="auto"/>
                      <w:highlight w:val="none"/>
                      <w:lang w:val="en-US" w:eastAsia="zh-CN"/>
                    </w:rPr>
                  </w:pPr>
                </w:p>
              </w:tc>
            </w:tr>
            <w:tr w14:paraId="34004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267E77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107682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安全柜</w:t>
                  </w:r>
                </w:p>
              </w:tc>
              <w:tc>
                <w:tcPr>
                  <w:tcW w:w="1330" w:type="pct"/>
                  <w:vAlign w:val="center"/>
                </w:tcPr>
                <w:p w14:paraId="4D69983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5C863AC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132E0421">
                  <w:pPr>
                    <w:pStyle w:val="41"/>
                    <w:bidi w:val="0"/>
                    <w:jc w:val="center"/>
                    <w:rPr>
                      <w:rFonts w:hint="default"/>
                      <w:color w:val="auto"/>
                      <w:highlight w:val="none"/>
                      <w:lang w:val="en-US" w:eastAsia="zh-CN"/>
                    </w:rPr>
                  </w:pPr>
                </w:p>
              </w:tc>
            </w:tr>
            <w:tr w14:paraId="0A2CD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0575ED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C3DBCA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超净台</w:t>
                  </w:r>
                </w:p>
              </w:tc>
              <w:tc>
                <w:tcPr>
                  <w:tcW w:w="1330" w:type="pct"/>
                  <w:vAlign w:val="center"/>
                </w:tcPr>
                <w:p w14:paraId="6184211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2975383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679016AC">
                  <w:pPr>
                    <w:pStyle w:val="41"/>
                    <w:bidi w:val="0"/>
                    <w:jc w:val="center"/>
                    <w:rPr>
                      <w:rFonts w:hint="default"/>
                      <w:color w:val="auto"/>
                      <w:highlight w:val="none"/>
                      <w:lang w:val="en-US" w:eastAsia="zh-CN"/>
                    </w:rPr>
                  </w:pPr>
                </w:p>
              </w:tc>
            </w:tr>
            <w:tr w14:paraId="3FAC8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696F9C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B5E7FF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灭菌器</w:t>
                  </w:r>
                </w:p>
              </w:tc>
              <w:tc>
                <w:tcPr>
                  <w:tcW w:w="1330" w:type="pct"/>
                  <w:vAlign w:val="center"/>
                </w:tcPr>
                <w:p w14:paraId="34A411A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4CB91D6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5343425">
                  <w:pPr>
                    <w:pStyle w:val="41"/>
                    <w:bidi w:val="0"/>
                    <w:jc w:val="center"/>
                    <w:rPr>
                      <w:rFonts w:hint="default"/>
                      <w:color w:val="auto"/>
                      <w:highlight w:val="none"/>
                      <w:lang w:val="en-US" w:eastAsia="zh-CN"/>
                    </w:rPr>
                  </w:pPr>
                </w:p>
              </w:tc>
            </w:tr>
            <w:tr w14:paraId="19B54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067B08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9AC568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培养箱</w:t>
                  </w:r>
                </w:p>
              </w:tc>
              <w:tc>
                <w:tcPr>
                  <w:tcW w:w="1330" w:type="pct"/>
                  <w:vAlign w:val="center"/>
                </w:tcPr>
                <w:p w14:paraId="7683B12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2F0E637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812" w:type="pct"/>
                  <w:vMerge w:val="continue"/>
                  <w:vAlign w:val="center"/>
                </w:tcPr>
                <w:p w14:paraId="672A250B">
                  <w:pPr>
                    <w:pStyle w:val="41"/>
                    <w:bidi w:val="0"/>
                    <w:jc w:val="center"/>
                    <w:rPr>
                      <w:rFonts w:hint="default"/>
                      <w:color w:val="auto"/>
                      <w:highlight w:val="none"/>
                      <w:lang w:val="en-US" w:eastAsia="zh-CN"/>
                    </w:rPr>
                  </w:pPr>
                </w:p>
              </w:tc>
            </w:tr>
            <w:tr w14:paraId="35D42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F2DD53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E6F5CA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烘箱</w:t>
                  </w:r>
                </w:p>
              </w:tc>
              <w:tc>
                <w:tcPr>
                  <w:tcW w:w="1330" w:type="pct"/>
                  <w:vAlign w:val="center"/>
                </w:tcPr>
                <w:p w14:paraId="0B6BC5F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1B95C2A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02B080A">
                  <w:pPr>
                    <w:pStyle w:val="41"/>
                    <w:bidi w:val="0"/>
                    <w:jc w:val="center"/>
                    <w:rPr>
                      <w:rFonts w:hint="default"/>
                      <w:color w:val="auto"/>
                      <w:highlight w:val="none"/>
                      <w:lang w:val="en-US" w:eastAsia="zh-CN"/>
                    </w:rPr>
                  </w:pPr>
                </w:p>
              </w:tc>
            </w:tr>
            <w:tr w14:paraId="0C032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E76A8B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BC9460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纯水仪</w:t>
                  </w:r>
                </w:p>
              </w:tc>
              <w:tc>
                <w:tcPr>
                  <w:tcW w:w="1330" w:type="pct"/>
                  <w:vAlign w:val="center"/>
                </w:tcPr>
                <w:p w14:paraId="71434EB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073E30C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9806850">
                  <w:pPr>
                    <w:pStyle w:val="41"/>
                    <w:bidi w:val="0"/>
                    <w:jc w:val="center"/>
                    <w:rPr>
                      <w:rFonts w:hint="default"/>
                      <w:color w:val="auto"/>
                      <w:highlight w:val="none"/>
                      <w:lang w:val="en-US" w:eastAsia="zh-CN"/>
                    </w:rPr>
                  </w:pPr>
                </w:p>
              </w:tc>
            </w:tr>
            <w:tr w14:paraId="44CE4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2EA439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A0E8BF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配液系统</w:t>
                  </w:r>
                </w:p>
              </w:tc>
              <w:tc>
                <w:tcPr>
                  <w:tcW w:w="1330" w:type="pct"/>
                  <w:vAlign w:val="center"/>
                </w:tcPr>
                <w:p w14:paraId="6A54D92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1685F5B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0EB42DE">
                  <w:pPr>
                    <w:pStyle w:val="41"/>
                    <w:bidi w:val="0"/>
                    <w:jc w:val="center"/>
                    <w:rPr>
                      <w:rFonts w:hint="default"/>
                      <w:color w:val="auto"/>
                      <w:highlight w:val="none"/>
                      <w:lang w:val="en-US" w:eastAsia="zh-CN"/>
                    </w:rPr>
                  </w:pPr>
                </w:p>
              </w:tc>
            </w:tr>
            <w:tr w14:paraId="715DB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8C1CA8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970C77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灭菌器</w:t>
                  </w:r>
                </w:p>
              </w:tc>
              <w:tc>
                <w:tcPr>
                  <w:tcW w:w="1330" w:type="pct"/>
                  <w:vAlign w:val="center"/>
                </w:tcPr>
                <w:p w14:paraId="3522D2A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2C28B8F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19D2389">
                  <w:pPr>
                    <w:pStyle w:val="41"/>
                    <w:bidi w:val="0"/>
                    <w:jc w:val="center"/>
                    <w:rPr>
                      <w:rFonts w:hint="default"/>
                      <w:color w:val="auto"/>
                      <w:highlight w:val="none"/>
                      <w:lang w:val="en-US" w:eastAsia="zh-CN"/>
                    </w:rPr>
                  </w:pPr>
                </w:p>
              </w:tc>
            </w:tr>
            <w:tr w14:paraId="30D209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C2DFBA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FF18F3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超净台</w:t>
                  </w:r>
                </w:p>
              </w:tc>
              <w:tc>
                <w:tcPr>
                  <w:tcW w:w="1330" w:type="pct"/>
                  <w:vAlign w:val="center"/>
                </w:tcPr>
                <w:p w14:paraId="76E2E84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SW-CJ-2F/ SW-CJ-2FD</w:t>
                  </w:r>
                </w:p>
              </w:tc>
              <w:tc>
                <w:tcPr>
                  <w:tcW w:w="1145" w:type="pct"/>
                  <w:vAlign w:val="center"/>
                </w:tcPr>
                <w:p w14:paraId="2338973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812" w:type="pct"/>
                  <w:vMerge w:val="continue"/>
                  <w:vAlign w:val="center"/>
                </w:tcPr>
                <w:p w14:paraId="442F21EB">
                  <w:pPr>
                    <w:pStyle w:val="41"/>
                    <w:bidi w:val="0"/>
                    <w:jc w:val="center"/>
                    <w:rPr>
                      <w:rFonts w:hint="default"/>
                      <w:color w:val="auto"/>
                      <w:highlight w:val="none"/>
                      <w:lang w:val="en-US" w:eastAsia="zh-CN"/>
                    </w:rPr>
                  </w:pPr>
                </w:p>
              </w:tc>
            </w:tr>
            <w:tr w14:paraId="2A201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72EB9D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C85412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琼脂移液机</w:t>
                  </w:r>
                </w:p>
              </w:tc>
              <w:tc>
                <w:tcPr>
                  <w:tcW w:w="1330" w:type="pct"/>
                  <w:vAlign w:val="center"/>
                </w:tcPr>
                <w:p w14:paraId="4AB16B0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定制</w:t>
                  </w:r>
                </w:p>
              </w:tc>
              <w:tc>
                <w:tcPr>
                  <w:tcW w:w="1145" w:type="pct"/>
                  <w:vAlign w:val="center"/>
                </w:tcPr>
                <w:p w14:paraId="1D9AF21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D5AD3EE">
                  <w:pPr>
                    <w:pStyle w:val="41"/>
                    <w:bidi w:val="0"/>
                    <w:jc w:val="center"/>
                    <w:rPr>
                      <w:rFonts w:hint="default"/>
                      <w:color w:val="auto"/>
                      <w:highlight w:val="none"/>
                      <w:lang w:val="en-US" w:eastAsia="zh-CN"/>
                    </w:rPr>
                  </w:pPr>
                </w:p>
              </w:tc>
            </w:tr>
            <w:tr w14:paraId="21498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8E6371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8B1060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抗生素移液机</w:t>
                  </w:r>
                </w:p>
              </w:tc>
              <w:tc>
                <w:tcPr>
                  <w:tcW w:w="1330" w:type="pct"/>
                  <w:vAlign w:val="center"/>
                </w:tcPr>
                <w:p w14:paraId="3EF438A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定制</w:t>
                  </w:r>
                </w:p>
              </w:tc>
              <w:tc>
                <w:tcPr>
                  <w:tcW w:w="1145" w:type="pct"/>
                  <w:vAlign w:val="center"/>
                </w:tcPr>
                <w:p w14:paraId="4A51F52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7E9776EF">
                  <w:pPr>
                    <w:pStyle w:val="41"/>
                    <w:bidi w:val="0"/>
                    <w:jc w:val="center"/>
                    <w:rPr>
                      <w:rFonts w:hint="default"/>
                      <w:color w:val="auto"/>
                      <w:highlight w:val="none"/>
                      <w:lang w:val="en-US" w:eastAsia="zh-CN"/>
                    </w:rPr>
                  </w:pPr>
                </w:p>
              </w:tc>
            </w:tr>
            <w:tr w14:paraId="547E1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EC9B61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5D3323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真空干燥箱</w:t>
                  </w:r>
                </w:p>
              </w:tc>
              <w:tc>
                <w:tcPr>
                  <w:tcW w:w="1330" w:type="pct"/>
                  <w:vAlign w:val="center"/>
                </w:tcPr>
                <w:p w14:paraId="61B06C2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DZF-6050</w:t>
                  </w:r>
                </w:p>
              </w:tc>
              <w:tc>
                <w:tcPr>
                  <w:tcW w:w="1145" w:type="pct"/>
                  <w:vAlign w:val="center"/>
                </w:tcPr>
                <w:p w14:paraId="3ABBBF5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127287F">
                  <w:pPr>
                    <w:pStyle w:val="41"/>
                    <w:bidi w:val="0"/>
                    <w:jc w:val="center"/>
                    <w:rPr>
                      <w:rFonts w:hint="default"/>
                      <w:color w:val="auto"/>
                      <w:highlight w:val="none"/>
                      <w:lang w:val="en-US" w:eastAsia="zh-CN"/>
                    </w:rPr>
                  </w:pPr>
                </w:p>
              </w:tc>
            </w:tr>
            <w:tr w14:paraId="28611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58A9B6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E67B13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培养箱</w:t>
                  </w:r>
                </w:p>
              </w:tc>
              <w:tc>
                <w:tcPr>
                  <w:tcW w:w="1330" w:type="pct"/>
                  <w:vAlign w:val="center"/>
                </w:tcPr>
                <w:p w14:paraId="30A50A1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311</w:t>
                  </w:r>
                </w:p>
              </w:tc>
              <w:tc>
                <w:tcPr>
                  <w:tcW w:w="1145" w:type="pct"/>
                  <w:vAlign w:val="center"/>
                </w:tcPr>
                <w:p w14:paraId="022DD9E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DCABB94">
                  <w:pPr>
                    <w:pStyle w:val="41"/>
                    <w:bidi w:val="0"/>
                    <w:jc w:val="center"/>
                    <w:rPr>
                      <w:rFonts w:hint="default"/>
                      <w:color w:val="auto"/>
                      <w:highlight w:val="none"/>
                      <w:lang w:val="en-US" w:eastAsia="zh-CN"/>
                    </w:rPr>
                  </w:pPr>
                </w:p>
              </w:tc>
            </w:tr>
            <w:tr w14:paraId="735DD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F35F39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426520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培养箱</w:t>
                  </w:r>
                </w:p>
              </w:tc>
              <w:tc>
                <w:tcPr>
                  <w:tcW w:w="1330" w:type="pct"/>
                  <w:vAlign w:val="center"/>
                </w:tcPr>
                <w:p w14:paraId="0C25DF8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ZXDP-A2160</w:t>
                  </w:r>
                </w:p>
              </w:tc>
              <w:tc>
                <w:tcPr>
                  <w:tcW w:w="1145" w:type="pct"/>
                  <w:vAlign w:val="center"/>
                </w:tcPr>
                <w:p w14:paraId="1192DA7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49C0BF17">
                  <w:pPr>
                    <w:pStyle w:val="41"/>
                    <w:bidi w:val="0"/>
                    <w:jc w:val="center"/>
                    <w:rPr>
                      <w:rFonts w:hint="default"/>
                      <w:color w:val="auto"/>
                      <w:highlight w:val="none"/>
                      <w:lang w:val="en-US" w:eastAsia="zh-CN"/>
                    </w:rPr>
                  </w:pPr>
                </w:p>
              </w:tc>
            </w:tr>
            <w:tr w14:paraId="2240D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301FDE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02796A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安全柜</w:t>
                  </w:r>
                </w:p>
              </w:tc>
              <w:tc>
                <w:tcPr>
                  <w:tcW w:w="1330" w:type="pct"/>
                  <w:vAlign w:val="center"/>
                </w:tcPr>
                <w:p w14:paraId="6EE70E8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BSC-1300IIA</w:t>
                  </w:r>
                </w:p>
              </w:tc>
              <w:tc>
                <w:tcPr>
                  <w:tcW w:w="1145" w:type="pct"/>
                  <w:vAlign w:val="center"/>
                </w:tcPr>
                <w:p w14:paraId="2351DED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42861045">
                  <w:pPr>
                    <w:pStyle w:val="41"/>
                    <w:bidi w:val="0"/>
                    <w:jc w:val="center"/>
                    <w:rPr>
                      <w:rFonts w:hint="default"/>
                      <w:color w:val="auto"/>
                      <w:highlight w:val="none"/>
                      <w:lang w:val="en-US" w:eastAsia="zh-CN"/>
                    </w:rPr>
                  </w:pPr>
                </w:p>
              </w:tc>
            </w:tr>
            <w:tr w14:paraId="5ACA1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6A3FCD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31812B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厌氧培养箱</w:t>
                  </w:r>
                </w:p>
              </w:tc>
              <w:tc>
                <w:tcPr>
                  <w:tcW w:w="1330" w:type="pct"/>
                  <w:vAlign w:val="center"/>
                </w:tcPr>
                <w:p w14:paraId="6FD27D1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YQX-II</w:t>
                  </w:r>
                </w:p>
              </w:tc>
              <w:tc>
                <w:tcPr>
                  <w:tcW w:w="1145" w:type="pct"/>
                  <w:vAlign w:val="center"/>
                </w:tcPr>
                <w:p w14:paraId="3ABF1E0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138601F4">
                  <w:pPr>
                    <w:pStyle w:val="41"/>
                    <w:bidi w:val="0"/>
                    <w:jc w:val="center"/>
                    <w:rPr>
                      <w:rFonts w:hint="default"/>
                      <w:color w:val="auto"/>
                      <w:highlight w:val="none"/>
                      <w:lang w:val="en-US" w:eastAsia="zh-CN"/>
                    </w:rPr>
                  </w:pPr>
                </w:p>
              </w:tc>
            </w:tr>
            <w:tr w14:paraId="3C7232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625445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334D33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摇床</w:t>
                  </w:r>
                </w:p>
              </w:tc>
              <w:tc>
                <w:tcPr>
                  <w:tcW w:w="1330" w:type="pct"/>
                  <w:vAlign w:val="center"/>
                </w:tcPr>
                <w:p w14:paraId="44B4581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CWY-240</w:t>
                  </w:r>
                </w:p>
              </w:tc>
              <w:tc>
                <w:tcPr>
                  <w:tcW w:w="1145" w:type="pct"/>
                  <w:vAlign w:val="center"/>
                </w:tcPr>
                <w:p w14:paraId="38F0101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9A1A75F">
                  <w:pPr>
                    <w:pStyle w:val="41"/>
                    <w:bidi w:val="0"/>
                    <w:jc w:val="center"/>
                    <w:rPr>
                      <w:rFonts w:hint="default"/>
                      <w:color w:val="auto"/>
                      <w:highlight w:val="none"/>
                      <w:lang w:val="en-US" w:eastAsia="zh-CN"/>
                    </w:rPr>
                  </w:pPr>
                </w:p>
              </w:tc>
            </w:tr>
            <w:tr w14:paraId="04FF5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B3971B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29431A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灭菌器</w:t>
                  </w:r>
                </w:p>
              </w:tc>
              <w:tc>
                <w:tcPr>
                  <w:tcW w:w="1330" w:type="pct"/>
                  <w:vAlign w:val="center"/>
                </w:tcPr>
                <w:p w14:paraId="3D9B948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5" w:type="pct"/>
                  <w:vAlign w:val="center"/>
                </w:tcPr>
                <w:p w14:paraId="132C69A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F0A0A23">
                  <w:pPr>
                    <w:pStyle w:val="41"/>
                    <w:bidi w:val="0"/>
                    <w:jc w:val="center"/>
                    <w:rPr>
                      <w:rFonts w:hint="default"/>
                      <w:color w:val="auto"/>
                      <w:highlight w:val="none"/>
                      <w:lang w:val="en-US" w:eastAsia="zh-CN"/>
                    </w:rPr>
                  </w:pPr>
                </w:p>
              </w:tc>
            </w:tr>
            <w:tr w14:paraId="4F31B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294A4A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CB0964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垂直电泳系统</w:t>
                  </w:r>
                </w:p>
              </w:tc>
              <w:tc>
                <w:tcPr>
                  <w:tcW w:w="1330" w:type="pct"/>
                  <w:vAlign w:val="center"/>
                </w:tcPr>
                <w:p w14:paraId="29B260C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BASIC</w:t>
                  </w:r>
                </w:p>
              </w:tc>
              <w:tc>
                <w:tcPr>
                  <w:tcW w:w="1145" w:type="pct"/>
                  <w:vAlign w:val="center"/>
                </w:tcPr>
                <w:p w14:paraId="4B7CCC4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4DAEBC25">
                  <w:pPr>
                    <w:pStyle w:val="41"/>
                    <w:bidi w:val="0"/>
                    <w:jc w:val="center"/>
                    <w:rPr>
                      <w:rFonts w:hint="default"/>
                      <w:color w:val="auto"/>
                      <w:highlight w:val="none"/>
                      <w:lang w:val="en-US" w:eastAsia="zh-CN"/>
                    </w:rPr>
                  </w:pPr>
                </w:p>
              </w:tc>
            </w:tr>
            <w:tr w14:paraId="61FA6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64F401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67BB6A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荧光定量PCR</w:t>
                  </w:r>
                </w:p>
              </w:tc>
              <w:tc>
                <w:tcPr>
                  <w:tcW w:w="1330" w:type="pct"/>
                  <w:vAlign w:val="center"/>
                </w:tcPr>
                <w:p w14:paraId="56E33FE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7500</w:t>
                  </w:r>
                </w:p>
              </w:tc>
              <w:tc>
                <w:tcPr>
                  <w:tcW w:w="1145" w:type="pct"/>
                  <w:vAlign w:val="center"/>
                </w:tcPr>
                <w:p w14:paraId="5D8ADEC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065481A">
                  <w:pPr>
                    <w:pStyle w:val="41"/>
                    <w:bidi w:val="0"/>
                    <w:jc w:val="center"/>
                    <w:rPr>
                      <w:rFonts w:hint="default"/>
                      <w:color w:val="auto"/>
                      <w:highlight w:val="none"/>
                      <w:lang w:val="en-US" w:eastAsia="zh-CN"/>
                    </w:rPr>
                  </w:pPr>
                </w:p>
              </w:tc>
            </w:tr>
            <w:tr w14:paraId="4842D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7A4EEE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3EEF29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紫外分光</w:t>
                  </w:r>
                  <w:r>
                    <w:rPr>
                      <w:rFonts w:hint="eastAsia" w:cs="Times New Roman"/>
                      <w:color w:val="auto"/>
                      <w:sz w:val="21"/>
                      <w:szCs w:val="21"/>
                      <w:highlight w:val="none"/>
                      <w:lang w:val="en-US" w:eastAsia="zh-CN"/>
                    </w:rPr>
                    <w:t>光度</w:t>
                  </w:r>
                  <w:r>
                    <w:rPr>
                      <w:rFonts w:hint="default" w:ascii="Times New Roman" w:hAnsi="Times New Roman" w:eastAsia="宋体" w:cs="Times New Roman"/>
                      <w:color w:val="auto"/>
                      <w:sz w:val="21"/>
                      <w:szCs w:val="21"/>
                      <w:highlight w:val="none"/>
                      <w:lang w:val="en-US" w:eastAsia="zh-CN"/>
                    </w:rPr>
                    <w:t>仪</w:t>
                  </w:r>
                </w:p>
              </w:tc>
              <w:tc>
                <w:tcPr>
                  <w:tcW w:w="1330" w:type="pct"/>
                  <w:vAlign w:val="center"/>
                </w:tcPr>
                <w:p w14:paraId="6A0E9D5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Evolution 60S</w:t>
                  </w:r>
                </w:p>
              </w:tc>
              <w:tc>
                <w:tcPr>
                  <w:tcW w:w="1145" w:type="pct"/>
                  <w:vAlign w:val="center"/>
                </w:tcPr>
                <w:p w14:paraId="17C9F9F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7C31F64">
                  <w:pPr>
                    <w:pStyle w:val="41"/>
                    <w:bidi w:val="0"/>
                    <w:jc w:val="center"/>
                    <w:rPr>
                      <w:rFonts w:hint="default"/>
                      <w:color w:val="auto"/>
                      <w:highlight w:val="none"/>
                      <w:lang w:val="en-US" w:eastAsia="zh-CN"/>
                    </w:rPr>
                  </w:pPr>
                </w:p>
              </w:tc>
            </w:tr>
            <w:tr w14:paraId="6D921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6D331D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F1884C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酶标仪</w:t>
                  </w:r>
                </w:p>
              </w:tc>
              <w:tc>
                <w:tcPr>
                  <w:tcW w:w="1330" w:type="pct"/>
                  <w:vAlign w:val="center"/>
                </w:tcPr>
                <w:p w14:paraId="42C6234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Multiskan FC</w:t>
                  </w:r>
                </w:p>
              </w:tc>
              <w:tc>
                <w:tcPr>
                  <w:tcW w:w="1145" w:type="pct"/>
                  <w:vAlign w:val="center"/>
                </w:tcPr>
                <w:p w14:paraId="5B3AD5A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1A51EEED">
                  <w:pPr>
                    <w:pStyle w:val="41"/>
                    <w:bidi w:val="0"/>
                    <w:jc w:val="center"/>
                    <w:rPr>
                      <w:rFonts w:hint="default"/>
                      <w:color w:val="auto"/>
                      <w:highlight w:val="none"/>
                      <w:lang w:val="en-US" w:eastAsia="zh-CN"/>
                    </w:rPr>
                  </w:pPr>
                </w:p>
              </w:tc>
            </w:tr>
            <w:tr w14:paraId="74484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049B72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15F289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洗板机</w:t>
                  </w:r>
                </w:p>
              </w:tc>
              <w:tc>
                <w:tcPr>
                  <w:tcW w:w="1330" w:type="pct"/>
                  <w:vAlign w:val="center"/>
                </w:tcPr>
                <w:p w14:paraId="724D533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wellwash</w:t>
                  </w:r>
                </w:p>
              </w:tc>
              <w:tc>
                <w:tcPr>
                  <w:tcW w:w="1145" w:type="pct"/>
                  <w:vAlign w:val="center"/>
                </w:tcPr>
                <w:p w14:paraId="0F38F25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632B22F">
                  <w:pPr>
                    <w:pStyle w:val="41"/>
                    <w:bidi w:val="0"/>
                    <w:jc w:val="center"/>
                    <w:rPr>
                      <w:rFonts w:hint="default"/>
                      <w:color w:val="auto"/>
                      <w:highlight w:val="none"/>
                      <w:lang w:val="en-US" w:eastAsia="zh-CN"/>
                    </w:rPr>
                  </w:pPr>
                </w:p>
              </w:tc>
            </w:tr>
            <w:tr w14:paraId="28955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E92AD3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3F617D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胶成像仪</w:t>
                  </w:r>
                </w:p>
              </w:tc>
              <w:tc>
                <w:tcPr>
                  <w:tcW w:w="1330" w:type="pct"/>
                  <w:vAlign w:val="center"/>
                </w:tcPr>
                <w:p w14:paraId="69E594A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BioChem EC3410</w:t>
                  </w:r>
                </w:p>
              </w:tc>
              <w:tc>
                <w:tcPr>
                  <w:tcW w:w="1145" w:type="pct"/>
                  <w:vAlign w:val="center"/>
                </w:tcPr>
                <w:p w14:paraId="271E9A0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2939E9D">
                  <w:pPr>
                    <w:pStyle w:val="41"/>
                    <w:bidi w:val="0"/>
                    <w:jc w:val="center"/>
                    <w:rPr>
                      <w:rFonts w:hint="default"/>
                      <w:color w:val="auto"/>
                      <w:highlight w:val="none"/>
                      <w:lang w:val="en-US" w:eastAsia="zh-CN"/>
                    </w:rPr>
                  </w:pPr>
                </w:p>
              </w:tc>
            </w:tr>
            <w:tr w14:paraId="59000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92E5B8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408F75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台式冷冻离心机</w:t>
                  </w:r>
                </w:p>
              </w:tc>
              <w:tc>
                <w:tcPr>
                  <w:tcW w:w="1330" w:type="pct"/>
                  <w:vAlign w:val="center"/>
                </w:tcPr>
                <w:p w14:paraId="7BFA92A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ST40R</w:t>
                  </w:r>
                </w:p>
              </w:tc>
              <w:tc>
                <w:tcPr>
                  <w:tcW w:w="1145" w:type="pct"/>
                  <w:vAlign w:val="center"/>
                </w:tcPr>
                <w:p w14:paraId="2F7D4E4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70E93321">
                  <w:pPr>
                    <w:pStyle w:val="41"/>
                    <w:bidi w:val="0"/>
                    <w:jc w:val="center"/>
                    <w:rPr>
                      <w:rFonts w:hint="default"/>
                      <w:color w:val="auto"/>
                      <w:highlight w:val="none"/>
                      <w:lang w:val="en-US" w:eastAsia="zh-CN"/>
                    </w:rPr>
                  </w:pPr>
                </w:p>
              </w:tc>
            </w:tr>
            <w:tr w14:paraId="407F9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CDDDC5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933838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HPLC</w:t>
                  </w:r>
                </w:p>
              </w:tc>
              <w:tc>
                <w:tcPr>
                  <w:tcW w:w="1330" w:type="pct"/>
                  <w:vAlign w:val="center"/>
                </w:tcPr>
                <w:p w14:paraId="1F354F6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1260</w:t>
                  </w:r>
                </w:p>
              </w:tc>
              <w:tc>
                <w:tcPr>
                  <w:tcW w:w="1145" w:type="pct"/>
                  <w:vAlign w:val="center"/>
                </w:tcPr>
                <w:p w14:paraId="2E9CA12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5B3711AF">
                  <w:pPr>
                    <w:pStyle w:val="41"/>
                    <w:bidi w:val="0"/>
                    <w:jc w:val="center"/>
                    <w:rPr>
                      <w:rFonts w:hint="default"/>
                      <w:color w:val="auto"/>
                      <w:highlight w:val="none"/>
                      <w:lang w:val="en-US" w:eastAsia="zh-CN"/>
                    </w:rPr>
                  </w:pPr>
                </w:p>
              </w:tc>
            </w:tr>
            <w:tr w14:paraId="03C14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9348DD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AC329A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HPLC</w:t>
                  </w:r>
                </w:p>
              </w:tc>
              <w:tc>
                <w:tcPr>
                  <w:tcW w:w="1330" w:type="pct"/>
                  <w:vAlign w:val="center"/>
                </w:tcPr>
                <w:p w14:paraId="2152A89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UltiMate3000</w:t>
                  </w:r>
                </w:p>
              </w:tc>
              <w:tc>
                <w:tcPr>
                  <w:tcW w:w="1145" w:type="pct"/>
                  <w:vAlign w:val="center"/>
                </w:tcPr>
                <w:p w14:paraId="2242823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28792D56">
                  <w:pPr>
                    <w:pStyle w:val="41"/>
                    <w:bidi w:val="0"/>
                    <w:jc w:val="center"/>
                    <w:rPr>
                      <w:rFonts w:hint="default"/>
                      <w:color w:val="auto"/>
                      <w:highlight w:val="none"/>
                      <w:lang w:val="en-US" w:eastAsia="zh-CN"/>
                    </w:rPr>
                  </w:pPr>
                </w:p>
              </w:tc>
            </w:tr>
            <w:tr w14:paraId="1867A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3AA5D8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84C1FE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毛细管电泳</w:t>
                  </w:r>
                </w:p>
              </w:tc>
              <w:tc>
                <w:tcPr>
                  <w:tcW w:w="1330" w:type="pct"/>
                  <w:vAlign w:val="center"/>
                </w:tcPr>
                <w:p w14:paraId="2DA4FBA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7100</w:t>
                  </w:r>
                </w:p>
              </w:tc>
              <w:tc>
                <w:tcPr>
                  <w:tcW w:w="1145" w:type="pct"/>
                  <w:vAlign w:val="center"/>
                </w:tcPr>
                <w:p w14:paraId="50A0B91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7767AD34">
                  <w:pPr>
                    <w:pStyle w:val="41"/>
                    <w:bidi w:val="0"/>
                    <w:jc w:val="center"/>
                    <w:rPr>
                      <w:rFonts w:hint="default"/>
                      <w:color w:val="auto"/>
                      <w:highlight w:val="none"/>
                      <w:lang w:val="en-US" w:eastAsia="zh-CN"/>
                    </w:rPr>
                  </w:pPr>
                </w:p>
              </w:tc>
            </w:tr>
            <w:tr w14:paraId="09E15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7E8C7C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1E1706E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恒温水浴</w:t>
                  </w:r>
                </w:p>
              </w:tc>
              <w:tc>
                <w:tcPr>
                  <w:tcW w:w="1330" w:type="pct"/>
                  <w:vAlign w:val="center"/>
                </w:tcPr>
                <w:p w14:paraId="5BCEB58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4L</w:t>
                  </w:r>
                </w:p>
              </w:tc>
              <w:tc>
                <w:tcPr>
                  <w:tcW w:w="1145" w:type="pct"/>
                  <w:vAlign w:val="center"/>
                </w:tcPr>
                <w:p w14:paraId="7407716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0F5AA60">
                  <w:pPr>
                    <w:pStyle w:val="41"/>
                    <w:bidi w:val="0"/>
                    <w:jc w:val="center"/>
                    <w:rPr>
                      <w:rFonts w:hint="default"/>
                      <w:color w:val="auto"/>
                      <w:highlight w:val="none"/>
                      <w:lang w:val="en-US" w:eastAsia="zh-CN"/>
                    </w:rPr>
                  </w:pPr>
                </w:p>
              </w:tc>
            </w:tr>
            <w:tr w14:paraId="0064B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017246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D0DE43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安全柜</w:t>
                  </w:r>
                </w:p>
              </w:tc>
              <w:tc>
                <w:tcPr>
                  <w:tcW w:w="1330" w:type="pct"/>
                  <w:vAlign w:val="center"/>
                </w:tcPr>
                <w:p w14:paraId="0EA8BC0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BSC-1300IIA</w:t>
                  </w:r>
                </w:p>
              </w:tc>
              <w:tc>
                <w:tcPr>
                  <w:tcW w:w="1145" w:type="pct"/>
                  <w:vAlign w:val="center"/>
                </w:tcPr>
                <w:p w14:paraId="4D50A7F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812" w:type="pct"/>
                  <w:vMerge w:val="continue"/>
                  <w:vAlign w:val="center"/>
                </w:tcPr>
                <w:p w14:paraId="31C9EA4A">
                  <w:pPr>
                    <w:pStyle w:val="41"/>
                    <w:bidi w:val="0"/>
                    <w:jc w:val="center"/>
                    <w:rPr>
                      <w:rFonts w:hint="default"/>
                      <w:color w:val="auto"/>
                      <w:highlight w:val="none"/>
                      <w:lang w:val="en-US" w:eastAsia="zh-CN"/>
                    </w:rPr>
                  </w:pPr>
                </w:p>
              </w:tc>
            </w:tr>
            <w:tr w14:paraId="190A4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A40F58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5F7C06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细胞摇床</w:t>
                  </w:r>
                </w:p>
              </w:tc>
              <w:tc>
                <w:tcPr>
                  <w:tcW w:w="1330" w:type="pct"/>
                  <w:vAlign w:val="center"/>
                </w:tcPr>
                <w:p w14:paraId="31AF53B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S41i</w:t>
                  </w:r>
                </w:p>
              </w:tc>
              <w:tc>
                <w:tcPr>
                  <w:tcW w:w="1145" w:type="pct"/>
                  <w:vAlign w:val="center"/>
                </w:tcPr>
                <w:p w14:paraId="3E633EE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2EB75DD3">
                  <w:pPr>
                    <w:pStyle w:val="41"/>
                    <w:bidi w:val="0"/>
                    <w:jc w:val="center"/>
                    <w:rPr>
                      <w:rFonts w:hint="default"/>
                      <w:color w:val="auto"/>
                      <w:highlight w:val="none"/>
                      <w:lang w:val="en-US" w:eastAsia="zh-CN"/>
                    </w:rPr>
                  </w:pPr>
                </w:p>
              </w:tc>
            </w:tr>
            <w:tr w14:paraId="2E1E3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3BDADB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E74E73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细胞摇床</w:t>
                  </w:r>
                </w:p>
              </w:tc>
              <w:tc>
                <w:tcPr>
                  <w:tcW w:w="1330" w:type="pct"/>
                  <w:vAlign w:val="center"/>
                </w:tcPr>
                <w:p w14:paraId="7901D7D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MultiTron/Celltron</w:t>
                  </w:r>
                </w:p>
              </w:tc>
              <w:tc>
                <w:tcPr>
                  <w:tcW w:w="1145" w:type="pct"/>
                  <w:vAlign w:val="center"/>
                </w:tcPr>
                <w:p w14:paraId="5C43DC8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430E3452">
                  <w:pPr>
                    <w:pStyle w:val="41"/>
                    <w:bidi w:val="0"/>
                    <w:jc w:val="center"/>
                    <w:rPr>
                      <w:rFonts w:hint="default"/>
                      <w:color w:val="auto"/>
                      <w:highlight w:val="none"/>
                      <w:lang w:val="en-US" w:eastAsia="zh-CN"/>
                    </w:rPr>
                  </w:pPr>
                </w:p>
              </w:tc>
            </w:tr>
            <w:tr w14:paraId="791B3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EFFBEE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D134BF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培养箱</w:t>
                  </w:r>
                </w:p>
              </w:tc>
              <w:tc>
                <w:tcPr>
                  <w:tcW w:w="1330" w:type="pct"/>
                  <w:vAlign w:val="center"/>
                </w:tcPr>
                <w:p w14:paraId="4DF3DDE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8000/300系列</w:t>
                  </w:r>
                </w:p>
              </w:tc>
              <w:tc>
                <w:tcPr>
                  <w:tcW w:w="1145" w:type="pct"/>
                  <w:vAlign w:val="center"/>
                </w:tcPr>
                <w:p w14:paraId="4513F4C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812" w:type="pct"/>
                  <w:vMerge w:val="continue"/>
                  <w:vAlign w:val="center"/>
                </w:tcPr>
                <w:p w14:paraId="7017935F">
                  <w:pPr>
                    <w:pStyle w:val="41"/>
                    <w:bidi w:val="0"/>
                    <w:jc w:val="center"/>
                    <w:rPr>
                      <w:rFonts w:hint="default"/>
                      <w:color w:val="auto"/>
                      <w:highlight w:val="none"/>
                      <w:lang w:val="en-US" w:eastAsia="zh-CN"/>
                    </w:rPr>
                  </w:pPr>
                </w:p>
              </w:tc>
            </w:tr>
            <w:tr w14:paraId="5DB8E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5D604A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BB29E5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冷冻离心机</w:t>
                  </w:r>
                </w:p>
              </w:tc>
              <w:tc>
                <w:tcPr>
                  <w:tcW w:w="1330" w:type="pct"/>
                  <w:vAlign w:val="center"/>
                </w:tcPr>
                <w:p w14:paraId="64EE787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ST40R</w:t>
                  </w:r>
                </w:p>
              </w:tc>
              <w:tc>
                <w:tcPr>
                  <w:tcW w:w="1145" w:type="pct"/>
                  <w:vAlign w:val="center"/>
                </w:tcPr>
                <w:p w14:paraId="5126826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7B978BF">
                  <w:pPr>
                    <w:pStyle w:val="41"/>
                    <w:bidi w:val="0"/>
                    <w:jc w:val="center"/>
                    <w:rPr>
                      <w:rFonts w:hint="default"/>
                      <w:color w:val="auto"/>
                      <w:highlight w:val="none"/>
                      <w:lang w:val="en-US" w:eastAsia="zh-CN"/>
                    </w:rPr>
                  </w:pPr>
                </w:p>
              </w:tc>
            </w:tr>
            <w:tr w14:paraId="20C83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429A46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1FA366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离心机</w:t>
                  </w:r>
                </w:p>
              </w:tc>
              <w:tc>
                <w:tcPr>
                  <w:tcW w:w="1330" w:type="pct"/>
                  <w:vAlign w:val="center"/>
                </w:tcPr>
                <w:p w14:paraId="5C84703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L550</w:t>
                  </w:r>
                </w:p>
              </w:tc>
              <w:tc>
                <w:tcPr>
                  <w:tcW w:w="1145" w:type="pct"/>
                  <w:vAlign w:val="center"/>
                </w:tcPr>
                <w:p w14:paraId="534A731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16C6EBE5">
                  <w:pPr>
                    <w:pStyle w:val="41"/>
                    <w:bidi w:val="0"/>
                    <w:jc w:val="center"/>
                    <w:rPr>
                      <w:rFonts w:hint="default"/>
                      <w:color w:val="auto"/>
                      <w:highlight w:val="none"/>
                      <w:lang w:val="en-US" w:eastAsia="zh-CN"/>
                    </w:rPr>
                  </w:pPr>
                </w:p>
              </w:tc>
            </w:tr>
            <w:tr w14:paraId="43128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1E93B3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00217C0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电穿孔仪</w:t>
                  </w:r>
                </w:p>
              </w:tc>
              <w:tc>
                <w:tcPr>
                  <w:tcW w:w="1330" w:type="pct"/>
                  <w:vAlign w:val="center"/>
                </w:tcPr>
                <w:p w14:paraId="3816676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GenePulser Xcell</w:t>
                  </w:r>
                </w:p>
              </w:tc>
              <w:tc>
                <w:tcPr>
                  <w:tcW w:w="1145" w:type="pct"/>
                  <w:vAlign w:val="center"/>
                </w:tcPr>
                <w:p w14:paraId="6866B44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275B5EA5">
                  <w:pPr>
                    <w:pStyle w:val="41"/>
                    <w:bidi w:val="0"/>
                    <w:jc w:val="center"/>
                    <w:rPr>
                      <w:rFonts w:hint="default"/>
                      <w:color w:val="auto"/>
                      <w:highlight w:val="none"/>
                      <w:lang w:val="en-US" w:eastAsia="zh-CN"/>
                    </w:rPr>
                  </w:pPr>
                </w:p>
              </w:tc>
            </w:tr>
            <w:tr w14:paraId="7D6E1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933FDE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5CAC42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生化分析仪</w:t>
                  </w:r>
                </w:p>
              </w:tc>
              <w:tc>
                <w:tcPr>
                  <w:tcW w:w="1330" w:type="pct"/>
                  <w:vAlign w:val="center"/>
                </w:tcPr>
                <w:p w14:paraId="0A6E6FE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SBA-90</w:t>
                  </w:r>
                </w:p>
              </w:tc>
              <w:tc>
                <w:tcPr>
                  <w:tcW w:w="1145" w:type="pct"/>
                  <w:vAlign w:val="center"/>
                </w:tcPr>
                <w:p w14:paraId="3CC1239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8379296">
                  <w:pPr>
                    <w:pStyle w:val="41"/>
                    <w:bidi w:val="0"/>
                    <w:jc w:val="center"/>
                    <w:rPr>
                      <w:rFonts w:hint="default"/>
                      <w:color w:val="auto"/>
                      <w:highlight w:val="none"/>
                      <w:lang w:val="en-US" w:eastAsia="zh-CN"/>
                    </w:rPr>
                  </w:pPr>
                </w:p>
              </w:tc>
            </w:tr>
            <w:tr w14:paraId="76473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4153BC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3622F11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无油真空泵</w:t>
                  </w:r>
                </w:p>
              </w:tc>
              <w:tc>
                <w:tcPr>
                  <w:tcW w:w="1330" w:type="pct"/>
                  <w:vAlign w:val="center"/>
                </w:tcPr>
                <w:p w14:paraId="105FD46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AP-01D</w:t>
                  </w:r>
                </w:p>
              </w:tc>
              <w:tc>
                <w:tcPr>
                  <w:tcW w:w="1145" w:type="pct"/>
                  <w:vAlign w:val="center"/>
                </w:tcPr>
                <w:p w14:paraId="068A5C6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812" w:type="pct"/>
                  <w:vMerge w:val="continue"/>
                  <w:vAlign w:val="center"/>
                </w:tcPr>
                <w:p w14:paraId="553327D2">
                  <w:pPr>
                    <w:pStyle w:val="41"/>
                    <w:bidi w:val="0"/>
                    <w:jc w:val="center"/>
                    <w:rPr>
                      <w:rFonts w:hint="default"/>
                      <w:color w:val="auto"/>
                      <w:highlight w:val="none"/>
                      <w:lang w:val="en-US" w:eastAsia="zh-CN"/>
                    </w:rPr>
                  </w:pPr>
                </w:p>
              </w:tc>
            </w:tr>
            <w:tr w14:paraId="59E4E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0FA311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55377D8B">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渗透压测量仪</w:t>
                  </w:r>
                </w:p>
              </w:tc>
              <w:tc>
                <w:tcPr>
                  <w:tcW w:w="1330" w:type="pct"/>
                  <w:vAlign w:val="center"/>
                </w:tcPr>
                <w:p w14:paraId="5EC0CD0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5004</w:t>
                  </w:r>
                </w:p>
              </w:tc>
              <w:tc>
                <w:tcPr>
                  <w:tcW w:w="1145" w:type="pct"/>
                  <w:vAlign w:val="center"/>
                </w:tcPr>
                <w:p w14:paraId="2FF076F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B681934">
                  <w:pPr>
                    <w:pStyle w:val="41"/>
                    <w:bidi w:val="0"/>
                    <w:jc w:val="center"/>
                    <w:rPr>
                      <w:rFonts w:hint="default"/>
                      <w:color w:val="auto"/>
                      <w:highlight w:val="none"/>
                      <w:lang w:val="en-US" w:eastAsia="zh-CN"/>
                    </w:rPr>
                  </w:pPr>
                </w:p>
              </w:tc>
            </w:tr>
            <w:tr w14:paraId="2AC1B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91FF56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4801A1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4L恒温水浴</w:t>
                  </w:r>
                </w:p>
              </w:tc>
              <w:tc>
                <w:tcPr>
                  <w:tcW w:w="1330" w:type="pct"/>
                  <w:vAlign w:val="center"/>
                </w:tcPr>
                <w:p w14:paraId="7233B6F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HH-2</w:t>
                  </w:r>
                </w:p>
              </w:tc>
              <w:tc>
                <w:tcPr>
                  <w:tcW w:w="1145" w:type="pct"/>
                  <w:vAlign w:val="center"/>
                </w:tcPr>
                <w:p w14:paraId="6B28160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vMerge w:val="continue"/>
                  <w:vAlign w:val="center"/>
                </w:tcPr>
                <w:p w14:paraId="6D75088B">
                  <w:pPr>
                    <w:pStyle w:val="41"/>
                    <w:bidi w:val="0"/>
                    <w:jc w:val="center"/>
                    <w:rPr>
                      <w:rFonts w:hint="default"/>
                      <w:color w:val="auto"/>
                      <w:highlight w:val="none"/>
                      <w:lang w:val="en-US" w:eastAsia="zh-CN"/>
                    </w:rPr>
                  </w:pPr>
                </w:p>
              </w:tc>
            </w:tr>
            <w:tr w14:paraId="63CF0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0DDC53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8C5303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液氮罐</w:t>
                  </w:r>
                </w:p>
              </w:tc>
              <w:tc>
                <w:tcPr>
                  <w:tcW w:w="1330" w:type="pct"/>
                  <w:vAlign w:val="center"/>
                </w:tcPr>
                <w:p w14:paraId="45653DD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7401</w:t>
                  </w:r>
                </w:p>
              </w:tc>
              <w:tc>
                <w:tcPr>
                  <w:tcW w:w="1145" w:type="pct"/>
                  <w:vAlign w:val="center"/>
                </w:tcPr>
                <w:p w14:paraId="23F433A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E102289">
                  <w:pPr>
                    <w:pStyle w:val="41"/>
                    <w:bidi w:val="0"/>
                    <w:jc w:val="center"/>
                    <w:rPr>
                      <w:rFonts w:hint="default"/>
                      <w:color w:val="auto"/>
                      <w:highlight w:val="none"/>
                      <w:lang w:val="en-US" w:eastAsia="zh-CN"/>
                    </w:rPr>
                  </w:pPr>
                </w:p>
              </w:tc>
            </w:tr>
            <w:tr w14:paraId="73E68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4F5A71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D34C95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液氮罐</w:t>
                  </w:r>
                </w:p>
              </w:tc>
              <w:tc>
                <w:tcPr>
                  <w:tcW w:w="1330" w:type="pct"/>
                  <w:vAlign w:val="center"/>
                </w:tcPr>
                <w:p w14:paraId="01B65B2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175L</w:t>
                  </w:r>
                </w:p>
              </w:tc>
              <w:tc>
                <w:tcPr>
                  <w:tcW w:w="1145" w:type="pct"/>
                  <w:vAlign w:val="center"/>
                </w:tcPr>
                <w:p w14:paraId="7ACA023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58A13DC3">
                  <w:pPr>
                    <w:pStyle w:val="41"/>
                    <w:bidi w:val="0"/>
                    <w:jc w:val="center"/>
                    <w:rPr>
                      <w:rFonts w:hint="default"/>
                      <w:color w:val="auto"/>
                      <w:highlight w:val="none"/>
                      <w:lang w:val="en-US" w:eastAsia="zh-CN"/>
                    </w:rPr>
                  </w:pPr>
                </w:p>
              </w:tc>
            </w:tr>
            <w:tr w14:paraId="1599C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D1271E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8FB320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液氮程序降温仪</w:t>
                  </w:r>
                </w:p>
              </w:tc>
              <w:tc>
                <w:tcPr>
                  <w:tcW w:w="1330" w:type="pct"/>
                  <w:vAlign w:val="center"/>
                </w:tcPr>
                <w:p w14:paraId="1BD4FE6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7451</w:t>
                  </w:r>
                </w:p>
              </w:tc>
              <w:tc>
                <w:tcPr>
                  <w:tcW w:w="1145" w:type="pct"/>
                  <w:vAlign w:val="center"/>
                </w:tcPr>
                <w:p w14:paraId="457B37C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48A52F6">
                  <w:pPr>
                    <w:pStyle w:val="41"/>
                    <w:bidi w:val="0"/>
                    <w:jc w:val="center"/>
                    <w:rPr>
                      <w:rFonts w:hint="default"/>
                      <w:color w:val="auto"/>
                      <w:highlight w:val="none"/>
                      <w:lang w:val="en-US" w:eastAsia="zh-CN"/>
                    </w:rPr>
                  </w:pPr>
                </w:p>
              </w:tc>
            </w:tr>
            <w:tr w14:paraId="0548C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458599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1DD7AF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2.5L反应器</w:t>
                  </w:r>
                </w:p>
              </w:tc>
              <w:tc>
                <w:tcPr>
                  <w:tcW w:w="1330" w:type="pct"/>
                  <w:vAlign w:val="center"/>
                </w:tcPr>
                <w:p w14:paraId="5164F5C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2.5L</w:t>
                  </w:r>
                </w:p>
              </w:tc>
              <w:tc>
                <w:tcPr>
                  <w:tcW w:w="1145" w:type="pct"/>
                  <w:vAlign w:val="center"/>
                </w:tcPr>
                <w:p w14:paraId="5EDFE29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2ACF137C">
                  <w:pPr>
                    <w:pStyle w:val="41"/>
                    <w:bidi w:val="0"/>
                    <w:jc w:val="center"/>
                    <w:rPr>
                      <w:rFonts w:hint="default"/>
                      <w:color w:val="auto"/>
                      <w:highlight w:val="none"/>
                      <w:lang w:val="en-US" w:eastAsia="zh-CN"/>
                    </w:rPr>
                  </w:pPr>
                </w:p>
              </w:tc>
            </w:tr>
            <w:tr w14:paraId="74B04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7515D1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4648541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30L反应器</w:t>
                  </w:r>
                </w:p>
              </w:tc>
              <w:tc>
                <w:tcPr>
                  <w:tcW w:w="1330" w:type="pct"/>
                  <w:vAlign w:val="center"/>
                </w:tcPr>
                <w:p w14:paraId="2F7F3B4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510</w:t>
                  </w:r>
                </w:p>
              </w:tc>
              <w:tc>
                <w:tcPr>
                  <w:tcW w:w="1145" w:type="pct"/>
                  <w:vAlign w:val="center"/>
                </w:tcPr>
                <w:p w14:paraId="157E90F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05041401">
                  <w:pPr>
                    <w:pStyle w:val="41"/>
                    <w:bidi w:val="0"/>
                    <w:jc w:val="center"/>
                    <w:rPr>
                      <w:rFonts w:hint="default"/>
                      <w:color w:val="auto"/>
                      <w:highlight w:val="none"/>
                      <w:lang w:val="en-US" w:eastAsia="zh-CN"/>
                    </w:rPr>
                  </w:pPr>
                </w:p>
              </w:tc>
            </w:tr>
            <w:tr w14:paraId="497D3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8D4DE9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86099B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无油无水空压机</w:t>
                  </w:r>
                </w:p>
              </w:tc>
              <w:tc>
                <w:tcPr>
                  <w:tcW w:w="1330" w:type="pct"/>
                  <w:vAlign w:val="center"/>
                </w:tcPr>
                <w:p w14:paraId="270E678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LX-100B</w:t>
                  </w:r>
                </w:p>
              </w:tc>
              <w:tc>
                <w:tcPr>
                  <w:tcW w:w="1145" w:type="pct"/>
                  <w:vAlign w:val="center"/>
                </w:tcPr>
                <w:p w14:paraId="113481C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1682D57F">
                  <w:pPr>
                    <w:pStyle w:val="41"/>
                    <w:bidi w:val="0"/>
                    <w:jc w:val="center"/>
                    <w:rPr>
                      <w:rFonts w:hint="default"/>
                      <w:color w:val="auto"/>
                      <w:highlight w:val="none"/>
                      <w:lang w:val="en-US" w:eastAsia="zh-CN"/>
                    </w:rPr>
                  </w:pPr>
                </w:p>
              </w:tc>
            </w:tr>
            <w:tr w14:paraId="21B1E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0795AD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7C0FC2D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冷却水机</w:t>
                  </w:r>
                </w:p>
              </w:tc>
              <w:tc>
                <w:tcPr>
                  <w:tcW w:w="1330" w:type="pct"/>
                  <w:vAlign w:val="center"/>
                </w:tcPr>
                <w:p w14:paraId="4C96A4C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FDLAC-16003</w:t>
                  </w:r>
                </w:p>
              </w:tc>
              <w:tc>
                <w:tcPr>
                  <w:tcW w:w="1145" w:type="pct"/>
                  <w:vAlign w:val="center"/>
                </w:tcPr>
                <w:p w14:paraId="2644AC4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39B9ADDF">
                  <w:pPr>
                    <w:pStyle w:val="41"/>
                    <w:bidi w:val="0"/>
                    <w:jc w:val="center"/>
                    <w:rPr>
                      <w:rFonts w:hint="default"/>
                      <w:color w:val="auto"/>
                      <w:highlight w:val="none"/>
                      <w:lang w:val="en-US" w:eastAsia="zh-CN"/>
                    </w:rPr>
                  </w:pPr>
                </w:p>
              </w:tc>
            </w:tr>
            <w:tr w14:paraId="0F40D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C46EDF1">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278CA1F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冷却恒温水浴</w:t>
                  </w:r>
                </w:p>
              </w:tc>
              <w:tc>
                <w:tcPr>
                  <w:tcW w:w="1330" w:type="pct"/>
                  <w:vAlign w:val="center"/>
                </w:tcPr>
                <w:p w14:paraId="0FFB8F5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XODC-0506</w:t>
                  </w:r>
                </w:p>
              </w:tc>
              <w:tc>
                <w:tcPr>
                  <w:tcW w:w="1145" w:type="pct"/>
                  <w:vAlign w:val="center"/>
                </w:tcPr>
                <w:p w14:paraId="2A568F4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vMerge w:val="continue"/>
                  <w:vAlign w:val="center"/>
                </w:tcPr>
                <w:p w14:paraId="6079D7DB">
                  <w:pPr>
                    <w:pStyle w:val="41"/>
                    <w:bidi w:val="0"/>
                    <w:jc w:val="center"/>
                    <w:rPr>
                      <w:rFonts w:hint="default"/>
                      <w:color w:val="auto"/>
                      <w:highlight w:val="none"/>
                      <w:lang w:val="en-US" w:eastAsia="zh-CN"/>
                    </w:rPr>
                  </w:pPr>
                </w:p>
              </w:tc>
            </w:tr>
            <w:tr w14:paraId="428BA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054BF9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vAlign w:val="center"/>
                </w:tcPr>
                <w:p w14:paraId="66D5CEA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AKTA Purifier</w:t>
                  </w:r>
                </w:p>
              </w:tc>
              <w:tc>
                <w:tcPr>
                  <w:tcW w:w="1330" w:type="pct"/>
                  <w:vAlign w:val="center"/>
                </w:tcPr>
                <w:p w14:paraId="5B4E0D3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Purifier 100</w:t>
                  </w:r>
                </w:p>
              </w:tc>
              <w:tc>
                <w:tcPr>
                  <w:tcW w:w="1145" w:type="pct"/>
                  <w:vAlign w:val="center"/>
                </w:tcPr>
                <w:p w14:paraId="1666A4F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vMerge w:val="continue"/>
                  <w:vAlign w:val="center"/>
                </w:tcPr>
                <w:p w14:paraId="47FE2DFC">
                  <w:pPr>
                    <w:pStyle w:val="41"/>
                    <w:bidi w:val="0"/>
                    <w:jc w:val="center"/>
                    <w:rPr>
                      <w:rFonts w:hint="default"/>
                      <w:color w:val="auto"/>
                      <w:highlight w:val="none"/>
                      <w:lang w:val="en-US" w:eastAsia="zh-CN"/>
                    </w:rPr>
                  </w:pPr>
                </w:p>
              </w:tc>
            </w:tr>
            <w:tr w14:paraId="46DE4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6CC650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483A2A48">
                  <w:pPr>
                    <w:pStyle w:val="41"/>
                    <w:bidi w:val="0"/>
                    <w:jc w:val="center"/>
                    <w:rPr>
                      <w:rFonts w:hint="default"/>
                      <w:color w:val="auto"/>
                      <w:lang w:val="en-US" w:eastAsia="zh-CN"/>
                    </w:rPr>
                  </w:pPr>
                  <w:r>
                    <w:rPr>
                      <w:rFonts w:hint="eastAsia"/>
                      <w:color w:val="auto"/>
                    </w:rPr>
                    <w:t>磁力搅拌器</w:t>
                  </w:r>
                </w:p>
              </w:tc>
              <w:tc>
                <w:tcPr>
                  <w:tcW w:w="1330" w:type="pct"/>
                  <w:shd w:val="clear" w:color="auto" w:fill="auto"/>
                  <w:vAlign w:val="center"/>
                </w:tcPr>
                <w:p w14:paraId="0292BF7D">
                  <w:pPr>
                    <w:pStyle w:val="41"/>
                    <w:bidi w:val="0"/>
                    <w:jc w:val="center"/>
                    <w:rPr>
                      <w:rFonts w:hint="default"/>
                      <w:color w:val="auto"/>
                      <w:lang w:val="en-US" w:eastAsia="zh-CN"/>
                    </w:rPr>
                  </w:pPr>
                  <w:r>
                    <w:rPr>
                      <w:rFonts w:hint="eastAsia"/>
                      <w:color w:val="auto"/>
                    </w:rPr>
                    <w:t>豫华98-2型</w:t>
                  </w:r>
                </w:p>
              </w:tc>
              <w:tc>
                <w:tcPr>
                  <w:tcW w:w="1145" w:type="pct"/>
                  <w:shd w:val="clear" w:color="auto" w:fill="auto"/>
                  <w:vAlign w:val="center"/>
                </w:tcPr>
                <w:p w14:paraId="384D9F24">
                  <w:pPr>
                    <w:pStyle w:val="41"/>
                    <w:bidi w:val="0"/>
                    <w:jc w:val="center"/>
                    <w:rPr>
                      <w:rFonts w:hint="default"/>
                      <w:color w:val="auto"/>
                      <w:lang w:val="en-US" w:eastAsia="zh-CN"/>
                    </w:rPr>
                  </w:pPr>
                  <w:r>
                    <w:rPr>
                      <w:rFonts w:hint="eastAsia"/>
                      <w:color w:val="auto"/>
                      <w:lang w:val="en-US" w:eastAsia="zh-CN"/>
                    </w:rPr>
                    <w:t>12</w:t>
                  </w:r>
                </w:p>
              </w:tc>
              <w:tc>
                <w:tcPr>
                  <w:tcW w:w="812" w:type="pct"/>
                  <w:vMerge w:val="restart"/>
                  <w:vAlign w:val="center"/>
                </w:tcPr>
                <w:p w14:paraId="6CF942A2">
                  <w:pPr>
                    <w:pStyle w:val="41"/>
                    <w:bidi w:val="0"/>
                    <w:jc w:val="center"/>
                    <w:rPr>
                      <w:rFonts w:hint="default"/>
                      <w:color w:val="auto"/>
                      <w:lang w:val="en-US" w:eastAsia="zh-CN"/>
                    </w:rPr>
                  </w:pPr>
                  <w:r>
                    <w:rPr>
                      <w:rFonts w:hint="eastAsia"/>
                      <w:color w:val="auto"/>
                      <w:lang w:val="en-US" w:eastAsia="zh-CN"/>
                    </w:rPr>
                    <w:t>1号楼</w:t>
                  </w:r>
                </w:p>
              </w:tc>
            </w:tr>
            <w:tr w14:paraId="00CB5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4D9467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50B4259F">
                  <w:pPr>
                    <w:pStyle w:val="41"/>
                    <w:bidi w:val="0"/>
                    <w:jc w:val="center"/>
                    <w:rPr>
                      <w:rFonts w:hint="default"/>
                      <w:color w:val="auto"/>
                      <w:lang w:val="en-US" w:eastAsia="zh-CN"/>
                    </w:rPr>
                  </w:pPr>
                  <w:r>
                    <w:rPr>
                      <w:rFonts w:hint="eastAsia"/>
                      <w:color w:val="auto"/>
                      <w:lang w:eastAsia="zh-CN"/>
                    </w:rPr>
                    <w:t>集热式磁力搅拌器</w:t>
                  </w:r>
                </w:p>
              </w:tc>
              <w:tc>
                <w:tcPr>
                  <w:tcW w:w="1330" w:type="pct"/>
                  <w:shd w:val="clear" w:color="auto" w:fill="auto"/>
                  <w:vAlign w:val="center"/>
                </w:tcPr>
                <w:p w14:paraId="355ACFBD">
                  <w:pPr>
                    <w:pStyle w:val="41"/>
                    <w:bidi w:val="0"/>
                    <w:jc w:val="center"/>
                    <w:rPr>
                      <w:rFonts w:hint="default"/>
                      <w:color w:val="auto"/>
                      <w:lang w:val="en-US" w:eastAsia="zh-CN"/>
                    </w:rPr>
                  </w:pPr>
                  <w:r>
                    <w:rPr>
                      <w:rFonts w:hint="eastAsia"/>
                      <w:color w:val="auto"/>
                    </w:rPr>
                    <w:t>豫华DF-101S型</w:t>
                  </w:r>
                </w:p>
              </w:tc>
              <w:tc>
                <w:tcPr>
                  <w:tcW w:w="1145" w:type="pct"/>
                  <w:shd w:val="clear" w:color="auto" w:fill="auto"/>
                  <w:vAlign w:val="center"/>
                </w:tcPr>
                <w:p w14:paraId="0A72C8C9">
                  <w:pPr>
                    <w:pStyle w:val="41"/>
                    <w:bidi w:val="0"/>
                    <w:jc w:val="center"/>
                    <w:rPr>
                      <w:rFonts w:hint="default"/>
                      <w:color w:val="auto"/>
                      <w:lang w:val="en-US" w:eastAsia="zh-CN"/>
                    </w:rPr>
                  </w:pPr>
                  <w:r>
                    <w:rPr>
                      <w:rFonts w:hint="eastAsia"/>
                      <w:color w:val="auto"/>
                      <w:lang w:val="en-US" w:eastAsia="zh-CN"/>
                    </w:rPr>
                    <w:t>12</w:t>
                  </w:r>
                </w:p>
              </w:tc>
              <w:tc>
                <w:tcPr>
                  <w:tcW w:w="812" w:type="pct"/>
                  <w:vMerge w:val="continue"/>
                  <w:vAlign w:val="center"/>
                </w:tcPr>
                <w:p w14:paraId="3F7CBB06">
                  <w:pPr>
                    <w:pStyle w:val="41"/>
                    <w:bidi w:val="0"/>
                    <w:jc w:val="center"/>
                    <w:rPr>
                      <w:rFonts w:hint="default"/>
                      <w:color w:val="auto"/>
                      <w:lang w:val="en-US" w:eastAsia="zh-CN"/>
                    </w:rPr>
                  </w:pPr>
                </w:p>
              </w:tc>
            </w:tr>
            <w:tr w14:paraId="6083E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97A50B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24AB6DD9">
                  <w:pPr>
                    <w:pStyle w:val="41"/>
                    <w:bidi w:val="0"/>
                    <w:jc w:val="center"/>
                    <w:rPr>
                      <w:rFonts w:hint="default"/>
                      <w:color w:val="auto"/>
                      <w:lang w:val="en-US" w:eastAsia="zh-CN"/>
                    </w:rPr>
                  </w:pPr>
                  <w:r>
                    <w:rPr>
                      <w:rFonts w:hint="eastAsia"/>
                      <w:color w:val="auto"/>
                    </w:rPr>
                    <w:t>玻璃仪器气流烘干器</w:t>
                  </w:r>
                </w:p>
              </w:tc>
              <w:tc>
                <w:tcPr>
                  <w:tcW w:w="1330" w:type="pct"/>
                  <w:shd w:val="clear" w:color="auto" w:fill="auto"/>
                  <w:vAlign w:val="center"/>
                </w:tcPr>
                <w:p w14:paraId="634B7800">
                  <w:pPr>
                    <w:pStyle w:val="41"/>
                    <w:bidi w:val="0"/>
                    <w:jc w:val="center"/>
                    <w:rPr>
                      <w:rFonts w:hint="default"/>
                      <w:color w:val="auto"/>
                      <w:lang w:val="en-US" w:eastAsia="zh-CN"/>
                    </w:rPr>
                  </w:pPr>
                  <w:r>
                    <w:rPr>
                      <w:rFonts w:hint="eastAsia"/>
                      <w:color w:val="auto"/>
                    </w:rPr>
                    <w:t>豫华C30型</w:t>
                  </w:r>
                </w:p>
              </w:tc>
              <w:tc>
                <w:tcPr>
                  <w:tcW w:w="1145" w:type="pct"/>
                  <w:shd w:val="clear" w:color="auto" w:fill="auto"/>
                  <w:vAlign w:val="center"/>
                </w:tcPr>
                <w:p w14:paraId="576450AF">
                  <w:pPr>
                    <w:pStyle w:val="41"/>
                    <w:bidi w:val="0"/>
                    <w:jc w:val="center"/>
                    <w:rPr>
                      <w:rFonts w:hint="default"/>
                      <w:color w:val="auto"/>
                      <w:lang w:val="en-US" w:eastAsia="zh-CN"/>
                    </w:rPr>
                  </w:pPr>
                  <w:r>
                    <w:rPr>
                      <w:rFonts w:hint="eastAsia"/>
                      <w:color w:val="auto"/>
                      <w:lang w:val="en-US" w:eastAsia="zh-CN"/>
                    </w:rPr>
                    <w:t>3</w:t>
                  </w:r>
                </w:p>
              </w:tc>
              <w:tc>
                <w:tcPr>
                  <w:tcW w:w="812" w:type="pct"/>
                  <w:vMerge w:val="continue"/>
                  <w:vAlign w:val="center"/>
                </w:tcPr>
                <w:p w14:paraId="477B579E">
                  <w:pPr>
                    <w:pStyle w:val="41"/>
                    <w:bidi w:val="0"/>
                    <w:jc w:val="center"/>
                    <w:rPr>
                      <w:rFonts w:hint="default"/>
                      <w:color w:val="auto"/>
                      <w:lang w:val="en-US" w:eastAsia="zh-CN"/>
                    </w:rPr>
                  </w:pPr>
                </w:p>
              </w:tc>
            </w:tr>
            <w:tr w14:paraId="0EFFA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1286AB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56BDE870">
                  <w:pPr>
                    <w:pStyle w:val="41"/>
                    <w:bidi w:val="0"/>
                    <w:jc w:val="center"/>
                    <w:rPr>
                      <w:rFonts w:hint="default"/>
                      <w:color w:val="auto"/>
                      <w:lang w:val="en-US" w:eastAsia="zh-CN"/>
                    </w:rPr>
                  </w:pPr>
                  <w:r>
                    <w:rPr>
                      <w:rFonts w:hint="eastAsia"/>
                      <w:color w:val="auto"/>
                    </w:rPr>
                    <w:t>电子分析天平</w:t>
                  </w:r>
                </w:p>
              </w:tc>
              <w:tc>
                <w:tcPr>
                  <w:tcW w:w="1330" w:type="pct"/>
                  <w:shd w:val="clear" w:color="auto" w:fill="auto"/>
                  <w:vAlign w:val="center"/>
                </w:tcPr>
                <w:p w14:paraId="2791F812">
                  <w:pPr>
                    <w:pStyle w:val="41"/>
                    <w:bidi w:val="0"/>
                    <w:jc w:val="center"/>
                    <w:rPr>
                      <w:rFonts w:hint="default"/>
                      <w:color w:val="auto"/>
                      <w:lang w:val="en-US" w:eastAsia="zh-CN"/>
                    </w:rPr>
                  </w:pPr>
                  <w:r>
                    <w:rPr>
                      <w:rFonts w:hint="eastAsia"/>
                      <w:color w:val="auto"/>
                    </w:rPr>
                    <w:t>上海舜宇恒平YP3101N型</w:t>
                  </w:r>
                </w:p>
              </w:tc>
              <w:tc>
                <w:tcPr>
                  <w:tcW w:w="1145" w:type="pct"/>
                  <w:shd w:val="clear" w:color="auto" w:fill="auto"/>
                  <w:vAlign w:val="center"/>
                </w:tcPr>
                <w:p w14:paraId="6B4BD169">
                  <w:pPr>
                    <w:pStyle w:val="41"/>
                    <w:bidi w:val="0"/>
                    <w:jc w:val="center"/>
                    <w:rPr>
                      <w:rFonts w:hint="default"/>
                      <w:color w:val="auto"/>
                      <w:lang w:val="en-US" w:eastAsia="zh-CN"/>
                    </w:rPr>
                  </w:pPr>
                  <w:r>
                    <w:rPr>
                      <w:rFonts w:hint="eastAsia"/>
                      <w:color w:val="auto"/>
                      <w:lang w:val="en-US" w:eastAsia="zh-CN"/>
                    </w:rPr>
                    <w:t>1</w:t>
                  </w:r>
                </w:p>
              </w:tc>
              <w:tc>
                <w:tcPr>
                  <w:tcW w:w="812" w:type="pct"/>
                  <w:vMerge w:val="continue"/>
                  <w:vAlign w:val="center"/>
                </w:tcPr>
                <w:p w14:paraId="251380EE">
                  <w:pPr>
                    <w:pStyle w:val="41"/>
                    <w:bidi w:val="0"/>
                    <w:jc w:val="center"/>
                    <w:rPr>
                      <w:rFonts w:hint="default"/>
                      <w:color w:val="auto"/>
                      <w:lang w:val="en-US" w:eastAsia="zh-CN"/>
                    </w:rPr>
                  </w:pPr>
                </w:p>
              </w:tc>
            </w:tr>
            <w:tr w14:paraId="5034F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B1F5C7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0F01DACE">
                  <w:pPr>
                    <w:pStyle w:val="41"/>
                    <w:bidi w:val="0"/>
                    <w:jc w:val="center"/>
                    <w:rPr>
                      <w:rFonts w:hint="default"/>
                      <w:color w:val="auto"/>
                      <w:lang w:val="en-US" w:eastAsia="zh-CN"/>
                    </w:rPr>
                  </w:pPr>
                  <w:r>
                    <w:rPr>
                      <w:rFonts w:hint="eastAsia"/>
                      <w:color w:val="auto"/>
                    </w:rPr>
                    <w:t>电子分析天平</w:t>
                  </w:r>
                </w:p>
              </w:tc>
              <w:tc>
                <w:tcPr>
                  <w:tcW w:w="1330" w:type="pct"/>
                  <w:shd w:val="clear" w:color="auto" w:fill="auto"/>
                  <w:vAlign w:val="center"/>
                </w:tcPr>
                <w:p w14:paraId="1821DA88">
                  <w:pPr>
                    <w:pStyle w:val="41"/>
                    <w:bidi w:val="0"/>
                    <w:jc w:val="center"/>
                    <w:rPr>
                      <w:rFonts w:hint="default"/>
                      <w:color w:val="auto"/>
                      <w:lang w:val="en-US" w:eastAsia="zh-CN"/>
                    </w:rPr>
                  </w:pPr>
                  <w:r>
                    <w:rPr>
                      <w:rFonts w:hint="eastAsia"/>
                      <w:color w:val="auto"/>
                    </w:rPr>
                    <w:t>上海舜宇恒平JA5003型</w:t>
                  </w:r>
                </w:p>
              </w:tc>
              <w:tc>
                <w:tcPr>
                  <w:tcW w:w="1145" w:type="pct"/>
                  <w:shd w:val="clear" w:color="auto" w:fill="auto"/>
                  <w:vAlign w:val="center"/>
                </w:tcPr>
                <w:p w14:paraId="6F834AB1">
                  <w:pPr>
                    <w:pStyle w:val="41"/>
                    <w:bidi w:val="0"/>
                    <w:jc w:val="center"/>
                    <w:rPr>
                      <w:rFonts w:hint="default"/>
                      <w:color w:val="auto"/>
                      <w:lang w:val="en-US" w:eastAsia="zh-CN"/>
                    </w:rPr>
                  </w:pPr>
                  <w:r>
                    <w:rPr>
                      <w:rFonts w:hint="eastAsia"/>
                      <w:color w:val="auto"/>
                      <w:lang w:val="en-US" w:eastAsia="zh-CN"/>
                    </w:rPr>
                    <w:t>3</w:t>
                  </w:r>
                </w:p>
              </w:tc>
              <w:tc>
                <w:tcPr>
                  <w:tcW w:w="812" w:type="pct"/>
                  <w:vMerge w:val="continue"/>
                  <w:vAlign w:val="center"/>
                </w:tcPr>
                <w:p w14:paraId="503A6705">
                  <w:pPr>
                    <w:pStyle w:val="41"/>
                    <w:bidi w:val="0"/>
                    <w:jc w:val="center"/>
                    <w:rPr>
                      <w:rFonts w:hint="default"/>
                      <w:color w:val="auto"/>
                      <w:lang w:val="en-US" w:eastAsia="zh-CN"/>
                    </w:rPr>
                  </w:pPr>
                </w:p>
              </w:tc>
            </w:tr>
            <w:tr w14:paraId="6A099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22F09E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272615A5">
                  <w:pPr>
                    <w:pStyle w:val="41"/>
                    <w:bidi w:val="0"/>
                    <w:jc w:val="center"/>
                    <w:rPr>
                      <w:rFonts w:hint="default"/>
                      <w:color w:val="auto"/>
                      <w:lang w:val="en-US" w:eastAsia="zh-CN"/>
                    </w:rPr>
                  </w:pPr>
                  <w:r>
                    <w:rPr>
                      <w:rFonts w:hint="eastAsia"/>
                      <w:color w:val="auto"/>
                    </w:rPr>
                    <w:t>电子分析天平</w:t>
                  </w:r>
                </w:p>
              </w:tc>
              <w:tc>
                <w:tcPr>
                  <w:tcW w:w="1330" w:type="pct"/>
                  <w:shd w:val="clear" w:color="auto" w:fill="auto"/>
                  <w:vAlign w:val="center"/>
                </w:tcPr>
                <w:p w14:paraId="65179559">
                  <w:pPr>
                    <w:pStyle w:val="41"/>
                    <w:bidi w:val="0"/>
                    <w:jc w:val="center"/>
                    <w:rPr>
                      <w:rFonts w:hint="default"/>
                      <w:color w:val="auto"/>
                      <w:lang w:val="en-US" w:eastAsia="zh-CN"/>
                    </w:rPr>
                  </w:pPr>
                  <w:r>
                    <w:rPr>
                      <w:rFonts w:hint="eastAsia"/>
                      <w:color w:val="auto"/>
                    </w:rPr>
                    <w:t>上海舜宇恒平FB224型</w:t>
                  </w:r>
                </w:p>
              </w:tc>
              <w:tc>
                <w:tcPr>
                  <w:tcW w:w="1145" w:type="pct"/>
                  <w:shd w:val="clear" w:color="auto" w:fill="auto"/>
                  <w:vAlign w:val="center"/>
                </w:tcPr>
                <w:p w14:paraId="4D6A2E77">
                  <w:pPr>
                    <w:pStyle w:val="41"/>
                    <w:bidi w:val="0"/>
                    <w:jc w:val="center"/>
                    <w:rPr>
                      <w:rFonts w:hint="default"/>
                      <w:color w:val="auto"/>
                      <w:lang w:val="en-US" w:eastAsia="zh-CN"/>
                    </w:rPr>
                  </w:pPr>
                  <w:r>
                    <w:rPr>
                      <w:rFonts w:hint="eastAsia"/>
                      <w:color w:val="auto"/>
                      <w:lang w:val="en-US" w:eastAsia="zh-CN"/>
                    </w:rPr>
                    <w:t>1</w:t>
                  </w:r>
                </w:p>
              </w:tc>
              <w:tc>
                <w:tcPr>
                  <w:tcW w:w="812" w:type="pct"/>
                  <w:vMerge w:val="continue"/>
                  <w:vAlign w:val="center"/>
                </w:tcPr>
                <w:p w14:paraId="0C41FA15">
                  <w:pPr>
                    <w:pStyle w:val="41"/>
                    <w:bidi w:val="0"/>
                    <w:jc w:val="center"/>
                    <w:rPr>
                      <w:rFonts w:hint="default"/>
                      <w:color w:val="auto"/>
                      <w:lang w:val="en-US" w:eastAsia="zh-CN"/>
                    </w:rPr>
                  </w:pPr>
                </w:p>
              </w:tc>
            </w:tr>
            <w:tr w14:paraId="3CF12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BEBE26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6D3D91FF">
                  <w:pPr>
                    <w:pStyle w:val="41"/>
                    <w:bidi w:val="0"/>
                    <w:jc w:val="center"/>
                    <w:rPr>
                      <w:rFonts w:hint="default"/>
                      <w:color w:val="auto"/>
                      <w:lang w:val="en-US" w:eastAsia="zh-CN"/>
                    </w:rPr>
                  </w:pPr>
                  <w:r>
                    <w:rPr>
                      <w:rFonts w:hint="eastAsia"/>
                      <w:color w:val="auto"/>
                    </w:rPr>
                    <w:t>低温冷阱</w:t>
                  </w:r>
                </w:p>
              </w:tc>
              <w:tc>
                <w:tcPr>
                  <w:tcW w:w="1330" w:type="pct"/>
                  <w:shd w:val="clear" w:color="auto" w:fill="auto"/>
                  <w:vAlign w:val="center"/>
                </w:tcPr>
                <w:p w14:paraId="23BF683E">
                  <w:pPr>
                    <w:pStyle w:val="41"/>
                    <w:bidi w:val="0"/>
                    <w:jc w:val="center"/>
                    <w:rPr>
                      <w:rFonts w:hint="default"/>
                      <w:color w:val="auto"/>
                      <w:lang w:val="en-US" w:eastAsia="zh-CN"/>
                    </w:rPr>
                  </w:pPr>
                  <w:r>
                    <w:rPr>
                      <w:rFonts w:hint="eastAsia"/>
                      <w:color w:val="auto"/>
                    </w:rPr>
                    <w:t>长城科工贸 DLSB-5/20C</w:t>
                  </w:r>
                </w:p>
              </w:tc>
              <w:tc>
                <w:tcPr>
                  <w:tcW w:w="1145" w:type="pct"/>
                  <w:shd w:val="clear" w:color="auto" w:fill="auto"/>
                  <w:vAlign w:val="center"/>
                </w:tcPr>
                <w:p w14:paraId="464AEB7F">
                  <w:pPr>
                    <w:pStyle w:val="41"/>
                    <w:bidi w:val="0"/>
                    <w:jc w:val="center"/>
                    <w:rPr>
                      <w:rFonts w:hint="default"/>
                      <w:color w:val="auto"/>
                      <w:lang w:val="en-US" w:eastAsia="zh-CN"/>
                    </w:rPr>
                  </w:pPr>
                  <w:r>
                    <w:rPr>
                      <w:rFonts w:hint="eastAsia"/>
                      <w:color w:val="auto"/>
                      <w:lang w:val="en-US" w:eastAsia="zh-CN"/>
                    </w:rPr>
                    <w:t>3</w:t>
                  </w:r>
                </w:p>
              </w:tc>
              <w:tc>
                <w:tcPr>
                  <w:tcW w:w="812" w:type="pct"/>
                  <w:vMerge w:val="continue"/>
                  <w:vAlign w:val="center"/>
                </w:tcPr>
                <w:p w14:paraId="38770E30">
                  <w:pPr>
                    <w:pStyle w:val="41"/>
                    <w:bidi w:val="0"/>
                    <w:jc w:val="center"/>
                    <w:rPr>
                      <w:rFonts w:hint="default"/>
                      <w:color w:val="auto"/>
                      <w:lang w:val="en-US" w:eastAsia="zh-CN"/>
                    </w:rPr>
                  </w:pPr>
                </w:p>
              </w:tc>
            </w:tr>
            <w:tr w14:paraId="746D7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7DCB88A">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052DE7D4">
                  <w:pPr>
                    <w:pStyle w:val="41"/>
                    <w:bidi w:val="0"/>
                    <w:jc w:val="center"/>
                    <w:rPr>
                      <w:rFonts w:hint="default"/>
                      <w:color w:val="auto"/>
                      <w:lang w:val="en-US" w:eastAsia="zh-CN"/>
                    </w:rPr>
                  </w:pPr>
                  <w:r>
                    <w:rPr>
                      <w:rFonts w:hint="eastAsia"/>
                      <w:color w:val="auto"/>
                    </w:rPr>
                    <w:t>低温恒温反应浴</w:t>
                  </w:r>
                </w:p>
              </w:tc>
              <w:tc>
                <w:tcPr>
                  <w:tcW w:w="1330" w:type="pct"/>
                  <w:shd w:val="clear" w:color="auto" w:fill="auto"/>
                  <w:vAlign w:val="center"/>
                </w:tcPr>
                <w:p w14:paraId="1DE873E0">
                  <w:pPr>
                    <w:pStyle w:val="41"/>
                    <w:bidi w:val="0"/>
                    <w:jc w:val="center"/>
                    <w:rPr>
                      <w:rFonts w:hint="default"/>
                      <w:color w:val="auto"/>
                      <w:lang w:val="en-US" w:eastAsia="zh-CN"/>
                    </w:rPr>
                  </w:pPr>
                  <w:r>
                    <w:rPr>
                      <w:rFonts w:hint="eastAsia"/>
                      <w:color w:val="auto"/>
                    </w:rPr>
                    <w:t>长城科工贸 DHJF-4005</w:t>
                  </w:r>
                </w:p>
              </w:tc>
              <w:tc>
                <w:tcPr>
                  <w:tcW w:w="1145" w:type="pct"/>
                  <w:shd w:val="clear" w:color="auto" w:fill="auto"/>
                  <w:vAlign w:val="center"/>
                </w:tcPr>
                <w:p w14:paraId="3C693143">
                  <w:pPr>
                    <w:pStyle w:val="41"/>
                    <w:bidi w:val="0"/>
                    <w:jc w:val="center"/>
                    <w:rPr>
                      <w:rFonts w:hint="default"/>
                      <w:color w:val="auto"/>
                      <w:lang w:val="en-US" w:eastAsia="zh-CN"/>
                    </w:rPr>
                  </w:pPr>
                  <w:r>
                    <w:rPr>
                      <w:rFonts w:hint="eastAsia"/>
                      <w:color w:val="auto"/>
                      <w:lang w:val="en-US" w:eastAsia="zh-CN"/>
                    </w:rPr>
                    <w:t>1</w:t>
                  </w:r>
                </w:p>
              </w:tc>
              <w:tc>
                <w:tcPr>
                  <w:tcW w:w="812" w:type="pct"/>
                  <w:vMerge w:val="continue"/>
                  <w:vAlign w:val="center"/>
                </w:tcPr>
                <w:p w14:paraId="74399DF7">
                  <w:pPr>
                    <w:pStyle w:val="41"/>
                    <w:bidi w:val="0"/>
                    <w:jc w:val="center"/>
                    <w:rPr>
                      <w:rFonts w:hint="default"/>
                      <w:color w:val="auto"/>
                      <w:lang w:val="en-US" w:eastAsia="zh-CN"/>
                    </w:rPr>
                  </w:pPr>
                </w:p>
              </w:tc>
            </w:tr>
            <w:tr w14:paraId="5F32A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17DC2C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7D23B316">
                  <w:pPr>
                    <w:pStyle w:val="41"/>
                    <w:bidi w:val="0"/>
                    <w:jc w:val="center"/>
                    <w:rPr>
                      <w:rFonts w:hint="default"/>
                      <w:color w:val="auto"/>
                      <w:lang w:val="en-US" w:eastAsia="zh-CN"/>
                    </w:rPr>
                  </w:pPr>
                  <w:r>
                    <w:rPr>
                      <w:rFonts w:hint="eastAsia"/>
                      <w:color w:val="auto"/>
                    </w:rPr>
                    <w:t>低温恒温反应浴</w:t>
                  </w:r>
                </w:p>
              </w:tc>
              <w:tc>
                <w:tcPr>
                  <w:tcW w:w="1330" w:type="pct"/>
                  <w:shd w:val="clear" w:color="auto" w:fill="auto"/>
                  <w:vAlign w:val="center"/>
                </w:tcPr>
                <w:p w14:paraId="5AA3B375">
                  <w:pPr>
                    <w:pStyle w:val="41"/>
                    <w:bidi w:val="0"/>
                    <w:jc w:val="center"/>
                    <w:rPr>
                      <w:rFonts w:hint="default"/>
                      <w:color w:val="auto"/>
                      <w:lang w:val="en-US" w:eastAsia="zh-CN"/>
                    </w:rPr>
                  </w:pPr>
                  <w:r>
                    <w:rPr>
                      <w:rFonts w:hint="eastAsia"/>
                      <w:color w:val="auto"/>
                    </w:rPr>
                    <w:t>长城科工贸 DHJF-8005F</w:t>
                  </w:r>
                </w:p>
              </w:tc>
              <w:tc>
                <w:tcPr>
                  <w:tcW w:w="1145" w:type="pct"/>
                  <w:shd w:val="clear" w:color="auto" w:fill="auto"/>
                  <w:vAlign w:val="center"/>
                </w:tcPr>
                <w:p w14:paraId="280F15A2">
                  <w:pPr>
                    <w:pStyle w:val="41"/>
                    <w:bidi w:val="0"/>
                    <w:jc w:val="center"/>
                    <w:rPr>
                      <w:rFonts w:hint="default"/>
                      <w:color w:val="auto"/>
                      <w:lang w:val="en-US" w:eastAsia="zh-CN"/>
                    </w:rPr>
                  </w:pPr>
                  <w:r>
                    <w:rPr>
                      <w:rFonts w:hint="eastAsia"/>
                      <w:color w:val="auto"/>
                      <w:lang w:val="en-US" w:eastAsia="zh-CN"/>
                    </w:rPr>
                    <w:t>1</w:t>
                  </w:r>
                </w:p>
              </w:tc>
              <w:tc>
                <w:tcPr>
                  <w:tcW w:w="812" w:type="pct"/>
                  <w:vMerge w:val="continue"/>
                  <w:vAlign w:val="center"/>
                </w:tcPr>
                <w:p w14:paraId="69D8C531">
                  <w:pPr>
                    <w:pStyle w:val="41"/>
                    <w:bidi w:val="0"/>
                    <w:jc w:val="center"/>
                    <w:rPr>
                      <w:rFonts w:hint="default"/>
                      <w:color w:val="auto"/>
                      <w:lang w:val="en-US" w:eastAsia="zh-CN"/>
                    </w:rPr>
                  </w:pPr>
                </w:p>
              </w:tc>
            </w:tr>
            <w:tr w14:paraId="494F9D0C">
              <w:tblPrEx>
                <w:tblCellMar>
                  <w:top w:w="0" w:type="dxa"/>
                  <w:left w:w="108" w:type="dxa"/>
                  <w:bottom w:w="0" w:type="dxa"/>
                  <w:right w:w="108" w:type="dxa"/>
                </w:tblCellMar>
              </w:tblPrEx>
              <w:trPr>
                <w:trHeight w:val="23" w:hRule="atLeast"/>
                <w:jc w:val="center"/>
              </w:trPr>
              <w:tc>
                <w:tcPr>
                  <w:tcW w:w="478" w:type="pct"/>
                  <w:vAlign w:val="center"/>
                </w:tcPr>
                <w:p w14:paraId="62AC6A6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4B0343C7">
                  <w:pPr>
                    <w:pStyle w:val="41"/>
                    <w:bidi w:val="0"/>
                    <w:jc w:val="center"/>
                    <w:rPr>
                      <w:rFonts w:hint="default"/>
                      <w:color w:val="auto"/>
                      <w:lang w:val="en-US" w:eastAsia="zh-CN"/>
                    </w:rPr>
                  </w:pPr>
                  <w:r>
                    <w:rPr>
                      <w:rFonts w:hint="eastAsia"/>
                      <w:color w:val="auto"/>
                    </w:rPr>
                    <w:t>台式恒温超声波清洗仪</w:t>
                  </w:r>
                </w:p>
              </w:tc>
              <w:tc>
                <w:tcPr>
                  <w:tcW w:w="1330" w:type="pct"/>
                  <w:shd w:val="clear" w:color="auto" w:fill="auto"/>
                  <w:vAlign w:val="center"/>
                </w:tcPr>
                <w:p w14:paraId="49BBBF5C">
                  <w:pPr>
                    <w:pStyle w:val="41"/>
                    <w:bidi w:val="0"/>
                    <w:jc w:val="center"/>
                    <w:rPr>
                      <w:rFonts w:hint="default"/>
                      <w:color w:val="auto"/>
                      <w:lang w:val="en-US" w:eastAsia="zh-CN"/>
                    </w:rPr>
                  </w:pPr>
                  <w:r>
                    <w:rPr>
                      <w:rFonts w:hint="eastAsia"/>
                      <w:color w:val="auto"/>
                    </w:rPr>
                    <w:t>昆山禾创 KH5200B</w:t>
                  </w:r>
                </w:p>
              </w:tc>
              <w:tc>
                <w:tcPr>
                  <w:tcW w:w="1145" w:type="pct"/>
                  <w:shd w:val="clear" w:color="auto" w:fill="auto"/>
                  <w:vAlign w:val="center"/>
                </w:tcPr>
                <w:p w14:paraId="544C2E4A">
                  <w:pPr>
                    <w:pStyle w:val="41"/>
                    <w:bidi w:val="0"/>
                    <w:jc w:val="center"/>
                    <w:rPr>
                      <w:rFonts w:hint="default"/>
                      <w:color w:val="auto"/>
                      <w:lang w:val="en-US" w:eastAsia="zh-CN"/>
                    </w:rPr>
                  </w:pPr>
                  <w:r>
                    <w:rPr>
                      <w:rFonts w:hint="eastAsia"/>
                      <w:color w:val="auto"/>
                      <w:lang w:val="en-US" w:eastAsia="zh-CN"/>
                    </w:rPr>
                    <w:t>3</w:t>
                  </w:r>
                </w:p>
              </w:tc>
              <w:tc>
                <w:tcPr>
                  <w:tcW w:w="812" w:type="pct"/>
                  <w:vMerge w:val="continue"/>
                  <w:vAlign w:val="center"/>
                </w:tcPr>
                <w:p w14:paraId="03A53B99">
                  <w:pPr>
                    <w:pStyle w:val="41"/>
                    <w:bidi w:val="0"/>
                    <w:jc w:val="center"/>
                    <w:rPr>
                      <w:rFonts w:hint="default"/>
                      <w:color w:val="auto"/>
                      <w:lang w:val="en-US" w:eastAsia="zh-CN"/>
                    </w:rPr>
                  </w:pPr>
                </w:p>
              </w:tc>
            </w:tr>
            <w:tr w14:paraId="340E2D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60EC9AE">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2CD5B3C1">
                  <w:pPr>
                    <w:pStyle w:val="41"/>
                    <w:bidi w:val="0"/>
                    <w:jc w:val="center"/>
                    <w:rPr>
                      <w:rFonts w:hint="default"/>
                      <w:color w:val="auto"/>
                      <w:lang w:val="en-US" w:eastAsia="zh-CN"/>
                    </w:rPr>
                  </w:pPr>
                  <w:r>
                    <w:rPr>
                      <w:rFonts w:hint="eastAsia"/>
                      <w:color w:val="auto"/>
                    </w:rPr>
                    <w:t>冰箱</w:t>
                  </w:r>
                </w:p>
              </w:tc>
              <w:tc>
                <w:tcPr>
                  <w:tcW w:w="1330" w:type="pct"/>
                  <w:shd w:val="clear" w:color="auto" w:fill="auto"/>
                  <w:vAlign w:val="center"/>
                </w:tcPr>
                <w:p w14:paraId="62322ACF">
                  <w:pPr>
                    <w:pStyle w:val="41"/>
                    <w:bidi w:val="0"/>
                    <w:jc w:val="center"/>
                    <w:rPr>
                      <w:rFonts w:hint="default"/>
                      <w:color w:val="auto"/>
                      <w:lang w:val="en-US" w:eastAsia="zh-CN"/>
                    </w:rPr>
                  </w:pPr>
                  <w:r>
                    <w:rPr>
                      <w:rFonts w:hint="eastAsia"/>
                      <w:color w:val="auto"/>
                    </w:rPr>
                    <w:t>海尔</w:t>
                  </w:r>
                  <w:r>
                    <w:rPr>
                      <w:rFonts w:hint="eastAsia"/>
                      <w:color w:val="auto"/>
                      <w:lang w:val="en-US" w:eastAsia="zh-CN"/>
                    </w:rPr>
                    <w:t xml:space="preserve"> 180L</w:t>
                  </w:r>
                </w:p>
              </w:tc>
              <w:tc>
                <w:tcPr>
                  <w:tcW w:w="1145" w:type="pct"/>
                  <w:shd w:val="clear" w:color="auto" w:fill="auto"/>
                  <w:vAlign w:val="center"/>
                </w:tcPr>
                <w:p w14:paraId="58CE1CF8">
                  <w:pPr>
                    <w:pStyle w:val="41"/>
                    <w:bidi w:val="0"/>
                    <w:jc w:val="center"/>
                    <w:rPr>
                      <w:rFonts w:hint="default"/>
                      <w:color w:val="auto"/>
                      <w:lang w:val="en-US" w:eastAsia="zh-CN"/>
                    </w:rPr>
                  </w:pPr>
                  <w:r>
                    <w:rPr>
                      <w:rFonts w:hint="eastAsia"/>
                      <w:color w:val="auto"/>
                      <w:lang w:val="en-US" w:eastAsia="zh-CN"/>
                    </w:rPr>
                    <w:t>3</w:t>
                  </w:r>
                </w:p>
              </w:tc>
              <w:tc>
                <w:tcPr>
                  <w:tcW w:w="812" w:type="pct"/>
                  <w:vMerge w:val="continue"/>
                  <w:vAlign w:val="center"/>
                </w:tcPr>
                <w:p w14:paraId="2BF77A45">
                  <w:pPr>
                    <w:pStyle w:val="41"/>
                    <w:bidi w:val="0"/>
                    <w:jc w:val="center"/>
                    <w:rPr>
                      <w:rFonts w:hint="default"/>
                      <w:color w:val="auto"/>
                      <w:lang w:val="en-US" w:eastAsia="zh-CN"/>
                    </w:rPr>
                  </w:pPr>
                </w:p>
              </w:tc>
            </w:tr>
            <w:tr w14:paraId="78E4A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E82663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0FF1A44B">
                  <w:pPr>
                    <w:pStyle w:val="41"/>
                    <w:bidi w:val="0"/>
                    <w:jc w:val="center"/>
                    <w:rPr>
                      <w:rFonts w:hint="default"/>
                      <w:color w:val="auto"/>
                      <w:lang w:val="en-US" w:eastAsia="zh-CN"/>
                    </w:rPr>
                  </w:pPr>
                  <w:r>
                    <w:rPr>
                      <w:rFonts w:hint="eastAsia"/>
                      <w:color w:val="auto"/>
                    </w:rPr>
                    <w:t>暗箱式紫外分析仪</w:t>
                  </w:r>
                </w:p>
              </w:tc>
              <w:tc>
                <w:tcPr>
                  <w:tcW w:w="1330" w:type="pct"/>
                  <w:shd w:val="clear" w:color="auto" w:fill="auto"/>
                  <w:vAlign w:val="center"/>
                </w:tcPr>
                <w:p w14:paraId="79818306">
                  <w:pPr>
                    <w:pStyle w:val="41"/>
                    <w:bidi w:val="0"/>
                    <w:jc w:val="center"/>
                    <w:rPr>
                      <w:rFonts w:hint="default"/>
                      <w:color w:val="auto"/>
                      <w:lang w:val="en-US" w:eastAsia="zh-CN"/>
                    </w:rPr>
                  </w:pPr>
                  <w:r>
                    <w:rPr>
                      <w:rFonts w:hint="eastAsia"/>
                      <w:color w:val="auto"/>
                    </w:rPr>
                    <w:t>三泉中石 ZW-7</w:t>
                  </w:r>
                </w:p>
              </w:tc>
              <w:tc>
                <w:tcPr>
                  <w:tcW w:w="1145" w:type="pct"/>
                  <w:shd w:val="clear" w:color="auto" w:fill="auto"/>
                  <w:vAlign w:val="center"/>
                </w:tcPr>
                <w:p w14:paraId="292A2BCD">
                  <w:pPr>
                    <w:pStyle w:val="41"/>
                    <w:bidi w:val="0"/>
                    <w:jc w:val="center"/>
                    <w:rPr>
                      <w:rFonts w:hint="default"/>
                      <w:color w:val="auto"/>
                      <w:lang w:val="en-US" w:eastAsia="zh-CN"/>
                    </w:rPr>
                  </w:pPr>
                  <w:r>
                    <w:rPr>
                      <w:rFonts w:hint="eastAsia"/>
                      <w:color w:val="auto"/>
                      <w:lang w:val="en-US" w:eastAsia="zh-CN"/>
                    </w:rPr>
                    <w:t>3</w:t>
                  </w:r>
                </w:p>
              </w:tc>
              <w:tc>
                <w:tcPr>
                  <w:tcW w:w="812" w:type="pct"/>
                  <w:vMerge w:val="continue"/>
                  <w:vAlign w:val="center"/>
                </w:tcPr>
                <w:p w14:paraId="31C4D909">
                  <w:pPr>
                    <w:pStyle w:val="41"/>
                    <w:bidi w:val="0"/>
                    <w:jc w:val="center"/>
                    <w:rPr>
                      <w:rFonts w:hint="default"/>
                      <w:color w:val="auto"/>
                      <w:lang w:val="en-US" w:eastAsia="zh-CN"/>
                    </w:rPr>
                  </w:pPr>
                </w:p>
              </w:tc>
            </w:tr>
            <w:tr w14:paraId="11096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DE636D6">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2737E02D">
                  <w:pPr>
                    <w:pStyle w:val="41"/>
                    <w:bidi w:val="0"/>
                    <w:jc w:val="center"/>
                    <w:rPr>
                      <w:rFonts w:hint="default"/>
                      <w:color w:val="auto"/>
                      <w:lang w:val="en-US" w:eastAsia="zh-CN"/>
                    </w:rPr>
                  </w:pPr>
                  <w:r>
                    <w:rPr>
                      <w:rFonts w:hint="eastAsia"/>
                      <w:color w:val="auto"/>
                    </w:rPr>
                    <w:t>冻干机</w:t>
                  </w:r>
                </w:p>
              </w:tc>
              <w:tc>
                <w:tcPr>
                  <w:tcW w:w="1330" w:type="pct"/>
                  <w:shd w:val="clear" w:color="auto" w:fill="auto"/>
                  <w:vAlign w:val="center"/>
                </w:tcPr>
                <w:p w14:paraId="6FCE216A">
                  <w:pPr>
                    <w:pStyle w:val="41"/>
                    <w:bidi w:val="0"/>
                    <w:jc w:val="center"/>
                    <w:rPr>
                      <w:rFonts w:hint="default"/>
                      <w:color w:val="auto"/>
                      <w:lang w:val="en-US" w:eastAsia="zh-CN"/>
                    </w:rPr>
                  </w:pPr>
                  <w:r>
                    <w:rPr>
                      <w:rFonts w:hint="eastAsia"/>
                      <w:color w:val="auto"/>
                    </w:rPr>
                    <w:t>博登DGJ-10C型冷冻干燥机(多歧管型)</w:t>
                  </w:r>
                </w:p>
              </w:tc>
              <w:tc>
                <w:tcPr>
                  <w:tcW w:w="1145" w:type="pct"/>
                  <w:shd w:val="clear" w:color="auto" w:fill="auto"/>
                  <w:vAlign w:val="center"/>
                </w:tcPr>
                <w:p w14:paraId="29F830FF">
                  <w:pPr>
                    <w:pStyle w:val="41"/>
                    <w:bidi w:val="0"/>
                    <w:jc w:val="center"/>
                    <w:rPr>
                      <w:rFonts w:hint="default"/>
                      <w:color w:val="auto"/>
                      <w:lang w:val="en-US" w:eastAsia="zh-CN"/>
                    </w:rPr>
                  </w:pPr>
                  <w:r>
                    <w:rPr>
                      <w:rFonts w:hint="eastAsia"/>
                      <w:color w:val="auto"/>
                      <w:lang w:val="en-US" w:eastAsia="zh-CN"/>
                    </w:rPr>
                    <w:t>2</w:t>
                  </w:r>
                </w:p>
              </w:tc>
              <w:tc>
                <w:tcPr>
                  <w:tcW w:w="812" w:type="pct"/>
                  <w:vMerge w:val="continue"/>
                  <w:vAlign w:val="center"/>
                </w:tcPr>
                <w:p w14:paraId="158F2D17">
                  <w:pPr>
                    <w:pStyle w:val="41"/>
                    <w:bidi w:val="0"/>
                    <w:jc w:val="center"/>
                    <w:rPr>
                      <w:rFonts w:hint="default"/>
                      <w:color w:val="auto"/>
                      <w:lang w:val="en-US" w:eastAsia="zh-CN"/>
                    </w:rPr>
                  </w:pPr>
                </w:p>
              </w:tc>
            </w:tr>
            <w:tr w14:paraId="39F77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69777E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266EEB01">
                  <w:pPr>
                    <w:pStyle w:val="41"/>
                    <w:bidi w:val="0"/>
                    <w:jc w:val="center"/>
                    <w:rPr>
                      <w:rFonts w:hint="default"/>
                      <w:color w:val="auto"/>
                      <w:lang w:val="en-US" w:eastAsia="zh-CN"/>
                    </w:rPr>
                  </w:pPr>
                  <w:r>
                    <w:rPr>
                      <w:rFonts w:hint="eastAsia"/>
                      <w:color w:val="auto"/>
                    </w:rPr>
                    <w:t>微波反应器</w:t>
                  </w:r>
                </w:p>
              </w:tc>
              <w:tc>
                <w:tcPr>
                  <w:tcW w:w="1330" w:type="pct"/>
                  <w:shd w:val="clear" w:color="auto" w:fill="auto"/>
                  <w:vAlign w:val="center"/>
                </w:tcPr>
                <w:p w14:paraId="5AE5EAB1">
                  <w:pPr>
                    <w:pStyle w:val="41"/>
                    <w:bidi w:val="0"/>
                    <w:jc w:val="center"/>
                    <w:rPr>
                      <w:rFonts w:hint="default"/>
                      <w:color w:val="auto"/>
                      <w:lang w:val="en-US" w:eastAsia="zh-CN"/>
                    </w:rPr>
                  </w:pPr>
                  <w:r>
                    <w:rPr>
                      <w:rFonts w:hint="eastAsia"/>
                      <w:color w:val="auto"/>
                    </w:rPr>
                    <w:t>安东帕微波合成仪Monowave200</w:t>
                  </w:r>
                </w:p>
              </w:tc>
              <w:tc>
                <w:tcPr>
                  <w:tcW w:w="1145" w:type="pct"/>
                  <w:shd w:val="clear" w:color="auto" w:fill="auto"/>
                  <w:vAlign w:val="center"/>
                </w:tcPr>
                <w:p w14:paraId="61A1290E">
                  <w:pPr>
                    <w:pStyle w:val="41"/>
                    <w:bidi w:val="0"/>
                    <w:jc w:val="center"/>
                    <w:rPr>
                      <w:rFonts w:hint="default"/>
                      <w:color w:val="auto"/>
                      <w:lang w:val="en-US" w:eastAsia="zh-CN"/>
                    </w:rPr>
                  </w:pPr>
                  <w:r>
                    <w:rPr>
                      <w:rFonts w:hint="eastAsia"/>
                      <w:color w:val="auto"/>
                      <w:lang w:val="en-US" w:eastAsia="zh-CN"/>
                    </w:rPr>
                    <w:t>1</w:t>
                  </w:r>
                </w:p>
              </w:tc>
              <w:tc>
                <w:tcPr>
                  <w:tcW w:w="812" w:type="pct"/>
                  <w:vMerge w:val="continue"/>
                  <w:vAlign w:val="center"/>
                </w:tcPr>
                <w:p w14:paraId="378FB752">
                  <w:pPr>
                    <w:pStyle w:val="41"/>
                    <w:bidi w:val="0"/>
                    <w:jc w:val="center"/>
                    <w:rPr>
                      <w:rFonts w:hint="default"/>
                      <w:color w:val="auto"/>
                      <w:lang w:val="en-US" w:eastAsia="zh-CN"/>
                    </w:rPr>
                  </w:pPr>
                </w:p>
              </w:tc>
            </w:tr>
            <w:tr w14:paraId="4D592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422FA2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10627424">
                  <w:pPr>
                    <w:pStyle w:val="41"/>
                    <w:bidi w:val="0"/>
                    <w:jc w:val="center"/>
                    <w:rPr>
                      <w:rFonts w:hint="default"/>
                      <w:color w:val="auto"/>
                      <w:lang w:val="en-US" w:eastAsia="zh-CN"/>
                    </w:rPr>
                  </w:pPr>
                  <w:r>
                    <w:rPr>
                      <w:rFonts w:hint="eastAsia"/>
                      <w:color w:val="auto"/>
                      <w:lang w:val="en-US" w:eastAsia="zh-CN"/>
                    </w:rPr>
                    <w:t>旋转蒸发仪</w:t>
                  </w:r>
                </w:p>
              </w:tc>
              <w:tc>
                <w:tcPr>
                  <w:tcW w:w="1330" w:type="pct"/>
                  <w:shd w:val="clear" w:color="auto" w:fill="auto"/>
                  <w:vAlign w:val="center"/>
                </w:tcPr>
                <w:p w14:paraId="4D424181">
                  <w:pPr>
                    <w:pStyle w:val="41"/>
                    <w:bidi w:val="0"/>
                    <w:jc w:val="center"/>
                    <w:rPr>
                      <w:rFonts w:hint="default"/>
                      <w:color w:val="auto"/>
                      <w:lang w:val="en-US" w:eastAsia="zh-CN"/>
                    </w:rPr>
                  </w:pPr>
                  <w:r>
                    <w:rPr>
                      <w:rFonts w:hint="eastAsia"/>
                      <w:color w:val="auto"/>
                      <w:lang w:val="en-US" w:eastAsia="zh-CN"/>
                    </w:rPr>
                    <w:t>东京理化N-1300V-WB</w:t>
                  </w:r>
                </w:p>
              </w:tc>
              <w:tc>
                <w:tcPr>
                  <w:tcW w:w="1145" w:type="pct"/>
                  <w:shd w:val="clear" w:color="auto" w:fill="auto"/>
                  <w:vAlign w:val="center"/>
                </w:tcPr>
                <w:p w14:paraId="4CE0F235">
                  <w:pPr>
                    <w:pStyle w:val="41"/>
                    <w:bidi w:val="0"/>
                    <w:jc w:val="center"/>
                    <w:rPr>
                      <w:rFonts w:hint="default"/>
                      <w:color w:val="auto"/>
                      <w:lang w:val="en-US" w:eastAsia="zh-CN"/>
                    </w:rPr>
                  </w:pPr>
                  <w:r>
                    <w:rPr>
                      <w:rFonts w:hint="eastAsia"/>
                      <w:color w:val="auto"/>
                      <w:lang w:val="en-US" w:eastAsia="zh-CN"/>
                    </w:rPr>
                    <w:t>6</w:t>
                  </w:r>
                </w:p>
              </w:tc>
              <w:tc>
                <w:tcPr>
                  <w:tcW w:w="812" w:type="pct"/>
                  <w:vMerge w:val="continue"/>
                  <w:vAlign w:val="center"/>
                </w:tcPr>
                <w:p w14:paraId="3B61AF30">
                  <w:pPr>
                    <w:pStyle w:val="41"/>
                    <w:bidi w:val="0"/>
                    <w:jc w:val="center"/>
                    <w:rPr>
                      <w:rFonts w:hint="default"/>
                      <w:color w:val="auto"/>
                      <w:lang w:val="en-US" w:eastAsia="zh-CN"/>
                    </w:rPr>
                  </w:pPr>
                </w:p>
              </w:tc>
            </w:tr>
            <w:tr w14:paraId="35B9B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E9DC6F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1729EAEE">
                  <w:pPr>
                    <w:pStyle w:val="41"/>
                    <w:bidi w:val="0"/>
                    <w:jc w:val="center"/>
                    <w:rPr>
                      <w:rFonts w:hint="default"/>
                      <w:color w:val="auto"/>
                      <w:lang w:val="en-US" w:eastAsia="zh-CN"/>
                    </w:rPr>
                  </w:pPr>
                  <w:r>
                    <w:rPr>
                      <w:rFonts w:hint="eastAsia"/>
                      <w:color w:val="auto"/>
                      <w:lang w:val="en-US" w:eastAsia="zh-CN"/>
                    </w:rPr>
                    <w:t>中低压制备液相色谱仪</w:t>
                  </w:r>
                </w:p>
              </w:tc>
              <w:tc>
                <w:tcPr>
                  <w:tcW w:w="1330" w:type="pct"/>
                  <w:shd w:val="clear" w:color="auto" w:fill="auto"/>
                  <w:vAlign w:val="center"/>
                </w:tcPr>
                <w:p w14:paraId="4F13E12E">
                  <w:pPr>
                    <w:pStyle w:val="41"/>
                    <w:bidi w:val="0"/>
                    <w:jc w:val="center"/>
                    <w:rPr>
                      <w:rFonts w:hint="default"/>
                      <w:color w:val="auto"/>
                      <w:lang w:val="en-US" w:eastAsia="zh-CN"/>
                    </w:rPr>
                  </w:pPr>
                  <w:r>
                    <w:rPr>
                      <w:rFonts w:hint="eastAsia"/>
                      <w:color w:val="auto"/>
                      <w:lang w:val="en-US" w:eastAsia="zh-CN"/>
                    </w:rPr>
                    <w:t>利穗</w:t>
                  </w:r>
                </w:p>
              </w:tc>
              <w:tc>
                <w:tcPr>
                  <w:tcW w:w="1145" w:type="pct"/>
                  <w:shd w:val="clear" w:color="auto" w:fill="auto"/>
                  <w:vAlign w:val="center"/>
                </w:tcPr>
                <w:p w14:paraId="68F7A3A8">
                  <w:pPr>
                    <w:pStyle w:val="41"/>
                    <w:bidi w:val="0"/>
                    <w:jc w:val="center"/>
                    <w:rPr>
                      <w:rFonts w:hint="default"/>
                      <w:color w:val="auto"/>
                      <w:lang w:val="en-US" w:eastAsia="zh-CN"/>
                    </w:rPr>
                  </w:pPr>
                  <w:r>
                    <w:rPr>
                      <w:rFonts w:hint="eastAsia"/>
                      <w:color w:val="auto"/>
                      <w:lang w:val="en-US" w:eastAsia="zh-CN"/>
                    </w:rPr>
                    <w:t>1</w:t>
                  </w:r>
                </w:p>
              </w:tc>
              <w:tc>
                <w:tcPr>
                  <w:tcW w:w="812" w:type="pct"/>
                  <w:vMerge w:val="continue"/>
                  <w:vAlign w:val="center"/>
                </w:tcPr>
                <w:p w14:paraId="4A99BD94">
                  <w:pPr>
                    <w:pStyle w:val="41"/>
                    <w:bidi w:val="0"/>
                    <w:jc w:val="center"/>
                    <w:rPr>
                      <w:rFonts w:hint="default"/>
                      <w:color w:val="auto"/>
                      <w:lang w:val="en-US" w:eastAsia="zh-CN"/>
                    </w:rPr>
                  </w:pPr>
                </w:p>
              </w:tc>
            </w:tr>
            <w:tr w14:paraId="4E60B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32B05A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24F63081">
                  <w:pPr>
                    <w:pStyle w:val="41"/>
                    <w:bidi w:val="0"/>
                    <w:jc w:val="center"/>
                    <w:rPr>
                      <w:rFonts w:hint="eastAsia"/>
                      <w:color w:val="auto"/>
                      <w:lang w:val="en-US" w:eastAsia="zh-CN"/>
                    </w:rPr>
                  </w:pPr>
                  <w:r>
                    <w:rPr>
                      <w:rFonts w:hint="eastAsia"/>
                      <w:color w:val="auto"/>
                    </w:rPr>
                    <w:t>电子分析天平</w:t>
                  </w:r>
                </w:p>
              </w:tc>
              <w:tc>
                <w:tcPr>
                  <w:tcW w:w="1330" w:type="pct"/>
                  <w:shd w:val="clear" w:color="auto" w:fill="auto"/>
                  <w:vAlign w:val="center"/>
                </w:tcPr>
                <w:p w14:paraId="62BC02EC">
                  <w:pPr>
                    <w:pStyle w:val="41"/>
                    <w:bidi w:val="0"/>
                    <w:jc w:val="center"/>
                    <w:rPr>
                      <w:rFonts w:hint="eastAsia"/>
                      <w:color w:val="auto"/>
                      <w:lang w:val="en-US" w:eastAsia="zh-CN"/>
                    </w:rPr>
                  </w:pPr>
                  <w:r>
                    <w:rPr>
                      <w:color w:val="auto"/>
                    </w:rPr>
                    <w:t>XS205DU</w:t>
                  </w:r>
                </w:p>
              </w:tc>
              <w:tc>
                <w:tcPr>
                  <w:tcW w:w="1145" w:type="pct"/>
                  <w:shd w:val="clear" w:color="auto" w:fill="auto"/>
                  <w:vAlign w:val="center"/>
                </w:tcPr>
                <w:p w14:paraId="7FF27D4E">
                  <w:pPr>
                    <w:pStyle w:val="41"/>
                    <w:bidi w:val="0"/>
                    <w:jc w:val="center"/>
                    <w:rPr>
                      <w:rFonts w:hint="eastAsia"/>
                      <w:color w:val="auto"/>
                      <w:lang w:val="en-US" w:eastAsia="zh-CN"/>
                    </w:rPr>
                  </w:pPr>
                  <w:r>
                    <w:rPr>
                      <w:rFonts w:hint="eastAsia"/>
                      <w:color w:val="auto"/>
                    </w:rPr>
                    <w:t>2</w:t>
                  </w:r>
                </w:p>
              </w:tc>
              <w:tc>
                <w:tcPr>
                  <w:tcW w:w="812" w:type="pct"/>
                  <w:vMerge w:val="continue"/>
                  <w:vAlign w:val="center"/>
                </w:tcPr>
                <w:p w14:paraId="2B624027">
                  <w:pPr>
                    <w:pStyle w:val="41"/>
                    <w:bidi w:val="0"/>
                    <w:jc w:val="center"/>
                    <w:rPr>
                      <w:rFonts w:hint="default"/>
                      <w:color w:val="auto"/>
                      <w:lang w:val="en-US" w:eastAsia="zh-CN"/>
                    </w:rPr>
                  </w:pPr>
                </w:p>
              </w:tc>
            </w:tr>
            <w:tr w14:paraId="64271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46E2FA1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5FFD2556">
                  <w:pPr>
                    <w:pStyle w:val="41"/>
                    <w:bidi w:val="0"/>
                    <w:jc w:val="center"/>
                    <w:rPr>
                      <w:rFonts w:hint="eastAsia"/>
                      <w:color w:val="auto"/>
                      <w:lang w:val="en-US" w:eastAsia="zh-CN"/>
                    </w:rPr>
                  </w:pPr>
                  <w:r>
                    <w:rPr>
                      <w:rFonts w:hint="eastAsia"/>
                      <w:color w:val="auto"/>
                    </w:rPr>
                    <w:t>电子分析天平</w:t>
                  </w:r>
                </w:p>
              </w:tc>
              <w:tc>
                <w:tcPr>
                  <w:tcW w:w="1330" w:type="pct"/>
                  <w:shd w:val="clear" w:color="auto" w:fill="auto"/>
                  <w:vAlign w:val="center"/>
                </w:tcPr>
                <w:p w14:paraId="5165954F">
                  <w:pPr>
                    <w:pStyle w:val="41"/>
                    <w:bidi w:val="0"/>
                    <w:jc w:val="center"/>
                    <w:rPr>
                      <w:rFonts w:hint="eastAsia"/>
                      <w:color w:val="auto"/>
                      <w:lang w:val="en-US" w:eastAsia="zh-CN"/>
                    </w:rPr>
                  </w:pPr>
                  <w:r>
                    <w:rPr>
                      <w:color w:val="auto"/>
                    </w:rPr>
                    <w:t>ME204E/02</w:t>
                  </w:r>
                </w:p>
              </w:tc>
              <w:tc>
                <w:tcPr>
                  <w:tcW w:w="1145" w:type="pct"/>
                  <w:shd w:val="clear" w:color="auto" w:fill="auto"/>
                  <w:vAlign w:val="center"/>
                </w:tcPr>
                <w:p w14:paraId="1FE06687">
                  <w:pPr>
                    <w:pStyle w:val="41"/>
                    <w:bidi w:val="0"/>
                    <w:jc w:val="center"/>
                    <w:rPr>
                      <w:rFonts w:hint="eastAsia"/>
                      <w:color w:val="auto"/>
                      <w:lang w:val="en-US" w:eastAsia="zh-CN"/>
                    </w:rPr>
                  </w:pPr>
                  <w:r>
                    <w:rPr>
                      <w:rFonts w:hint="eastAsia"/>
                      <w:color w:val="auto"/>
                    </w:rPr>
                    <w:t>2</w:t>
                  </w:r>
                </w:p>
              </w:tc>
              <w:tc>
                <w:tcPr>
                  <w:tcW w:w="812" w:type="pct"/>
                  <w:vMerge w:val="continue"/>
                  <w:vAlign w:val="center"/>
                </w:tcPr>
                <w:p w14:paraId="58313514">
                  <w:pPr>
                    <w:pStyle w:val="41"/>
                    <w:bidi w:val="0"/>
                    <w:jc w:val="center"/>
                    <w:rPr>
                      <w:rFonts w:hint="default"/>
                      <w:color w:val="auto"/>
                      <w:lang w:val="en-US" w:eastAsia="zh-CN"/>
                    </w:rPr>
                  </w:pPr>
                </w:p>
              </w:tc>
            </w:tr>
            <w:tr w14:paraId="44909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893D73B">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50ECC512">
                  <w:pPr>
                    <w:pStyle w:val="41"/>
                    <w:bidi w:val="0"/>
                    <w:jc w:val="center"/>
                    <w:rPr>
                      <w:rFonts w:hint="eastAsia"/>
                      <w:color w:val="auto"/>
                      <w:lang w:val="en-US" w:eastAsia="zh-CN"/>
                    </w:rPr>
                  </w:pPr>
                  <w:r>
                    <w:rPr>
                      <w:rFonts w:hint="eastAsia"/>
                      <w:color w:val="auto"/>
                    </w:rPr>
                    <w:t>电子分析天平</w:t>
                  </w:r>
                </w:p>
              </w:tc>
              <w:tc>
                <w:tcPr>
                  <w:tcW w:w="1330" w:type="pct"/>
                  <w:shd w:val="clear" w:color="auto" w:fill="auto"/>
                  <w:vAlign w:val="center"/>
                </w:tcPr>
                <w:p w14:paraId="6C256549">
                  <w:pPr>
                    <w:pStyle w:val="41"/>
                    <w:bidi w:val="0"/>
                    <w:jc w:val="center"/>
                    <w:rPr>
                      <w:rFonts w:hint="eastAsia"/>
                      <w:color w:val="auto"/>
                      <w:lang w:val="en-US" w:eastAsia="zh-CN"/>
                    </w:rPr>
                  </w:pPr>
                  <w:r>
                    <w:rPr>
                      <w:color w:val="auto"/>
                    </w:rPr>
                    <w:t>ME303E/02</w:t>
                  </w:r>
                </w:p>
              </w:tc>
              <w:tc>
                <w:tcPr>
                  <w:tcW w:w="1145" w:type="pct"/>
                  <w:shd w:val="clear" w:color="auto" w:fill="auto"/>
                  <w:vAlign w:val="center"/>
                </w:tcPr>
                <w:p w14:paraId="5711895C">
                  <w:pPr>
                    <w:pStyle w:val="41"/>
                    <w:bidi w:val="0"/>
                    <w:jc w:val="center"/>
                    <w:rPr>
                      <w:rFonts w:hint="eastAsia"/>
                      <w:color w:val="auto"/>
                      <w:lang w:val="en-US" w:eastAsia="zh-CN"/>
                    </w:rPr>
                  </w:pPr>
                  <w:r>
                    <w:rPr>
                      <w:rFonts w:hint="eastAsia"/>
                      <w:color w:val="auto"/>
                    </w:rPr>
                    <w:t>1</w:t>
                  </w:r>
                </w:p>
              </w:tc>
              <w:tc>
                <w:tcPr>
                  <w:tcW w:w="812" w:type="pct"/>
                  <w:vMerge w:val="continue"/>
                  <w:vAlign w:val="center"/>
                </w:tcPr>
                <w:p w14:paraId="59CFE330">
                  <w:pPr>
                    <w:pStyle w:val="41"/>
                    <w:bidi w:val="0"/>
                    <w:jc w:val="center"/>
                    <w:rPr>
                      <w:rFonts w:hint="default"/>
                      <w:color w:val="auto"/>
                      <w:lang w:val="en-US" w:eastAsia="zh-CN"/>
                    </w:rPr>
                  </w:pPr>
                </w:p>
              </w:tc>
            </w:tr>
            <w:tr w14:paraId="32D21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3B784A0">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68B8FA51">
                  <w:pPr>
                    <w:pStyle w:val="41"/>
                    <w:bidi w:val="0"/>
                    <w:jc w:val="center"/>
                    <w:rPr>
                      <w:rFonts w:hint="eastAsia"/>
                      <w:color w:val="auto"/>
                      <w:lang w:val="en-US" w:eastAsia="zh-CN"/>
                    </w:rPr>
                  </w:pPr>
                  <w:r>
                    <w:rPr>
                      <w:rFonts w:hint="eastAsia"/>
                      <w:color w:val="auto"/>
                    </w:rPr>
                    <w:t>酶标分析仪</w:t>
                  </w:r>
                </w:p>
              </w:tc>
              <w:tc>
                <w:tcPr>
                  <w:tcW w:w="1330" w:type="pct"/>
                  <w:shd w:val="clear" w:color="auto" w:fill="auto"/>
                  <w:vAlign w:val="center"/>
                </w:tcPr>
                <w:p w14:paraId="099C0FFC">
                  <w:pPr>
                    <w:pStyle w:val="41"/>
                    <w:bidi w:val="0"/>
                    <w:jc w:val="center"/>
                    <w:rPr>
                      <w:rFonts w:hint="eastAsia"/>
                      <w:color w:val="auto"/>
                      <w:lang w:val="en-US" w:eastAsia="zh-CN"/>
                    </w:rPr>
                  </w:pPr>
                  <w:r>
                    <w:rPr>
                      <w:color w:val="auto"/>
                    </w:rPr>
                    <w:t>sunrise</w:t>
                  </w:r>
                </w:p>
              </w:tc>
              <w:tc>
                <w:tcPr>
                  <w:tcW w:w="1145" w:type="pct"/>
                  <w:shd w:val="clear" w:color="auto" w:fill="auto"/>
                  <w:vAlign w:val="center"/>
                </w:tcPr>
                <w:p w14:paraId="0919D184">
                  <w:pPr>
                    <w:pStyle w:val="41"/>
                    <w:bidi w:val="0"/>
                    <w:jc w:val="center"/>
                    <w:rPr>
                      <w:rFonts w:hint="eastAsia"/>
                      <w:color w:val="auto"/>
                      <w:lang w:val="en-US" w:eastAsia="zh-CN"/>
                    </w:rPr>
                  </w:pPr>
                  <w:r>
                    <w:rPr>
                      <w:rFonts w:hint="eastAsia"/>
                      <w:color w:val="auto"/>
                    </w:rPr>
                    <w:t>1</w:t>
                  </w:r>
                </w:p>
              </w:tc>
              <w:tc>
                <w:tcPr>
                  <w:tcW w:w="812" w:type="pct"/>
                  <w:vMerge w:val="continue"/>
                  <w:vAlign w:val="center"/>
                </w:tcPr>
                <w:p w14:paraId="5C4B50F2">
                  <w:pPr>
                    <w:pStyle w:val="41"/>
                    <w:bidi w:val="0"/>
                    <w:jc w:val="center"/>
                    <w:rPr>
                      <w:rFonts w:hint="default"/>
                      <w:color w:val="auto"/>
                      <w:lang w:val="en-US" w:eastAsia="zh-CN"/>
                    </w:rPr>
                  </w:pPr>
                </w:p>
              </w:tc>
            </w:tr>
            <w:tr w14:paraId="6CAE6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686BD9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2766D711">
                  <w:pPr>
                    <w:pStyle w:val="41"/>
                    <w:bidi w:val="0"/>
                    <w:jc w:val="center"/>
                    <w:rPr>
                      <w:rFonts w:hint="eastAsia"/>
                      <w:color w:val="auto"/>
                      <w:lang w:val="en-US" w:eastAsia="zh-CN"/>
                    </w:rPr>
                  </w:pPr>
                  <w:r>
                    <w:rPr>
                      <w:rFonts w:hint="eastAsia"/>
                      <w:color w:val="auto"/>
                    </w:rPr>
                    <w:t>全自动平行浓缩仪</w:t>
                  </w:r>
                </w:p>
              </w:tc>
              <w:tc>
                <w:tcPr>
                  <w:tcW w:w="1330" w:type="pct"/>
                  <w:shd w:val="clear" w:color="auto" w:fill="auto"/>
                  <w:vAlign w:val="center"/>
                </w:tcPr>
                <w:p w14:paraId="3B5A018F">
                  <w:pPr>
                    <w:pStyle w:val="41"/>
                    <w:bidi w:val="0"/>
                    <w:jc w:val="center"/>
                    <w:rPr>
                      <w:rFonts w:hint="eastAsia"/>
                      <w:color w:val="auto"/>
                      <w:lang w:val="en-US" w:eastAsia="zh-CN"/>
                    </w:rPr>
                  </w:pPr>
                  <w:r>
                    <w:rPr>
                      <w:color w:val="auto"/>
                    </w:rPr>
                    <w:t>Auto EVA Mini</w:t>
                  </w:r>
                </w:p>
              </w:tc>
              <w:tc>
                <w:tcPr>
                  <w:tcW w:w="1145" w:type="pct"/>
                  <w:shd w:val="clear" w:color="auto" w:fill="auto"/>
                  <w:vAlign w:val="center"/>
                </w:tcPr>
                <w:p w14:paraId="66A67838">
                  <w:pPr>
                    <w:pStyle w:val="41"/>
                    <w:bidi w:val="0"/>
                    <w:jc w:val="center"/>
                    <w:rPr>
                      <w:rFonts w:hint="eastAsia"/>
                      <w:color w:val="auto"/>
                      <w:lang w:val="en-US" w:eastAsia="zh-CN"/>
                    </w:rPr>
                  </w:pPr>
                  <w:r>
                    <w:rPr>
                      <w:rFonts w:hint="eastAsia"/>
                      <w:color w:val="auto"/>
                    </w:rPr>
                    <w:t>2</w:t>
                  </w:r>
                </w:p>
              </w:tc>
              <w:tc>
                <w:tcPr>
                  <w:tcW w:w="812" w:type="pct"/>
                  <w:vMerge w:val="continue"/>
                  <w:vAlign w:val="center"/>
                </w:tcPr>
                <w:p w14:paraId="64C870A3">
                  <w:pPr>
                    <w:pStyle w:val="41"/>
                    <w:bidi w:val="0"/>
                    <w:jc w:val="center"/>
                    <w:rPr>
                      <w:rFonts w:hint="default"/>
                      <w:color w:val="auto"/>
                      <w:lang w:val="en-US" w:eastAsia="zh-CN"/>
                    </w:rPr>
                  </w:pPr>
                </w:p>
              </w:tc>
            </w:tr>
            <w:tr w14:paraId="3B244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0817D1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615ECB20">
                  <w:pPr>
                    <w:pStyle w:val="41"/>
                    <w:bidi w:val="0"/>
                    <w:jc w:val="center"/>
                    <w:rPr>
                      <w:rFonts w:hint="eastAsia"/>
                      <w:color w:val="auto"/>
                      <w:lang w:val="en-US" w:eastAsia="zh-CN"/>
                    </w:rPr>
                  </w:pPr>
                  <w:r>
                    <w:rPr>
                      <w:rFonts w:hint="eastAsia"/>
                      <w:color w:val="auto"/>
                    </w:rPr>
                    <w:t>箱式电阻炉</w:t>
                  </w:r>
                </w:p>
              </w:tc>
              <w:tc>
                <w:tcPr>
                  <w:tcW w:w="1330" w:type="pct"/>
                  <w:shd w:val="clear" w:color="auto" w:fill="auto"/>
                  <w:vAlign w:val="center"/>
                </w:tcPr>
                <w:p w14:paraId="72CFAD5C">
                  <w:pPr>
                    <w:pStyle w:val="41"/>
                    <w:bidi w:val="0"/>
                    <w:jc w:val="center"/>
                    <w:rPr>
                      <w:rFonts w:hint="eastAsia"/>
                      <w:color w:val="auto"/>
                      <w:lang w:val="en-US" w:eastAsia="zh-CN"/>
                    </w:rPr>
                  </w:pPr>
                  <w:r>
                    <w:rPr>
                      <w:color w:val="auto"/>
                    </w:rPr>
                    <w:t>SX2-4-10</w:t>
                  </w:r>
                </w:p>
              </w:tc>
              <w:tc>
                <w:tcPr>
                  <w:tcW w:w="1145" w:type="pct"/>
                  <w:shd w:val="clear" w:color="auto" w:fill="auto"/>
                  <w:vAlign w:val="center"/>
                </w:tcPr>
                <w:p w14:paraId="57D1BE81">
                  <w:pPr>
                    <w:pStyle w:val="41"/>
                    <w:bidi w:val="0"/>
                    <w:jc w:val="center"/>
                    <w:rPr>
                      <w:rFonts w:hint="eastAsia"/>
                      <w:color w:val="auto"/>
                      <w:lang w:val="en-US" w:eastAsia="zh-CN"/>
                    </w:rPr>
                  </w:pPr>
                  <w:r>
                    <w:rPr>
                      <w:rFonts w:hint="eastAsia"/>
                      <w:color w:val="auto"/>
                    </w:rPr>
                    <w:t>1</w:t>
                  </w:r>
                </w:p>
              </w:tc>
              <w:tc>
                <w:tcPr>
                  <w:tcW w:w="812" w:type="pct"/>
                  <w:vMerge w:val="continue"/>
                  <w:vAlign w:val="center"/>
                </w:tcPr>
                <w:p w14:paraId="3C503980">
                  <w:pPr>
                    <w:pStyle w:val="41"/>
                    <w:bidi w:val="0"/>
                    <w:jc w:val="center"/>
                    <w:rPr>
                      <w:rFonts w:hint="default"/>
                      <w:color w:val="auto"/>
                      <w:lang w:val="en-US" w:eastAsia="zh-CN"/>
                    </w:rPr>
                  </w:pPr>
                </w:p>
              </w:tc>
            </w:tr>
            <w:tr w14:paraId="7FEF9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84236C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30C5FA5F">
                  <w:pPr>
                    <w:pStyle w:val="41"/>
                    <w:bidi w:val="0"/>
                    <w:jc w:val="center"/>
                    <w:rPr>
                      <w:rFonts w:hint="eastAsia"/>
                      <w:color w:val="auto"/>
                      <w:lang w:val="en-US" w:eastAsia="zh-CN"/>
                    </w:rPr>
                  </w:pPr>
                  <w:r>
                    <w:rPr>
                      <w:rFonts w:hint="eastAsia"/>
                      <w:color w:val="auto"/>
                    </w:rPr>
                    <w:t>陶瓷纤维箱式电阻炉</w:t>
                  </w:r>
                </w:p>
              </w:tc>
              <w:tc>
                <w:tcPr>
                  <w:tcW w:w="1330" w:type="pct"/>
                  <w:shd w:val="clear" w:color="auto" w:fill="auto"/>
                  <w:vAlign w:val="center"/>
                </w:tcPr>
                <w:p w14:paraId="0DFEAF97">
                  <w:pPr>
                    <w:pStyle w:val="41"/>
                    <w:bidi w:val="0"/>
                    <w:jc w:val="center"/>
                    <w:rPr>
                      <w:rFonts w:hint="eastAsia"/>
                      <w:color w:val="auto"/>
                      <w:lang w:val="en-US" w:eastAsia="zh-CN"/>
                    </w:rPr>
                  </w:pPr>
                  <w:r>
                    <w:rPr>
                      <w:color w:val="auto"/>
                    </w:rPr>
                    <w:t>SX2-4-10LTP</w:t>
                  </w:r>
                </w:p>
              </w:tc>
              <w:tc>
                <w:tcPr>
                  <w:tcW w:w="1145" w:type="pct"/>
                  <w:shd w:val="clear" w:color="auto" w:fill="auto"/>
                  <w:vAlign w:val="center"/>
                </w:tcPr>
                <w:p w14:paraId="76248F34">
                  <w:pPr>
                    <w:pStyle w:val="41"/>
                    <w:bidi w:val="0"/>
                    <w:jc w:val="center"/>
                    <w:rPr>
                      <w:rFonts w:hint="eastAsia"/>
                      <w:color w:val="auto"/>
                      <w:lang w:val="en-US" w:eastAsia="zh-CN"/>
                    </w:rPr>
                  </w:pPr>
                  <w:r>
                    <w:rPr>
                      <w:rFonts w:hint="eastAsia"/>
                      <w:color w:val="auto"/>
                    </w:rPr>
                    <w:t>1</w:t>
                  </w:r>
                </w:p>
              </w:tc>
              <w:tc>
                <w:tcPr>
                  <w:tcW w:w="812" w:type="pct"/>
                  <w:vMerge w:val="continue"/>
                  <w:vAlign w:val="center"/>
                </w:tcPr>
                <w:p w14:paraId="7173B0D1">
                  <w:pPr>
                    <w:pStyle w:val="41"/>
                    <w:bidi w:val="0"/>
                    <w:jc w:val="center"/>
                    <w:rPr>
                      <w:rFonts w:hint="default"/>
                      <w:color w:val="auto"/>
                      <w:lang w:val="en-US" w:eastAsia="zh-CN"/>
                    </w:rPr>
                  </w:pPr>
                </w:p>
              </w:tc>
            </w:tr>
            <w:tr w14:paraId="590D9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8A6FCEF">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416C126A">
                  <w:pPr>
                    <w:pStyle w:val="41"/>
                    <w:bidi w:val="0"/>
                    <w:jc w:val="center"/>
                    <w:rPr>
                      <w:rFonts w:hint="eastAsia"/>
                      <w:color w:val="auto"/>
                      <w:lang w:val="en-US" w:eastAsia="zh-CN"/>
                    </w:rPr>
                  </w:pPr>
                  <w:r>
                    <w:rPr>
                      <w:color w:val="auto"/>
                    </w:rPr>
                    <w:t>pH</w:t>
                  </w:r>
                  <w:r>
                    <w:rPr>
                      <w:rFonts w:hint="eastAsia"/>
                      <w:color w:val="auto"/>
                    </w:rPr>
                    <w:t>计</w:t>
                  </w:r>
                </w:p>
              </w:tc>
              <w:tc>
                <w:tcPr>
                  <w:tcW w:w="1330" w:type="pct"/>
                  <w:shd w:val="clear" w:color="auto" w:fill="auto"/>
                  <w:vAlign w:val="center"/>
                </w:tcPr>
                <w:p w14:paraId="0EC3AF3A">
                  <w:pPr>
                    <w:pStyle w:val="41"/>
                    <w:bidi w:val="0"/>
                    <w:jc w:val="center"/>
                    <w:rPr>
                      <w:rFonts w:hint="eastAsia"/>
                      <w:color w:val="auto"/>
                      <w:lang w:val="en-US" w:eastAsia="zh-CN"/>
                    </w:rPr>
                  </w:pPr>
                  <w:r>
                    <w:rPr>
                      <w:color w:val="auto"/>
                    </w:rPr>
                    <w:t>FE28</w:t>
                  </w:r>
                </w:p>
              </w:tc>
              <w:tc>
                <w:tcPr>
                  <w:tcW w:w="1145" w:type="pct"/>
                  <w:shd w:val="clear" w:color="auto" w:fill="auto"/>
                  <w:vAlign w:val="center"/>
                </w:tcPr>
                <w:p w14:paraId="673EBDD8">
                  <w:pPr>
                    <w:pStyle w:val="41"/>
                    <w:bidi w:val="0"/>
                    <w:jc w:val="center"/>
                    <w:rPr>
                      <w:rFonts w:hint="eastAsia"/>
                      <w:color w:val="auto"/>
                      <w:lang w:val="en-US" w:eastAsia="zh-CN"/>
                    </w:rPr>
                  </w:pPr>
                  <w:r>
                    <w:rPr>
                      <w:rFonts w:hint="eastAsia"/>
                      <w:color w:val="auto"/>
                    </w:rPr>
                    <w:t>1</w:t>
                  </w:r>
                </w:p>
              </w:tc>
              <w:tc>
                <w:tcPr>
                  <w:tcW w:w="812" w:type="pct"/>
                  <w:vMerge w:val="continue"/>
                  <w:vAlign w:val="center"/>
                </w:tcPr>
                <w:p w14:paraId="72D6B36C">
                  <w:pPr>
                    <w:pStyle w:val="41"/>
                    <w:bidi w:val="0"/>
                    <w:jc w:val="center"/>
                    <w:rPr>
                      <w:rFonts w:hint="default"/>
                      <w:color w:val="auto"/>
                      <w:lang w:val="en-US" w:eastAsia="zh-CN"/>
                    </w:rPr>
                  </w:pPr>
                </w:p>
              </w:tc>
            </w:tr>
            <w:tr w14:paraId="15ABC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1B317EC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5D8A3069">
                  <w:pPr>
                    <w:pStyle w:val="41"/>
                    <w:bidi w:val="0"/>
                    <w:jc w:val="center"/>
                    <w:rPr>
                      <w:rFonts w:hint="eastAsia"/>
                      <w:color w:val="auto"/>
                      <w:lang w:val="en-US" w:eastAsia="zh-CN"/>
                    </w:rPr>
                  </w:pPr>
                  <w:r>
                    <w:rPr>
                      <w:color w:val="auto"/>
                    </w:rPr>
                    <w:t>平面色谱点样仪</w:t>
                  </w:r>
                </w:p>
              </w:tc>
              <w:tc>
                <w:tcPr>
                  <w:tcW w:w="1330" w:type="pct"/>
                  <w:shd w:val="clear" w:color="auto" w:fill="auto"/>
                  <w:vAlign w:val="center"/>
                </w:tcPr>
                <w:p w14:paraId="4F4164BD">
                  <w:pPr>
                    <w:pStyle w:val="41"/>
                    <w:bidi w:val="0"/>
                    <w:jc w:val="center"/>
                    <w:rPr>
                      <w:rFonts w:hint="eastAsia"/>
                      <w:color w:val="auto"/>
                      <w:lang w:val="en-US" w:eastAsia="zh-CN"/>
                    </w:rPr>
                  </w:pPr>
                  <w:r>
                    <w:rPr>
                      <w:color w:val="auto"/>
                    </w:rPr>
                    <w:t>SPDY-1A</w:t>
                  </w:r>
                </w:p>
              </w:tc>
              <w:tc>
                <w:tcPr>
                  <w:tcW w:w="1145" w:type="pct"/>
                  <w:shd w:val="clear" w:color="auto" w:fill="auto"/>
                  <w:vAlign w:val="center"/>
                </w:tcPr>
                <w:p w14:paraId="431D3FA9">
                  <w:pPr>
                    <w:pStyle w:val="41"/>
                    <w:bidi w:val="0"/>
                    <w:jc w:val="center"/>
                    <w:rPr>
                      <w:rFonts w:hint="eastAsia"/>
                      <w:color w:val="auto"/>
                      <w:lang w:val="en-US" w:eastAsia="zh-CN"/>
                    </w:rPr>
                  </w:pPr>
                  <w:r>
                    <w:rPr>
                      <w:rFonts w:hint="eastAsia"/>
                      <w:color w:val="auto"/>
                    </w:rPr>
                    <w:t>1</w:t>
                  </w:r>
                </w:p>
              </w:tc>
              <w:tc>
                <w:tcPr>
                  <w:tcW w:w="812" w:type="pct"/>
                  <w:vMerge w:val="continue"/>
                  <w:vAlign w:val="center"/>
                </w:tcPr>
                <w:p w14:paraId="70FC2D64">
                  <w:pPr>
                    <w:pStyle w:val="41"/>
                    <w:bidi w:val="0"/>
                    <w:jc w:val="center"/>
                    <w:rPr>
                      <w:rFonts w:hint="default"/>
                      <w:color w:val="auto"/>
                      <w:lang w:val="en-US" w:eastAsia="zh-CN"/>
                    </w:rPr>
                  </w:pPr>
                </w:p>
              </w:tc>
            </w:tr>
            <w:tr w14:paraId="0EE21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366E802">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581DB3C5">
                  <w:pPr>
                    <w:pStyle w:val="41"/>
                    <w:bidi w:val="0"/>
                    <w:jc w:val="center"/>
                    <w:rPr>
                      <w:rFonts w:hint="eastAsia"/>
                      <w:color w:val="auto"/>
                      <w:lang w:val="en-US" w:eastAsia="zh-CN"/>
                    </w:rPr>
                  </w:pPr>
                  <w:r>
                    <w:rPr>
                      <w:color w:val="auto"/>
                    </w:rPr>
                    <w:t>暗箱三用紫外分析仪</w:t>
                  </w:r>
                </w:p>
              </w:tc>
              <w:tc>
                <w:tcPr>
                  <w:tcW w:w="1330" w:type="pct"/>
                  <w:shd w:val="clear" w:color="auto" w:fill="auto"/>
                  <w:vAlign w:val="center"/>
                </w:tcPr>
                <w:p w14:paraId="07ADF340">
                  <w:pPr>
                    <w:pStyle w:val="41"/>
                    <w:bidi w:val="0"/>
                    <w:jc w:val="center"/>
                    <w:rPr>
                      <w:rFonts w:hint="eastAsia"/>
                      <w:color w:val="auto"/>
                      <w:lang w:val="en-US" w:eastAsia="zh-CN"/>
                    </w:rPr>
                  </w:pPr>
                  <w:r>
                    <w:rPr>
                      <w:color w:val="auto"/>
                    </w:rPr>
                    <w:t>ZF-7</w:t>
                  </w:r>
                </w:p>
              </w:tc>
              <w:tc>
                <w:tcPr>
                  <w:tcW w:w="1145" w:type="pct"/>
                  <w:shd w:val="clear" w:color="auto" w:fill="auto"/>
                  <w:vAlign w:val="center"/>
                </w:tcPr>
                <w:p w14:paraId="19805206">
                  <w:pPr>
                    <w:pStyle w:val="41"/>
                    <w:bidi w:val="0"/>
                    <w:jc w:val="center"/>
                    <w:rPr>
                      <w:rFonts w:hint="eastAsia"/>
                      <w:color w:val="auto"/>
                      <w:lang w:val="en-US" w:eastAsia="zh-CN"/>
                    </w:rPr>
                  </w:pPr>
                  <w:r>
                    <w:rPr>
                      <w:rFonts w:hint="eastAsia"/>
                      <w:color w:val="auto"/>
                    </w:rPr>
                    <w:t>1</w:t>
                  </w:r>
                </w:p>
              </w:tc>
              <w:tc>
                <w:tcPr>
                  <w:tcW w:w="812" w:type="pct"/>
                  <w:vMerge w:val="continue"/>
                  <w:vAlign w:val="center"/>
                </w:tcPr>
                <w:p w14:paraId="5118AC4C">
                  <w:pPr>
                    <w:pStyle w:val="41"/>
                    <w:bidi w:val="0"/>
                    <w:jc w:val="center"/>
                    <w:rPr>
                      <w:rFonts w:hint="default"/>
                      <w:color w:val="auto"/>
                      <w:lang w:val="en-US" w:eastAsia="zh-CN"/>
                    </w:rPr>
                  </w:pPr>
                </w:p>
              </w:tc>
            </w:tr>
            <w:tr w14:paraId="4B68B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65751A49">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108FA02D">
                  <w:pPr>
                    <w:pStyle w:val="41"/>
                    <w:bidi w:val="0"/>
                    <w:jc w:val="center"/>
                    <w:rPr>
                      <w:color w:val="auto"/>
                      <w:lang w:val="en-US" w:eastAsia="zh-CN"/>
                    </w:rPr>
                  </w:pPr>
                  <w:r>
                    <w:rPr>
                      <w:color w:val="auto"/>
                    </w:rPr>
                    <w:t>KYNJ-HPLC -009（Agilent）</w:t>
                  </w:r>
                </w:p>
              </w:tc>
              <w:tc>
                <w:tcPr>
                  <w:tcW w:w="1330" w:type="pct"/>
                  <w:shd w:val="clear" w:color="auto" w:fill="auto"/>
                  <w:vAlign w:val="center"/>
                </w:tcPr>
                <w:p w14:paraId="66338C14">
                  <w:pPr>
                    <w:pStyle w:val="41"/>
                    <w:bidi w:val="0"/>
                    <w:jc w:val="center"/>
                    <w:rPr>
                      <w:rFonts w:hint="eastAsia"/>
                      <w:color w:val="auto"/>
                      <w:lang w:val="en-US" w:eastAsia="zh-CN"/>
                    </w:rPr>
                  </w:pPr>
                  <w:r>
                    <w:rPr>
                      <w:rFonts w:hint="eastAsia"/>
                      <w:color w:val="auto"/>
                    </w:rPr>
                    <w:t>1290 二元泵</w:t>
                  </w:r>
                  <w:r>
                    <w:rPr>
                      <w:color w:val="auto"/>
                    </w:rPr>
                    <w:t>DAD</w:t>
                  </w:r>
                </w:p>
              </w:tc>
              <w:tc>
                <w:tcPr>
                  <w:tcW w:w="1145" w:type="pct"/>
                  <w:shd w:val="clear" w:color="auto" w:fill="auto"/>
                  <w:vAlign w:val="center"/>
                </w:tcPr>
                <w:p w14:paraId="3C0A154E">
                  <w:pPr>
                    <w:pStyle w:val="41"/>
                    <w:bidi w:val="0"/>
                    <w:jc w:val="center"/>
                    <w:rPr>
                      <w:rFonts w:hint="eastAsia"/>
                      <w:color w:val="auto"/>
                      <w:lang w:val="en-US" w:eastAsia="zh-CN"/>
                    </w:rPr>
                  </w:pPr>
                  <w:r>
                    <w:rPr>
                      <w:color w:val="auto"/>
                    </w:rPr>
                    <w:t>1</w:t>
                  </w:r>
                </w:p>
              </w:tc>
              <w:tc>
                <w:tcPr>
                  <w:tcW w:w="812" w:type="pct"/>
                  <w:vMerge w:val="continue"/>
                  <w:vAlign w:val="center"/>
                </w:tcPr>
                <w:p w14:paraId="6BB2E567">
                  <w:pPr>
                    <w:pStyle w:val="41"/>
                    <w:bidi w:val="0"/>
                    <w:jc w:val="center"/>
                    <w:rPr>
                      <w:rFonts w:hint="default"/>
                      <w:color w:val="auto"/>
                      <w:lang w:val="en-US" w:eastAsia="zh-CN"/>
                    </w:rPr>
                  </w:pPr>
                </w:p>
              </w:tc>
            </w:tr>
            <w:tr w14:paraId="5BD8A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EA8E1E7">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2F1EEDC9">
                  <w:pPr>
                    <w:pStyle w:val="41"/>
                    <w:bidi w:val="0"/>
                    <w:jc w:val="center"/>
                    <w:rPr>
                      <w:color w:val="auto"/>
                      <w:lang w:val="en-US" w:eastAsia="zh-CN"/>
                    </w:rPr>
                  </w:pPr>
                  <w:r>
                    <w:rPr>
                      <w:color w:val="auto"/>
                    </w:rPr>
                    <w:t>KYNJ-HPLC -010（Agilen</w:t>
                  </w:r>
                  <w:r>
                    <w:rPr>
                      <w:rFonts w:hint="eastAsia"/>
                      <w:color w:val="auto"/>
                    </w:rPr>
                    <w:t>t</w:t>
                  </w:r>
                  <w:r>
                    <w:rPr>
                      <w:color w:val="auto"/>
                    </w:rPr>
                    <w:t>）</w:t>
                  </w:r>
                </w:p>
              </w:tc>
              <w:tc>
                <w:tcPr>
                  <w:tcW w:w="1330" w:type="pct"/>
                  <w:shd w:val="clear" w:color="auto" w:fill="auto"/>
                  <w:vAlign w:val="center"/>
                </w:tcPr>
                <w:p w14:paraId="7E59D429">
                  <w:pPr>
                    <w:pStyle w:val="41"/>
                    <w:bidi w:val="0"/>
                    <w:jc w:val="center"/>
                    <w:rPr>
                      <w:rFonts w:hint="eastAsia"/>
                      <w:color w:val="auto"/>
                      <w:lang w:val="en-US" w:eastAsia="zh-CN"/>
                    </w:rPr>
                  </w:pPr>
                  <w:r>
                    <w:rPr>
                      <w:rFonts w:hint="eastAsia"/>
                      <w:color w:val="auto"/>
                    </w:rPr>
                    <w:t>1290 二元泵</w:t>
                  </w:r>
                  <w:r>
                    <w:rPr>
                      <w:color w:val="auto"/>
                    </w:rPr>
                    <w:t>DAD</w:t>
                  </w:r>
                </w:p>
              </w:tc>
              <w:tc>
                <w:tcPr>
                  <w:tcW w:w="1145" w:type="pct"/>
                  <w:shd w:val="clear" w:color="auto" w:fill="auto"/>
                  <w:vAlign w:val="center"/>
                </w:tcPr>
                <w:p w14:paraId="398B2356">
                  <w:pPr>
                    <w:pStyle w:val="41"/>
                    <w:bidi w:val="0"/>
                    <w:jc w:val="center"/>
                    <w:rPr>
                      <w:rFonts w:hint="eastAsia"/>
                      <w:color w:val="auto"/>
                      <w:lang w:val="en-US" w:eastAsia="zh-CN"/>
                    </w:rPr>
                  </w:pPr>
                  <w:r>
                    <w:rPr>
                      <w:color w:val="auto"/>
                    </w:rPr>
                    <w:t>1</w:t>
                  </w:r>
                </w:p>
              </w:tc>
              <w:tc>
                <w:tcPr>
                  <w:tcW w:w="812" w:type="pct"/>
                  <w:vMerge w:val="continue"/>
                  <w:vAlign w:val="center"/>
                </w:tcPr>
                <w:p w14:paraId="1E93AF3A">
                  <w:pPr>
                    <w:pStyle w:val="41"/>
                    <w:bidi w:val="0"/>
                    <w:jc w:val="center"/>
                    <w:rPr>
                      <w:rFonts w:hint="default"/>
                      <w:color w:val="auto"/>
                      <w:lang w:val="en-US" w:eastAsia="zh-CN"/>
                    </w:rPr>
                  </w:pPr>
                </w:p>
              </w:tc>
            </w:tr>
            <w:tr w14:paraId="42194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0CF0D848">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2CE2EC82">
                  <w:pPr>
                    <w:pStyle w:val="41"/>
                    <w:bidi w:val="0"/>
                    <w:jc w:val="center"/>
                    <w:rPr>
                      <w:color w:val="auto"/>
                      <w:lang w:val="en-US" w:eastAsia="zh-CN"/>
                    </w:rPr>
                  </w:pPr>
                  <w:r>
                    <w:rPr>
                      <w:color w:val="auto"/>
                    </w:rPr>
                    <w:t>KYNJ-HPLC -01</w:t>
                  </w:r>
                  <w:r>
                    <w:rPr>
                      <w:rFonts w:hint="eastAsia"/>
                      <w:color w:val="auto"/>
                    </w:rPr>
                    <w:t>1</w:t>
                  </w:r>
                  <w:r>
                    <w:rPr>
                      <w:color w:val="auto"/>
                    </w:rPr>
                    <w:t>（Agilen</w:t>
                  </w:r>
                  <w:r>
                    <w:rPr>
                      <w:rFonts w:hint="eastAsia"/>
                      <w:color w:val="auto"/>
                    </w:rPr>
                    <w:t>t</w:t>
                  </w:r>
                  <w:r>
                    <w:rPr>
                      <w:color w:val="auto"/>
                    </w:rPr>
                    <w:t>）</w:t>
                  </w:r>
                </w:p>
              </w:tc>
              <w:tc>
                <w:tcPr>
                  <w:tcW w:w="1330" w:type="pct"/>
                  <w:shd w:val="clear" w:color="auto" w:fill="auto"/>
                  <w:vAlign w:val="center"/>
                </w:tcPr>
                <w:p w14:paraId="214A12B9">
                  <w:pPr>
                    <w:pStyle w:val="41"/>
                    <w:bidi w:val="0"/>
                    <w:jc w:val="center"/>
                    <w:rPr>
                      <w:color w:val="auto"/>
                      <w:lang w:val="en-US" w:eastAsia="zh-CN"/>
                    </w:rPr>
                  </w:pPr>
                  <w:r>
                    <w:rPr>
                      <w:rFonts w:hint="eastAsia"/>
                      <w:color w:val="auto"/>
                    </w:rPr>
                    <w:t>二元泵</w:t>
                  </w:r>
                  <w:r>
                    <w:rPr>
                      <w:color w:val="auto"/>
                    </w:rPr>
                    <w:t>DAD</w:t>
                  </w:r>
                </w:p>
              </w:tc>
              <w:tc>
                <w:tcPr>
                  <w:tcW w:w="1145" w:type="pct"/>
                  <w:shd w:val="clear" w:color="auto" w:fill="auto"/>
                  <w:vAlign w:val="center"/>
                </w:tcPr>
                <w:p w14:paraId="4148FFEB">
                  <w:pPr>
                    <w:pStyle w:val="41"/>
                    <w:bidi w:val="0"/>
                    <w:jc w:val="center"/>
                    <w:rPr>
                      <w:rFonts w:hint="eastAsia"/>
                      <w:color w:val="auto"/>
                      <w:lang w:val="en-US" w:eastAsia="zh-CN"/>
                    </w:rPr>
                  </w:pPr>
                  <w:r>
                    <w:rPr>
                      <w:rFonts w:hint="eastAsia"/>
                      <w:color w:val="auto"/>
                    </w:rPr>
                    <w:t>1</w:t>
                  </w:r>
                </w:p>
              </w:tc>
              <w:tc>
                <w:tcPr>
                  <w:tcW w:w="812" w:type="pct"/>
                  <w:vMerge w:val="continue"/>
                  <w:vAlign w:val="center"/>
                </w:tcPr>
                <w:p w14:paraId="54532842">
                  <w:pPr>
                    <w:pStyle w:val="41"/>
                    <w:bidi w:val="0"/>
                    <w:jc w:val="center"/>
                    <w:rPr>
                      <w:rFonts w:hint="default"/>
                      <w:color w:val="auto"/>
                      <w:lang w:val="en-US" w:eastAsia="zh-CN"/>
                    </w:rPr>
                  </w:pPr>
                </w:p>
              </w:tc>
            </w:tr>
            <w:tr w14:paraId="3D197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7070769D">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6541FC41">
                  <w:pPr>
                    <w:pStyle w:val="41"/>
                    <w:bidi w:val="0"/>
                    <w:jc w:val="center"/>
                    <w:rPr>
                      <w:color w:val="auto"/>
                      <w:lang w:val="en-US" w:eastAsia="zh-CN"/>
                    </w:rPr>
                  </w:pPr>
                  <w:r>
                    <w:rPr>
                      <w:color w:val="auto"/>
                    </w:rPr>
                    <w:t>KYNJ-HPLC -01</w:t>
                  </w:r>
                  <w:r>
                    <w:rPr>
                      <w:rFonts w:hint="eastAsia"/>
                      <w:color w:val="auto"/>
                    </w:rPr>
                    <w:t>2</w:t>
                  </w:r>
                  <w:r>
                    <w:rPr>
                      <w:color w:val="auto"/>
                    </w:rPr>
                    <w:t>（Thermo）</w:t>
                  </w:r>
                </w:p>
              </w:tc>
              <w:tc>
                <w:tcPr>
                  <w:tcW w:w="1330" w:type="pct"/>
                  <w:shd w:val="clear" w:color="auto" w:fill="auto"/>
                  <w:vAlign w:val="center"/>
                </w:tcPr>
                <w:p w14:paraId="2D60E99E">
                  <w:pPr>
                    <w:pStyle w:val="41"/>
                    <w:bidi w:val="0"/>
                    <w:jc w:val="center"/>
                    <w:rPr>
                      <w:color w:val="auto"/>
                      <w:lang w:val="en-US" w:eastAsia="zh-CN"/>
                    </w:rPr>
                  </w:pPr>
                  <w:r>
                    <w:rPr>
                      <w:rFonts w:hint="eastAsia"/>
                      <w:color w:val="auto"/>
                    </w:rPr>
                    <w:t>二元泵</w:t>
                  </w:r>
                  <w:r>
                    <w:rPr>
                      <w:color w:val="auto"/>
                    </w:rPr>
                    <w:t>U3000 VWD</w:t>
                  </w:r>
                </w:p>
              </w:tc>
              <w:tc>
                <w:tcPr>
                  <w:tcW w:w="1145" w:type="pct"/>
                  <w:shd w:val="clear" w:color="auto" w:fill="auto"/>
                  <w:vAlign w:val="center"/>
                </w:tcPr>
                <w:p w14:paraId="0A72D556">
                  <w:pPr>
                    <w:pStyle w:val="41"/>
                    <w:bidi w:val="0"/>
                    <w:jc w:val="center"/>
                    <w:rPr>
                      <w:rFonts w:hint="eastAsia"/>
                      <w:color w:val="auto"/>
                      <w:lang w:val="en-US" w:eastAsia="zh-CN"/>
                    </w:rPr>
                  </w:pPr>
                  <w:r>
                    <w:rPr>
                      <w:rFonts w:hint="eastAsia"/>
                      <w:color w:val="auto"/>
                    </w:rPr>
                    <w:t>1</w:t>
                  </w:r>
                </w:p>
              </w:tc>
              <w:tc>
                <w:tcPr>
                  <w:tcW w:w="812" w:type="pct"/>
                  <w:vMerge w:val="continue"/>
                  <w:vAlign w:val="center"/>
                </w:tcPr>
                <w:p w14:paraId="053124DA">
                  <w:pPr>
                    <w:pStyle w:val="41"/>
                    <w:bidi w:val="0"/>
                    <w:jc w:val="center"/>
                    <w:rPr>
                      <w:rFonts w:hint="default"/>
                      <w:color w:val="auto"/>
                      <w:lang w:val="en-US" w:eastAsia="zh-CN"/>
                    </w:rPr>
                  </w:pPr>
                </w:p>
              </w:tc>
            </w:tr>
            <w:tr w14:paraId="59EC6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27F25DD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707BF0C8">
                  <w:pPr>
                    <w:pStyle w:val="41"/>
                    <w:bidi w:val="0"/>
                    <w:jc w:val="center"/>
                    <w:rPr>
                      <w:color w:val="auto"/>
                    </w:rPr>
                  </w:pPr>
                  <w:r>
                    <w:rPr>
                      <w:color w:val="auto"/>
                    </w:rPr>
                    <w:t>KYNJ-HPLC -01</w:t>
                  </w:r>
                  <w:r>
                    <w:rPr>
                      <w:rFonts w:hint="eastAsia"/>
                      <w:color w:val="auto"/>
                    </w:rPr>
                    <w:t>3</w:t>
                  </w:r>
                </w:p>
                <w:p w14:paraId="3853AB00">
                  <w:pPr>
                    <w:pStyle w:val="41"/>
                    <w:bidi w:val="0"/>
                    <w:jc w:val="center"/>
                    <w:rPr>
                      <w:color w:val="auto"/>
                      <w:lang w:val="en-US" w:eastAsia="zh-CN"/>
                    </w:rPr>
                  </w:pPr>
                  <w:r>
                    <w:rPr>
                      <w:color w:val="auto"/>
                    </w:rPr>
                    <w:t>（Thermo）</w:t>
                  </w:r>
                </w:p>
              </w:tc>
              <w:tc>
                <w:tcPr>
                  <w:tcW w:w="1330" w:type="pct"/>
                  <w:shd w:val="clear" w:color="auto" w:fill="auto"/>
                  <w:vAlign w:val="center"/>
                </w:tcPr>
                <w:p w14:paraId="3BA7578E">
                  <w:pPr>
                    <w:pStyle w:val="41"/>
                    <w:bidi w:val="0"/>
                    <w:jc w:val="center"/>
                    <w:rPr>
                      <w:color w:val="auto"/>
                      <w:lang w:val="en-US" w:eastAsia="zh-CN"/>
                    </w:rPr>
                  </w:pPr>
                  <w:r>
                    <w:rPr>
                      <w:rFonts w:hint="eastAsia"/>
                      <w:color w:val="auto"/>
                    </w:rPr>
                    <w:t>二元泵</w:t>
                  </w:r>
                  <w:r>
                    <w:rPr>
                      <w:color w:val="auto"/>
                    </w:rPr>
                    <w:t>U3000 VWD</w:t>
                  </w:r>
                </w:p>
              </w:tc>
              <w:tc>
                <w:tcPr>
                  <w:tcW w:w="1145" w:type="pct"/>
                  <w:shd w:val="clear" w:color="auto" w:fill="auto"/>
                  <w:vAlign w:val="center"/>
                </w:tcPr>
                <w:p w14:paraId="3B6079A6">
                  <w:pPr>
                    <w:pStyle w:val="41"/>
                    <w:bidi w:val="0"/>
                    <w:jc w:val="center"/>
                    <w:rPr>
                      <w:rFonts w:hint="eastAsia"/>
                      <w:color w:val="auto"/>
                      <w:lang w:val="en-US" w:eastAsia="zh-CN"/>
                    </w:rPr>
                  </w:pPr>
                  <w:r>
                    <w:rPr>
                      <w:rFonts w:hint="eastAsia"/>
                      <w:color w:val="auto"/>
                    </w:rPr>
                    <w:t>1</w:t>
                  </w:r>
                </w:p>
              </w:tc>
              <w:tc>
                <w:tcPr>
                  <w:tcW w:w="812" w:type="pct"/>
                  <w:vMerge w:val="continue"/>
                  <w:vAlign w:val="center"/>
                </w:tcPr>
                <w:p w14:paraId="0F38FF47">
                  <w:pPr>
                    <w:pStyle w:val="41"/>
                    <w:bidi w:val="0"/>
                    <w:jc w:val="center"/>
                    <w:rPr>
                      <w:rFonts w:hint="default"/>
                      <w:color w:val="auto"/>
                      <w:lang w:val="en-US" w:eastAsia="zh-CN"/>
                    </w:rPr>
                  </w:pPr>
                </w:p>
              </w:tc>
            </w:tr>
            <w:tr w14:paraId="76ED2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D1768F4">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5A059E63">
                  <w:pPr>
                    <w:pStyle w:val="41"/>
                    <w:bidi w:val="0"/>
                    <w:jc w:val="center"/>
                    <w:rPr>
                      <w:color w:val="auto"/>
                    </w:rPr>
                  </w:pPr>
                  <w:r>
                    <w:rPr>
                      <w:color w:val="auto"/>
                    </w:rPr>
                    <w:t>KYNJ-HPLC -01</w:t>
                  </w:r>
                  <w:r>
                    <w:rPr>
                      <w:rFonts w:hint="eastAsia"/>
                      <w:color w:val="auto"/>
                    </w:rPr>
                    <w:t>4</w:t>
                  </w:r>
                </w:p>
                <w:p w14:paraId="26C2E353">
                  <w:pPr>
                    <w:pStyle w:val="41"/>
                    <w:bidi w:val="0"/>
                    <w:jc w:val="center"/>
                    <w:rPr>
                      <w:color w:val="auto"/>
                      <w:lang w:val="en-US" w:eastAsia="zh-CN"/>
                    </w:rPr>
                  </w:pPr>
                  <w:r>
                    <w:rPr>
                      <w:color w:val="auto"/>
                    </w:rPr>
                    <w:t>（Agilen</w:t>
                  </w:r>
                  <w:r>
                    <w:rPr>
                      <w:rFonts w:hint="eastAsia"/>
                      <w:color w:val="auto"/>
                    </w:rPr>
                    <w:t>t</w:t>
                  </w:r>
                  <w:r>
                    <w:rPr>
                      <w:color w:val="auto"/>
                    </w:rPr>
                    <w:t>）</w:t>
                  </w:r>
                </w:p>
              </w:tc>
              <w:tc>
                <w:tcPr>
                  <w:tcW w:w="1330" w:type="pct"/>
                  <w:shd w:val="clear" w:color="auto" w:fill="auto"/>
                  <w:vAlign w:val="center"/>
                </w:tcPr>
                <w:p w14:paraId="0A9AEA45">
                  <w:pPr>
                    <w:pStyle w:val="41"/>
                    <w:bidi w:val="0"/>
                    <w:jc w:val="center"/>
                    <w:rPr>
                      <w:color w:val="auto"/>
                      <w:lang w:val="en-US" w:eastAsia="zh-CN"/>
                    </w:rPr>
                  </w:pPr>
                  <w:r>
                    <w:rPr>
                      <w:rFonts w:hint="eastAsia"/>
                      <w:color w:val="auto"/>
                    </w:rPr>
                    <w:t>二元泵</w:t>
                  </w:r>
                  <w:r>
                    <w:rPr>
                      <w:color w:val="auto"/>
                    </w:rPr>
                    <w:t>DAD</w:t>
                  </w:r>
                </w:p>
              </w:tc>
              <w:tc>
                <w:tcPr>
                  <w:tcW w:w="1145" w:type="pct"/>
                  <w:shd w:val="clear" w:color="auto" w:fill="auto"/>
                  <w:vAlign w:val="center"/>
                </w:tcPr>
                <w:p w14:paraId="3B3EE9A4">
                  <w:pPr>
                    <w:pStyle w:val="41"/>
                    <w:bidi w:val="0"/>
                    <w:jc w:val="center"/>
                    <w:rPr>
                      <w:rFonts w:hint="eastAsia"/>
                      <w:color w:val="auto"/>
                      <w:lang w:val="en-US" w:eastAsia="zh-CN"/>
                    </w:rPr>
                  </w:pPr>
                  <w:r>
                    <w:rPr>
                      <w:rFonts w:hint="eastAsia"/>
                      <w:color w:val="auto"/>
                    </w:rPr>
                    <w:t>1</w:t>
                  </w:r>
                </w:p>
              </w:tc>
              <w:tc>
                <w:tcPr>
                  <w:tcW w:w="812" w:type="pct"/>
                  <w:vMerge w:val="continue"/>
                  <w:vAlign w:val="center"/>
                </w:tcPr>
                <w:p w14:paraId="272FD663">
                  <w:pPr>
                    <w:pStyle w:val="41"/>
                    <w:bidi w:val="0"/>
                    <w:jc w:val="center"/>
                    <w:rPr>
                      <w:rFonts w:hint="default"/>
                      <w:color w:val="auto"/>
                      <w:lang w:val="en-US" w:eastAsia="zh-CN"/>
                    </w:rPr>
                  </w:pPr>
                </w:p>
              </w:tc>
            </w:tr>
            <w:tr w14:paraId="6BE44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58C72143">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27589034">
                  <w:pPr>
                    <w:pStyle w:val="41"/>
                    <w:bidi w:val="0"/>
                    <w:jc w:val="center"/>
                    <w:rPr>
                      <w:color w:val="auto"/>
                    </w:rPr>
                  </w:pPr>
                  <w:r>
                    <w:rPr>
                      <w:color w:val="auto"/>
                    </w:rPr>
                    <w:t>KYNJ-HPLC -01</w:t>
                  </w:r>
                  <w:r>
                    <w:rPr>
                      <w:rFonts w:hint="eastAsia"/>
                      <w:color w:val="auto"/>
                    </w:rPr>
                    <w:t>5</w:t>
                  </w:r>
                </w:p>
                <w:p w14:paraId="5565EC8F">
                  <w:pPr>
                    <w:pStyle w:val="41"/>
                    <w:bidi w:val="0"/>
                    <w:jc w:val="center"/>
                    <w:rPr>
                      <w:color w:val="auto"/>
                      <w:lang w:val="en-US" w:eastAsia="zh-CN"/>
                    </w:rPr>
                  </w:pPr>
                  <w:r>
                    <w:rPr>
                      <w:color w:val="auto"/>
                    </w:rPr>
                    <w:t>（Agilen</w:t>
                  </w:r>
                  <w:r>
                    <w:rPr>
                      <w:rFonts w:hint="eastAsia"/>
                      <w:color w:val="auto"/>
                    </w:rPr>
                    <w:t>t</w:t>
                  </w:r>
                  <w:r>
                    <w:rPr>
                      <w:color w:val="auto"/>
                    </w:rPr>
                    <w:t>）</w:t>
                  </w:r>
                </w:p>
              </w:tc>
              <w:tc>
                <w:tcPr>
                  <w:tcW w:w="1330" w:type="pct"/>
                  <w:shd w:val="clear" w:color="auto" w:fill="auto"/>
                  <w:vAlign w:val="center"/>
                </w:tcPr>
                <w:p w14:paraId="09670E64">
                  <w:pPr>
                    <w:pStyle w:val="41"/>
                    <w:bidi w:val="0"/>
                    <w:jc w:val="center"/>
                    <w:rPr>
                      <w:color w:val="auto"/>
                      <w:lang w:val="en-US" w:eastAsia="zh-CN"/>
                    </w:rPr>
                  </w:pPr>
                  <w:r>
                    <w:rPr>
                      <w:rFonts w:hint="eastAsia"/>
                      <w:color w:val="auto"/>
                    </w:rPr>
                    <w:t>二元泵</w:t>
                  </w:r>
                  <w:r>
                    <w:rPr>
                      <w:color w:val="auto"/>
                    </w:rPr>
                    <w:t>DAD</w:t>
                  </w:r>
                </w:p>
              </w:tc>
              <w:tc>
                <w:tcPr>
                  <w:tcW w:w="1145" w:type="pct"/>
                  <w:shd w:val="clear" w:color="auto" w:fill="auto"/>
                  <w:vAlign w:val="center"/>
                </w:tcPr>
                <w:p w14:paraId="289D5FB0">
                  <w:pPr>
                    <w:pStyle w:val="41"/>
                    <w:bidi w:val="0"/>
                    <w:jc w:val="center"/>
                    <w:rPr>
                      <w:rFonts w:hint="eastAsia"/>
                      <w:color w:val="auto"/>
                      <w:lang w:val="en-US" w:eastAsia="zh-CN"/>
                    </w:rPr>
                  </w:pPr>
                  <w:r>
                    <w:rPr>
                      <w:rFonts w:hint="eastAsia"/>
                      <w:color w:val="auto"/>
                    </w:rPr>
                    <w:t>1</w:t>
                  </w:r>
                </w:p>
              </w:tc>
              <w:tc>
                <w:tcPr>
                  <w:tcW w:w="812" w:type="pct"/>
                  <w:vMerge w:val="continue"/>
                  <w:vAlign w:val="center"/>
                </w:tcPr>
                <w:p w14:paraId="283481DF">
                  <w:pPr>
                    <w:pStyle w:val="41"/>
                    <w:bidi w:val="0"/>
                    <w:jc w:val="center"/>
                    <w:rPr>
                      <w:rFonts w:hint="default"/>
                      <w:color w:val="auto"/>
                      <w:lang w:val="en-US" w:eastAsia="zh-CN"/>
                    </w:rPr>
                  </w:pPr>
                </w:p>
              </w:tc>
            </w:tr>
            <w:tr w14:paraId="1C99F2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pct"/>
                  <w:vAlign w:val="center"/>
                </w:tcPr>
                <w:p w14:paraId="33BE02EC">
                  <w:pPr>
                    <w:pStyle w:val="41"/>
                    <w:numPr>
                      <w:ilvl w:val="0"/>
                      <w:numId w:val="14"/>
                    </w:numPr>
                    <w:bidi w:val="0"/>
                    <w:ind w:left="454" w:leftChars="0" w:hanging="454" w:firstLineChars="0"/>
                    <w:jc w:val="center"/>
                    <w:rPr>
                      <w:rFonts w:hint="default"/>
                      <w:color w:val="auto"/>
                      <w:highlight w:val="none"/>
                      <w:lang w:val="en-US" w:eastAsia="zh-CN"/>
                    </w:rPr>
                  </w:pPr>
                </w:p>
              </w:tc>
              <w:tc>
                <w:tcPr>
                  <w:tcW w:w="1232" w:type="pct"/>
                  <w:shd w:val="clear" w:color="auto" w:fill="auto"/>
                  <w:vAlign w:val="center"/>
                </w:tcPr>
                <w:p w14:paraId="543612CB">
                  <w:pPr>
                    <w:pStyle w:val="41"/>
                    <w:bidi w:val="0"/>
                    <w:jc w:val="center"/>
                    <w:rPr>
                      <w:color w:val="auto"/>
                      <w:lang w:val="en-US" w:eastAsia="zh-CN"/>
                    </w:rPr>
                  </w:pPr>
                  <w:r>
                    <w:rPr>
                      <w:color w:val="auto"/>
                    </w:rPr>
                    <w:t>KYNJ-GC-001</w:t>
                  </w:r>
                </w:p>
              </w:tc>
              <w:tc>
                <w:tcPr>
                  <w:tcW w:w="1330" w:type="pct"/>
                  <w:shd w:val="clear" w:color="auto" w:fill="auto"/>
                  <w:vAlign w:val="center"/>
                </w:tcPr>
                <w:p w14:paraId="742B3326">
                  <w:pPr>
                    <w:pStyle w:val="41"/>
                    <w:bidi w:val="0"/>
                    <w:jc w:val="center"/>
                    <w:rPr>
                      <w:rFonts w:hint="eastAsia"/>
                      <w:color w:val="auto"/>
                      <w:lang w:val="en-US" w:eastAsia="zh-CN"/>
                    </w:rPr>
                  </w:pPr>
                  <w:r>
                    <w:rPr>
                      <w:color w:val="auto"/>
                    </w:rPr>
                    <w:t>7697A-7890B</w:t>
                  </w:r>
                </w:p>
              </w:tc>
              <w:tc>
                <w:tcPr>
                  <w:tcW w:w="1145" w:type="pct"/>
                  <w:shd w:val="clear" w:color="auto" w:fill="auto"/>
                  <w:vAlign w:val="center"/>
                </w:tcPr>
                <w:p w14:paraId="2FCF3BBA">
                  <w:pPr>
                    <w:pStyle w:val="41"/>
                    <w:bidi w:val="0"/>
                    <w:jc w:val="center"/>
                    <w:rPr>
                      <w:rFonts w:hint="eastAsia"/>
                      <w:color w:val="auto"/>
                      <w:lang w:val="en-US" w:eastAsia="zh-CN"/>
                    </w:rPr>
                  </w:pPr>
                  <w:r>
                    <w:rPr>
                      <w:color w:val="auto"/>
                    </w:rPr>
                    <w:t>1</w:t>
                  </w:r>
                </w:p>
              </w:tc>
              <w:tc>
                <w:tcPr>
                  <w:tcW w:w="812" w:type="pct"/>
                  <w:vMerge w:val="continue"/>
                  <w:vAlign w:val="center"/>
                </w:tcPr>
                <w:p w14:paraId="178FF324">
                  <w:pPr>
                    <w:pStyle w:val="41"/>
                    <w:bidi w:val="0"/>
                    <w:jc w:val="center"/>
                    <w:rPr>
                      <w:rFonts w:hint="default"/>
                      <w:color w:val="auto"/>
                      <w:lang w:val="en-US" w:eastAsia="zh-CN"/>
                    </w:rPr>
                  </w:pPr>
                </w:p>
              </w:tc>
            </w:tr>
          </w:tbl>
          <w:p w14:paraId="6C9E2328">
            <w:pPr>
              <w:pStyle w:val="41"/>
              <w:bidi w:val="0"/>
              <w:rPr>
                <w:color w:val="auto"/>
                <w:highlight w:val="none"/>
              </w:rPr>
            </w:pPr>
          </w:p>
          <w:p w14:paraId="66B83976">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rPr>
            </w:pPr>
            <w:r>
              <w:rPr>
                <w:rFonts w:hint="eastAsia"/>
                <w:b/>
                <w:bCs/>
                <w:color w:val="auto"/>
                <w:highlight w:val="none"/>
                <w:lang w:val="en-US" w:eastAsia="zh-CN"/>
              </w:rPr>
              <w:t>7</w:t>
            </w:r>
            <w:r>
              <w:rPr>
                <w:b/>
                <w:bCs/>
                <w:color w:val="auto"/>
                <w:highlight w:val="none"/>
              </w:rPr>
              <w:t>、平面布置及周围环境状况</w:t>
            </w:r>
          </w:p>
          <w:p w14:paraId="75941084">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color w:val="auto"/>
                <w:highlight w:val="none"/>
              </w:rPr>
              <w:t>（1）平面布置情况</w:t>
            </w:r>
          </w:p>
          <w:p w14:paraId="5F426D6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color w:val="FF0000"/>
                <w:highlight w:val="none"/>
                <w:lang w:val="en-US" w:eastAsia="zh-CN"/>
              </w:rPr>
            </w:pPr>
            <w:r>
              <w:rPr>
                <w:rFonts w:hint="eastAsia"/>
                <w:color w:val="auto"/>
                <w:highlight w:val="none"/>
              </w:rPr>
              <w:t>本项目地址位于南京市江宁区龙眠大道578号</w:t>
            </w:r>
            <w:r>
              <w:rPr>
                <w:rFonts w:hint="eastAsia"/>
                <w:color w:val="auto"/>
                <w:highlight w:val="none"/>
                <w:lang w:eastAsia="zh-CN"/>
              </w:rPr>
              <w:t>，</w:t>
            </w:r>
            <w:r>
              <w:rPr>
                <w:rFonts w:hint="eastAsia"/>
                <w:color w:val="auto"/>
                <w:highlight w:val="none"/>
                <w:lang w:val="en-US" w:eastAsia="zh-CN"/>
              </w:rPr>
              <w:t>1号楼位于厂区北侧，8号楼位于厂区南侧，3号楼、5号楼、6号楼、7号楼在厂区中间自西向东排列。1号楼共19层，1F-6F、17F-19F主要用于办公，7F-17F设置研发实验室。</w:t>
            </w:r>
          </w:p>
          <w:p w14:paraId="33CBD39F">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周围环境状况</w:t>
            </w:r>
          </w:p>
          <w:p w14:paraId="205C347E">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rFonts w:hint="eastAsia"/>
                <w:color w:val="auto"/>
                <w:highlight w:val="none"/>
                <w:lang w:val="en-US" w:eastAsia="zh-CN"/>
              </w:rPr>
              <w:t>康缘医药科技园东侧为龙眠大道，再往东为商苑新村，南侧为空地，西侧为空地，北侧为南京生命科技小镇展览馆</w:t>
            </w:r>
            <w:r>
              <w:rPr>
                <w:rFonts w:ascii="Times New Roman" w:hAnsi="Times New Roman" w:eastAsia="宋体"/>
                <w:color w:val="auto"/>
                <w:highlight w:val="none"/>
              </w:rPr>
              <w:t>。</w:t>
            </w:r>
          </w:p>
          <w:p w14:paraId="11D19E55">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color w:val="auto"/>
                <w:highlight w:val="none"/>
                <w:lang w:val="en-US" w:eastAsia="zh-CN"/>
              </w:rPr>
            </w:pPr>
            <w:r>
              <w:rPr>
                <w:rFonts w:hint="eastAsia"/>
                <w:b/>
                <w:bCs/>
                <w:color w:val="auto"/>
                <w:highlight w:val="none"/>
                <w:lang w:val="en-US" w:eastAsia="zh-CN"/>
              </w:rPr>
              <w:t>8、水平衡</w:t>
            </w:r>
          </w:p>
          <w:p w14:paraId="4CCEE8F1">
            <w:pPr>
              <w:pStyle w:val="171"/>
              <w:rPr>
                <w:rFonts w:hint="eastAsia" w:eastAsia="宋体"/>
                <w:b/>
                <w:color w:val="auto"/>
                <w:highlight w:val="none"/>
                <w:lang w:eastAsia="zh-CN"/>
              </w:rPr>
            </w:pPr>
            <w:r>
              <w:rPr>
                <w:color w:val="auto"/>
                <w:highlight w:val="none"/>
              </w:rPr>
              <w:t>本项目运营期用水及排水环节如下</w:t>
            </w:r>
            <w:r>
              <w:rPr>
                <w:rFonts w:hint="eastAsia"/>
                <w:color w:val="auto"/>
                <w:highlight w:val="none"/>
                <w:lang w:eastAsia="zh-CN"/>
              </w:rPr>
              <w:t>。</w:t>
            </w:r>
          </w:p>
          <w:p w14:paraId="5D59040E">
            <w:pPr>
              <w:pStyle w:val="171"/>
              <w:rPr>
                <w:b/>
                <w:color w:val="auto"/>
                <w:highlight w:val="none"/>
              </w:rPr>
            </w:pPr>
            <w:r>
              <w:rPr>
                <w:color w:val="auto"/>
                <w:highlight w:val="none"/>
              </w:rPr>
              <w:t>（1）生活用水</w:t>
            </w:r>
          </w:p>
          <w:p w14:paraId="2C6A457D">
            <w:pPr>
              <w:spacing w:line="460" w:lineRule="exact"/>
              <w:ind w:firstLine="480" w:firstLineChars="200"/>
              <w:rPr>
                <w:rFonts w:hint="default" w:eastAsia="宋体"/>
                <w:color w:val="auto"/>
                <w:sz w:val="24"/>
                <w:highlight w:val="none"/>
                <w:lang w:val="en-US" w:eastAsia="zh-CN"/>
              </w:rPr>
            </w:pPr>
            <w:r>
              <w:rPr>
                <w:color w:val="auto"/>
                <w:sz w:val="24"/>
                <w:highlight w:val="none"/>
              </w:rPr>
              <w:t>本项目</w:t>
            </w:r>
            <w:r>
              <w:rPr>
                <w:rFonts w:hint="eastAsia"/>
                <w:color w:val="auto"/>
                <w:sz w:val="24"/>
                <w:highlight w:val="none"/>
                <w:lang w:val="en-US" w:eastAsia="zh-CN"/>
              </w:rPr>
              <w:t>新增</w:t>
            </w:r>
            <w:r>
              <w:rPr>
                <w:rFonts w:hint="eastAsia"/>
                <w:color w:val="auto"/>
                <w:sz w:val="24"/>
                <w:highlight w:val="none"/>
              </w:rPr>
              <w:t>劳动定员3</w:t>
            </w:r>
            <w:r>
              <w:rPr>
                <w:color w:val="auto"/>
                <w:sz w:val="24"/>
                <w:highlight w:val="none"/>
              </w:rPr>
              <w:t>0人，</w:t>
            </w:r>
            <w:r>
              <w:rPr>
                <w:rFonts w:hint="eastAsia"/>
                <w:color w:val="auto"/>
                <w:sz w:val="24"/>
                <w:highlight w:val="none"/>
                <w:lang w:val="en-US" w:eastAsia="zh-CN"/>
              </w:rPr>
              <w:t>由3号楼搬迁至1号楼70人，由5号楼搬迁至1号楼150人，项目建成后1号楼工作人数共250人。</w:t>
            </w:r>
            <w:r>
              <w:rPr>
                <w:rFonts w:hint="eastAsia"/>
                <w:color w:val="auto"/>
                <w:highlight w:val="none"/>
              </w:rPr>
              <w:t>参照《</w:t>
            </w:r>
            <w:r>
              <w:rPr>
                <w:rFonts w:hint="eastAsia"/>
                <w:color w:val="auto"/>
                <w:highlight w:val="none"/>
                <w:lang w:eastAsia="zh-CN"/>
              </w:rPr>
              <w:t>建筑给水排水设计标准</w:t>
            </w:r>
            <w:r>
              <w:rPr>
                <w:rFonts w:hint="eastAsia"/>
                <w:color w:val="auto"/>
                <w:highlight w:val="none"/>
              </w:rPr>
              <w:t>》（GB50015-2019）</w:t>
            </w:r>
            <w:r>
              <w:rPr>
                <w:color w:val="auto"/>
                <w:highlight w:val="none"/>
              </w:rPr>
              <w:t>，</w:t>
            </w:r>
            <w:r>
              <w:rPr>
                <w:rFonts w:hint="eastAsia"/>
                <w:color w:val="auto"/>
                <w:highlight w:val="none"/>
                <w:lang w:val="en-US" w:eastAsia="zh-CN"/>
              </w:rPr>
              <w:t>生活</w:t>
            </w:r>
            <w:r>
              <w:rPr>
                <w:color w:val="auto"/>
                <w:highlight w:val="none"/>
              </w:rPr>
              <w:t>用水系数</w:t>
            </w:r>
            <w:r>
              <w:rPr>
                <w:rFonts w:hint="eastAsia"/>
                <w:color w:val="auto"/>
                <w:highlight w:val="none"/>
              </w:rPr>
              <w:t>取</w:t>
            </w:r>
            <w:r>
              <w:rPr>
                <w:rFonts w:hint="eastAsia"/>
                <w:color w:val="auto"/>
                <w:highlight w:val="none"/>
                <w:lang w:val="en-US" w:eastAsia="zh-CN"/>
              </w:rPr>
              <w:t>50</w:t>
            </w:r>
            <w:r>
              <w:rPr>
                <w:color w:val="auto"/>
                <w:highlight w:val="none"/>
              </w:rPr>
              <w:t>L/（d·人），全年工作</w:t>
            </w:r>
            <w:r>
              <w:rPr>
                <w:rFonts w:hint="eastAsia"/>
                <w:color w:val="auto"/>
                <w:highlight w:val="none"/>
                <w:lang w:val="en-US" w:eastAsia="zh-CN"/>
              </w:rPr>
              <w:t>250</w:t>
            </w:r>
            <w:r>
              <w:rPr>
                <w:color w:val="auto"/>
                <w:highlight w:val="none"/>
              </w:rPr>
              <w:t>天，生活用水量为</w:t>
            </w:r>
            <w:r>
              <w:rPr>
                <w:rFonts w:hint="eastAsia"/>
                <w:color w:val="auto"/>
                <w:highlight w:val="none"/>
                <w:lang w:val="en-US" w:eastAsia="zh-CN"/>
              </w:rPr>
              <w:t>3125</w:t>
            </w:r>
            <w:r>
              <w:rPr>
                <w:color w:val="auto"/>
                <w:highlight w:val="none"/>
              </w:rPr>
              <w:t>t/a</w:t>
            </w:r>
            <w:r>
              <w:rPr>
                <w:rFonts w:hint="eastAsia"/>
                <w:color w:val="auto"/>
                <w:highlight w:val="none"/>
                <w:lang w:eastAsia="zh-CN"/>
              </w:rPr>
              <w:t>，</w:t>
            </w:r>
            <w:r>
              <w:rPr>
                <w:rFonts w:hint="eastAsia"/>
                <w:color w:val="auto"/>
                <w:highlight w:val="none"/>
              </w:rPr>
              <w:t>废水产生系数按照0.8计算，生活污水产生量为</w:t>
            </w:r>
            <w:r>
              <w:rPr>
                <w:rFonts w:hint="eastAsia"/>
                <w:color w:val="auto"/>
                <w:highlight w:val="none"/>
                <w:lang w:val="en-US" w:eastAsia="zh-CN"/>
              </w:rPr>
              <w:t>2500</w:t>
            </w:r>
            <w:r>
              <w:rPr>
                <w:rFonts w:hint="eastAsia"/>
                <w:color w:val="auto"/>
                <w:highlight w:val="none"/>
              </w:rPr>
              <w:t>t/a</w:t>
            </w:r>
            <w:r>
              <w:rPr>
                <w:color w:val="auto"/>
                <w:highlight w:val="none"/>
              </w:rPr>
              <w:t>。</w:t>
            </w:r>
            <w:r>
              <w:rPr>
                <w:rFonts w:hint="eastAsia"/>
                <w:color w:val="auto"/>
                <w:highlight w:val="none"/>
                <w:lang w:val="en-US" w:eastAsia="zh-CN"/>
              </w:rPr>
              <w:t>生活污水经过化粪池预处理后接管至高新区污水处理厂处理。</w:t>
            </w:r>
          </w:p>
          <w:p w14:paraId="65BCE94F">
            <w:pPr>
              <w:pStyle w:val="171"/>
              <w:rPr>
                <w:color w:val="auto"/>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highlight w:val="none"/>
              </w:rPr>
              <w:t>仪器及器皿清洗用水</w:t>
            </w:r>
          </w:p>
          <w:p w14:paraId="26D95BCD">
            <w:pPr>
              <w:pStyle w:val="171"/>
              <w:rPr>
                <w:color w:val="auto"/>
                <w:highlight w:val="none"/>
              </w:rPr>
            </w:pPr>
            <w:r>
              <w:rPr>
                <w:rFonts w:hint="eastAsia"/>
                <w:color w:val="auto"/>
                <w:highlight w:val="none"/>
              </w:rPr>
              <w:t>①</w:t>
            </w:r>
            <w:r>
              <w:rPr>
                <w:rFonts w:hint="eastAsia"/>
                <w:color w:val="auto"/>
                <w:highlight w:val="none"/>
                <w:lang w:val="en-US" w:eastAsia="zh-CN"/>
              </w:rPr>
              <w:t>首次</w:t>
            </w:r>
            <w:r>
              <w:rPr>
                <w:color w:val="auto"/>
                <w:highlight w:val="none"/>
              </w:rPr>
              <w:t>清洗用水：</w:t>
            </w:r>
            <w:r>
              <w:rPr>
                <w:rFonts w:hint="eastAsia"/>
                <w:color w:val="auto"/>
                <w:highlight w:val="none"/>
                <w:lang w:val="en-US" w:eastAsia="zh-CN"/>
              </w:rPr>
              <w:t>参照现有项目，根据</w:t>
            </w:r>
            <w:r>
              <w:rPr>
                <w:color w:val="auto"/>
                <w:highlight w:val="none"/>
              </w:rPr>
              <w:t>企业经验</w:t>
            </w:r>
            <w:r>
              <w:rPr>
                <w:rFonts w:hint="eastAsia"/>
                <w:color w:val="auto"/>
                <w:highlight w:val="none"/>
              </w:rPr>
              <w:t>，</w:t>
            </w:r>
            <w:r>
              <w:rPr>
                <w:rFonts w:hint="eastAsia"/>
                <w:color w:val="auto"/>
                <w:highlight w:val="none"/>
                <w:lang w:val="en-US" w:eastAsia="zh-CN"/>
              </w:rPr>
              <w:t>首</w:t>
            </w:r>
            <w:r>
              <w:rPr>
                <w:rFonts w:hint="eastAsia"/>
                <w:color w:val="auto"/>
                <w:highlight w:val="none"/>
              </w:rPr>
              <w:t>次清洗用水量约</w:t>
            </w:r>
            <w:r>
              <w:rPr>
                <w:rFonts w:hint="eastAsia"/>
                <w:color w:val="auto"/>
                <w:highlight w:val="none"/>
                <w:lang w:val="en-US" w:eastAsia="zh-CN"/>
              </w:rPr>
              <w:t>0.2</w:t>
            </w:r>
            <w:r>
              <w:rPr>
                <w:rFonts w:hint="eastAsia"/>
                <w:color w:val="auto"/>
                <w:highlight w:val="none"/>
              </w:rPr>
              <w:t>t/d，</w:t>
            </w:r>
            <w:r>
              <w:rPr>
                <w:color w:val="auto"/>
                <w:highlight w:val="none"/>
              </w:rPr>
              <w:t>年工作</w:t>
            </w:r>
            <w:r>
              <w:rPr>
                <w:rFonts w:hint="eastAsia"/>
                <w:color w:val="auto"/>
                <w:highlight w:val="none"/>
                <w:lang w:val="en-US" w:eastAsia="zh-CN"/>
              </w:rPr>
              <w:t>250</w:t>
            </w:r>
            <w:r>
              <w:rPr>
                <w:color w:val="auto"/>
                <w:highlight w:val="none"/>
              </w:rPr>
              <w:t>天，</w:t>
            </w:r>
            <w:r>
              <w:rPr>
                <w:rFonts w:hint="eastAsia"/>
                <w:color w:val="auto"/>
                <w:highlight w:val="none"/>
                <w:lang w:val="en-US" w:eastAsia="zh-CN"/>
              </w:rPr>
              <w:t>则首次清洗用水量为50t/a。</w:t>
            </w:r>
            <w:r>
              <w:rPr>
                <w:color w:val="auto"/>
                <w:highlight w:val="none"/>
              </w:rPr>
              <w:t>此部分废水基本无损耗，</w:t>
            </w:r>
            <w:r>
              <w:rPr>
                <w:rFonts w:hint="eastAsia"/>
                <w:color w:val="auto"/>
                <w:highlight w:val="none"/>
              </w:rPr>
              <w:t>由于</w:t>
            </w:r>
            <w:r>
              <w:rPr>
                <w:color w:val="auto"/>
                <w:highlight w:val="none"/>
              </w:rPr>
              <w:t>首次清洗废水中含有较多</w:t>
            </w:r>
            <w:r>
              <w:rPr>
                <w:rFonts w:hint="eastAsia"/>
                <w:color w:val="auto"/>
                <w:highlight w:val="none"/>
                <w:lang w:val="en-US" w:eastAsia="zh-CN"/>
              </w:rPr>
              <w:t>化学</w:t>
            </w:r>
            <w:r>
              <w:rPr>
                <w:color w:val="auto"/>
                <w:highlight w:val="none"/>
              </w:rPr>
              <w:t>残留</w:t>
            </w:r>
            <w:r>
              <w:rPr>
                <w:rFonts w:hint="eastAsia"/>
                <w:color w:val="auto"/>
                <w:highlight w:val="none"/>
                <w:lang w:val="en-US" w:eastAsia="zh-CN"/>
              </w:rPr>
              <w:t>物</w:t>
            </w:r>
            <w:r>
              <w:rPr>
                <w:color w:val="auto"/>
                <w:highlight w:val="none"/>
              </w:rPr>
              <w:t>，</w:t>
            </w:r>
            <w:r>
              <w:rPr>
                <w:rFonts w:hint="eastAsia"/>
                <w:color w:val="auto"/>
                <w:highlight w:val="none"/>
                <w:lang w:val="en-US" w:eastAsia="zh-CN"/>
              </w:rPr>
              <w:t>首次清洗产生的废水作为危险废物处置，</w:t>
            </w:r>
            <w:r>
              <w:rPr>
                <w:color w:val="auto"/>
                <w:highlight w:val="none"/>
              </w:rPr>
              <w:t>则废液产生量为</w:t>
            </w:r>
            <w:r>
              <w:rPr>
                <w:rFonts w:hint="eastAsia"/>
                <w:color w:val="auto"/>
                <w:highlight w:val="none"/>
                <w:lang w:val="en-US" w:eastAsia="zh-CN"/>
              </w:rPr>
              <w:t>50</w:t>
            </w:r>
            <w:r>
              <w:rPr>
                <w:color w:val="auto"/>
                <w:highlight w:val="none"/>
              </w:rPr>
              <w:t>t/a</w:t>
            </w:r>
            <w:r>
              <w:rPr>
                <w:rFonts w:hint="eastAsia"/>
                <w:color w:val="auto"/>
                <w:highlight w:val="none"/>
              </w:rPr>
              <w:t>。</w:t>
            </w:r>
          </w:p>
          <w:p w14:paraId="498C789C">
            <w:pPr>
              <w:pStyle w:val="171"/>
              <w:rPr>
                <w:color w:val="auto"/>
                <w:highlight w:val="none"/>
              </w:rPr>
            </w:pPr>
            <w:r>
              <w:rPr>
                <w:rFonts w:hint="eastAsia"/>
                <w:color w:val="auto"/>
                <w:highlight w:val="none"/>
              </w:rPr>
              <w:t>②</w:t>
            </w:r>
            <w:r>
              <w:rPr>
                <w:rFonts w:hint="eastAsia"/>
                <w:color w:val="auto"/>
                <w:highlight w:val="none"/>
                <w:lang w:val="en-US" w:eastAsia="zh-CN"/>
              </w:rPr>
              <w:t>后续</w:t>
            </w:r>
            <w:r>
              <w:rPr>
                <w:rFonts w:hint="eastAsia"/>
                <w:color w:val="auto"/>
                <w:highlight w:val="none"/>
                <w:lang w:eastAsia="zh-CN"/>
              </w:rPr>
              <w:t>清洗</w:t>
            </w:r>
            <w:r>
              <w:rPr>
                <w:color w:val="auto"/>
                <w:highlight w:val="none"/>
              </w:rPr>
              <w:t>用水</w:t>
            </w:r>
          </w:p>
          <w:p w14:paraId="315DA35C">
            <w:pPr>
              <w:pStyle w:val="171"/>
              <w:rPr>
                <w:rFonts w:hint="default"/>
                <w:color w:val="auto"/>
                <w:highlight w:val="none"/>
                <w:lang w:val="en-US"/>
              </w:rPr>
            </w:pPr>
            <w:r>
              <w:rPr>
                <w:rFonts w:hint="eastAsia"/>
                <w:color w:val="auto"/>
                <w:highlight w:val="none"/>
                <w:lang w:val="en-US" w:eastAsia="zh-CN"/>
              </w:rPr>
              <w:t>参照现有项目，根据</w:t>
            </w:r>
            <w:r>
              <w:rPr>
                <w:color w:val="auto"/>
                <w:highlight w:val="none"/>
              </w:rPr>
              <w:t>企业经验</w:t>
            </w:r>
            <w:r>
              <w:rPr>
                <w:rFonts w:hint="eastAsia"/>
                <w:color w:val="auto"/>
                <w:highlight w:val="none"/>
              </w:rPr>
              <w:t>，</w:t>
            </w:r>
            <w:r>
              <w:rPr>
                <w:rFonts w:hint="eastAsia"/>
                <w:color w:val="auto"/>
                <w:highlight w:val="none"/>
                <w:lang w:val="en-US" w:eastAsia="zh-CN"/>
              </w:rPr>
              <w:t>后续</w:t>
            </w:r>
            <w:r>
              <w:rPr>
                <w:rFonts w:hint="eastAsia"/>
                <w:color w:val="auto"/>
                <w:highlight w:val="none"/>
              </w:rPr>
              <w:t>清洗用水量约</w:t>
            </w:r>
            <w:r>
              <w:rPr>
                <w:rFonts w:hint="eastAsia"/>
                <w:color w:val="auto"/>
                <w:highlight w:val="none"/>
                <w:lang w:val="en-US" w:eastAsia="zh-CN"/>
              </w:rPr>
              <w:t>7</w:t>
            </w:r>
            <w:r>
              <w:rPr>
                <w:rFonts w:hint="eastAsia"/>
                <w:color w:val="auto"/>
                <w:highlight w:val="none"/>
              </w:rPr>
              <w:t>t/d，</w:t>
            </w:r>
            <w:r>
              <w:rPr>
                <w:color w:val="auto"/>
                <w:highlight w:val="none"/>
              </w:rPr>
              <w:t>年工作</w:t>
            </w:r>
            <w:r>
              <w:rPr>
                <w:rFonts w:hint="eastAsia"/>
                <w:color w:val="auto"/>
                <w:highlight w:val="none"/>
                <w:lang w:val="en-US" w:eastAsia="zh-CN"/>
              </w:rPr>
              <w:t>250</w:t>
            </w:r>
            <w:r>
              <w:rPr>
                <w:color w:val="auto"/>
                <w:highlight w:val="none"/>
              </w:rPr>
              <w:t>天，</w:t>
            </w:r>
            <w:r>
              <w:rPr>
                <w:rFonts w:hint="eastAsia"/>
                <w:color w:val="auto"/>
                <w:highlight w:val="none"/>
                <w:lang w:val="en-US" w:eastAsia="zh-CN"/>
              </w:rPr>
              <w:t>则后续清洗用水量为1750/a。</w:t>
            </w:r>
            <w:r>
              <w:rPr>
                <w:rFonts w:hint="eastAsia"/>
                <w:color w:val="auto"/>
                <w:sz w:val="24"/>
                <w:highlight w:val="none"/>
              </w:rPr>
              <w:t>废水产生系数按照0.</w:t>
            </w:r>
            <w:r>
              <w:rPr>
                <w:rFonts w:hint="eastAsia"/>
                <w:color w:val="auto"/>
                <w:sz w:val="24"/>
                <w:highlight w:val="none"/>
                <w:lang w:val="en-US" w:eastAsia="zh-CN"/>
              </w:rPr>
              <w:t>9</w:t>
            </w:r>
            <w:r>
              <w:rPr>
                <w:rFonts w:hint="eastAsia"/>
                <w:color w:val="auto"/>
                <w:sz w:val="24"/>
                <w:highlight w:val="none"/>
              </w:rPr>
              <w:t>计算，则本项目</w:t>
            </w:r>
            <w:r>
              <w:rPr>
                <w:rFonts w:hint="eastAsia"/>
                <w:color w:val="auto"/>
                <w:sz w:val="24"/>
                <w:highlight w:val="none"/>
                <w:lang w:val="en-US" w:eastAsia="zh-CN"/>
              </w:rPr>
              <w:t>后续清洗废水</w:t>
            </w:r>
            <w:r>
              <w:rPr>
                <w:rFonts w:hint="eastAsia"/>
                <w:color w:val="auto"/>
                <w:sz w:val="24"/>
                <w:highlight w:val="none"/>
              </w:rPr>
              <w:t>产生量为</w:t>
            </w:r>
            <w:r>
              <w:rPr>
                <w:rFonts w:hint="eastAsia"/>
                <w:color w:val="auto"/>
                <w:sz w:val="24"/>
                <w:highlight w:val="none"/>
                <w:lang w:val="en-US" w:eastAsia="zh-CN"/>
              </w:rPr>
              <w:t>1575</w:t>
            </w:r>
            <w:r>
              <w:rPr>
                <w:rFonts w:hint="eastAsia"/>
                <w:color w:val="auto"/>
                <w:sz w:val="24"/>
                <w:highlight w:val="none"/>
              </w:rPr>
              <w:t>t/a</w:t>
            </w:r>
            <w:r>
              <w:rPr>
                <w:color w:val="auto"/>
                <w:sz w:val="24"/>
                <w:highlight w:val="none"/>
              </w:rPr>
              <w:t>。</w:t>
            </w:r>
            <w:r>
              <w:rPr>
                <w:rFonts w:hint="eastAsia"/>
                <w:color w:val="auto"/>
                <w:highlight w:val="none"/>
                <w:lang w:val="en-US" w:eastAsia="zh-CN"/>
              </w:rPr>
              <w:t>后续清洗废水经1号楼新建污水处理站（TW003）处理后接管至</w:t>
            </w:r>
            <w:r>
              <w:rPr>
                <w:rFonts w:hint="eastAsia"/>
                <w:color w:val="auto"/>
                <w:sz w:val="24"/>
                <w:highlight w:val="none"/>
                <w:lang w:val="en-US" w:eastAsia="zh-CN"/>
              </w:rPr>
              <w:t>高新区污水处理厂处理。</w:t>
            </w:r>
          </w:p>
          <w:p w14:paraId="04F70769">
            <w:pPr>
              <w:pStyle w:val="171"/>
              <w:rPr>
                <w:rFonts w:hint="default" w:eastAsia="宋体"/>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地面清洁用水</w:t>
            </w:r>
          </w:p>
          <w:p w14:paraId="6C742A0F">
            <w:pPr>
              <w:pStyle w:val="171"/>
              <w:rPr>
                <w:rFonts w:hint="eastAsia"/>
                <w:color w:val="auto"/>
                <w:highlight w:val="none"/>
              </w:rPr>
            </w:pPr>
            <w:r>
              <w:rPr>
                <w:rFonts w:hint="eastAsia"/>
                <w:color w:val="auto"/>
                <w:sz w:val="24"/>
                <w:szCs w:val="24"/>
                <w:highlight w:val="none"/>
                <w:lang w:val="en-US" w:eastAsia="zh-CN"/>
              </w:rPr>
              <w:t>本项目利用建筑面积为46157.23m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，地面清洁用水量约0.5L/m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，每年进行清洁约50次，则地面清洁用水量约为1154t/a，废水产生系数按0.9计，则地面清洁废水产生量为1038.6t/a。</w:t>
            </w:r>
            <w:r>
              <w:rPr>
                <w:rFonts w:hint="eastAsia"/>
                <w:color w:val="auto"/>
                <w:highlight w:val="none"/>
                <w:lang w:val="en-US" w:eastAsia="zh-CN"/>
              </w:rPr>
              <w:t>地面清洁废水经1号楼新建污水处理站（TW003）处理后接管至</w:t>
            </w:r>
            <w:r>
              <w:rPr>
                <w:rFonts w:hint="eastAsia"/>
                <w:color w:val="auto"/>
                <w:sz w:val="24"/>
                <w:highlight w:val="none"/>
                <w:lang w:val="en-US" w:eastAsia="zh-CN"/>
              </w:rPr>
              <w:t>高新区污水处理厂处理。</w:t>
            </w:r>
          </w:p>
          <w:p w14:paraId="53C7CD96">
            <w:pPr>
              <w:pStyle w:val="171"/>
              <w:rPr>
                <w:color w:val="auto"/>
                <w:highlight w:val="none"/>
              </w:rPr>
            </w:pPr>
            <w:r>
              <w:rPr>
                <w:rFonts w:hint="eastAsia"/>
                <w:color w:val="auto"/>
                <w:highlight w:val="none"/>
                <w:lang w:val="en-US" w:eastAsia="zh-CN"/>
              </w:rPr>
              <w:t>（4）</w:t>
            </w:r>
            <w:r>
              <w:rPr>
                <w:rFonts w:hint="eastAsia"/>
                <w:color w:val="auto"/>
                <w:highlight w:val="none"/>
              </w:rPr>
              <w:t>试剂配制用水</w:t>
            </w:r>
          </w:p>
          <w:p w14:paraId="589105A2">
            <w:pPr>
              <w:pStyle w:val="171"/>
              <w:rPr>
                <w:rFonts w:hint="default" w:eastAsia="宋体"/>
                <w:color w:val="auto"/>
                <w:highlight w:val="none"/>
                <w:lang w:val="en-US" w:eastAsia="zh-CN"/>
              </w:rPr>
            </w:pPr>
            <w:r>
              <w:rPr>
                <w:rFonts w:hint="eastAsia"/>
                <w:color w:val="auto"/>
                <w:highlight w:val="none"/>
              </w:rPr>
              <w:t>本项目实验分析试剂使用纯水配制，</w:t>
            </w:r>
            <w:r>
              <w:rPr>
                <w:rFonts w:hint="eastAsia"/>
                <w:color w:val="auto"/>
                <w:highlight w:val="none"/>
                <w:lang w:val="en-US" w:eastAsia="zh-CN"/>
              </w:rPr>
              <w:t>参照现有项目，根据</w:t>
            </w:r>
            <w:r>
              <w:rPr>
                <w:color w:val="auto"/>
                <w:highlight w:val="none"/>
              </w:rPr>
              <w:t>企业经验</w:t>
            </w:r>
            <w:r>
              <w:rPr>
                <w:rFonts w:hint="eastAsia"/>
                <w:color w:val="auto"/>
                <w:highlight w:val="none"/>
              </w:rPr>
              <w:t>，用水量约</w:t>
            </w:r>
            <w:r>
              <w:rPr>
                <w:rFonts w:hint="eastAsia"/>
                <w:color w:val="auto"/>
                <w:highlight w:val="none"/>
                <w:lang w:val="en-US" w:eastAsia="zh-CN"/>
              </w:rPr>
              <w:t>0.2</w:t>
            </w:r>
            <w:r>
              <w:rPr>
                <w:rFonts w:hint="eastAsia"/>
                <w:color w:val="auto"/>
                <w:highlight w:val="none"/>
              </w:rPr>
              <w:t>t/d，</w:t>
            </w:r>
            <w:r>
              <w:rPr>
                <w:color w:val="auto"/>
                <w:highlight w:val="none"/>
              </w:rPr>
              <w:t>年工作</w:t>
            </w:r>
            <w:r>
              <w:rPr>
                <w:rFonts w:hint="eastAsia"/>
                <w:color w:val="auto"/>
                <w:highlight w:val="none"/>
                <w:lang w:val="en-US" w:eastAsia="zh-CN"/>
              </w:rPr>
              <w:t>250</w:t>
            </w:r>
            <w:r>
              <w:rPr>
                <w:color w:val="auto"/>
                <w:highlight w:val="none"/>
              </w:rPr>
              <w:t>天，</w:t>
            </w:r>
            <w:r>
              <w:rPr>
                <w:rFonts w:hint="eastAsia"/>
                <w:color w:val="auto"/>
                <w:highlight w:val="none"/>
                <w:lang w:val="en-US" w:eastAsia="zh-CN"/>
              </w:rPr>
              <w:t>则试剂配制用水量为50t/a。试剂配制用水全部作为危险废物处置，则废液产生量为50t/a。</w:t>
            </w:r>
          </w:p>
          <w:p w14:paraId="68F7288F">
            <w:pPr>
              <w:pStyle w:val="171"/>
              <w:rPr>
                <w:color w:val="auto"/>
                <w:highlight w:val="none"/>
              </w:rPr>
            </w:pPr>
            <w:r>
              <w:rPr>
                <w:rFonts w:hint="eastAsia"/>
                <w:color w:val="auto"/>
                <w:highlight w:val="none"/>
              </w:rPr>
              <w:t>（</w:t>
            </w:r>
            <w:r>
              <w:rPr>
                <w:rFonts w:hint="eastAsia"/>
                <w:color w:val="auto"/>
                <w:highlight w:val="none"/>
                <w:lang w:val="en-US" w:eastAsia="zh-CN"/>
              </w:rPr>
              <w:t>5</w:t>
            </w:r>
            <w:r>
              <w:rPr>
                <w:rFonts w:hint="eastAsia"/>
                <w:color w:val="auto"/>
                <w:highlight w:val="none"/>
              </w:rPr>
              <w:t>）实验设备用水</w:t>
            </w:r>
          </w:p>
          <w:p w14:paraId="19C6C336">
            <w:pPr>
              <w:pStyle w:val="171"/>
              <w:rPr>
                <w:rFonts w:hint="default"/>
                <w:bCs/>
                <w:color w:val="auto"/>
                <w:highlight w:val="none"/>
                <w:lang w:val="en-US" w:eastAsia="zh-CN"/>
              </w:rPr>
            </w:pPr>
            <w:r>
              <w:rPr>
                <w:bCs/>
                <w:color w:val="auto"/>
                <w:highlight w:val="none"/>
              </w:rPr>
              <w:t>本项目</w:t>
            </w:r>
            <w:r>
              <w:rPr>
                <w:rFonts w:hint="eastAsia"/>
                <w:bCs/>
                <w:color w:val="auto"/>
                <w:highlight w:val="none"/>
                <w:lang w:val="en-US" w:eastAsia="zh-CN"/>
              </w:rPr>
              <w:t>水浴锅</w:t>
            </w:r>
            <w:r>
              <w:rPr>
                <w:bCs/>
                <w:color w:val="auto"/>
                <w:highlight w:val="none"/>
              </w:rPr>
              <w:t>、灭菌</w:t>
            </w:r>
            <w:r>
              <w:rPr>
                <w:rFonts w:hint="eastAsia"/>
                <w:bCs/>
                <w:color w:val="auto"/>
                <w:highlight w:val="none"/>
              </w:rPr>
              <w:t>锅</w:t>
            </w:r>
            <w:r>
              <w:rPr>
                <w:bCs/>
                <w:color w:val="auto"/>
                <w:highlight w:val="none"/>
              </w:rPr>
              <w:t>等</w:t>
            </w:r>
            <w:r>
              <w:rPr>
                <w:rFonts w:hint="eastAsia"/>
                <w:bCs/>
                <w:color w:val="auto"/>
                <w:highlight w:val="none"/>
                <w:lang w:val="en-US" w:eastAsia="zh-CN"/>
              </w:rPr>
              <w:t>实验</w:t>
            </w:r>
            <w:r>
              <w:rPr>
                <w:bCs/>
                <w:color w:val="auto"/>
                <w:highlight w:val="none"/>
              </w:rPr>
              <w:t>设备使用过程中</w:t>
            </w:r>
            <w:r>
              <w:rPr>
                <w:rFonts w:hint="eastAsia"/>
                <w:bCs/>
                <w:color w:val="auto"/>
                <w:highlight w:val="none"/>
                <w:lang w:val="en-US" w:eastAsia="zh-CN"/>
              </w:rPr>
              <w:t>需要</w:t>
            </w:r>
            <w:r>
              <w:rPr>
                <w:bCs/>
                <w:color w:val="auto"/>
                <w:highlight w:val="none"/>
              </w:rPr>
              <w:t>添加纯水，</w:t>
            </w:r>
            <w:r>
              <w:rPr>
                <w:rFonts w:hint="eastAsia"/>
                <w:color w:val="auto"/>
                <w:highlight w:val="none"/>
                <w:lang w:val="en-US" w:eastAsia="zh-CN"/>
              </w:rPr>
              <w:t>参照现有项目，根据</w:t>
            </w:r>
            <w:r>
              <w:rPr>
                <w:color w:val="auto"/>
                <w:highlight w:val="none"/>
              </w:rPr>
              <w:t>企业经验</w:t>
            </w:r>
            <w:r>
              <w:rPr>
                <w:rFonts w:hint="eastAsia"/>
                <w:color w:val="auto"/>
                <w:highlight w:val="none"/>
              </w:rPr>
              <w:t>，</w:t>
            </w:r>
            <w:r>
              <w:rPr>
                <w:rFonts w:hint="eastAsia"/>
                <w:color w:val="auto"/>
                <w:highlight w:val="none"/>
                <w:lang w:val="en-US" w:eastAsia="zh-CN"/>
              </w:rPr>
              <w:t>实验设备用水量约0.1t/d，</w:t>
            </w:r>
            <w:r>
              <w:rPr>
                <w:color w:val="auto"/>
                <w:highlight w:val="none"/>
              </w:rPr>
              <w:t>年工作</w:t>
            </w:r>
            <w:r>
              <w:rPr>
                <w:rFonts w:hint="eastAsia"/>
                <w:color w:val="auto"/>
                <w:highlight w:val="none"/>
                <w:lang w:val="en-US" w:eastAsia="zh-CN"/>
              </w:rPr>
              <w:t>250</w:t>
            </w:r>
            <w:r>
              <w:rPr>
                <w:color w:val="auto"/>
                <w:highlight w:val="none"/>
              </w:rPr>
              <w:t>天，</w:t>
            </w:r>
            <w:r>
              <w:rPr>
                <w:rFonts w:hint="eastAsia"/>
                <w:color w:val="auto"/>
                <w:highlight w:val="none"/>
                <w:lang w:val="en-US" w:eastAsia="zh-CN"/>
              </w:rPr>
              <w:t>则实验设备用水量为25t/a，</w:t>
            </w:r>
            <w:r>
              <w:rPr>
                <w:bCs/>
                <w:color w:val="auto"/>
                <w:highlight w:val="none"/>
              </w:rPr>
              <w:t>废水</w:t>
            </w:r>
            <w:r>
              <w:rPr>
                <w:rFonts w:hint="eastAsia"/>
                <w:bCs/>
                <w:color w:val="auto"/>
                <w:highlight w:val="none"/>
                <w:lang w:val="en-US" w:eastAsia="zh-CN"/>
              </w:rPr>
              <w:t>产生</w:t>
            </w:r>
            <w:r>
              <w:rPr>
                <w:bCs/>
                <w:color w:val="auto"/>
                <w:highlight w:val="none"/>
              </w:rPr>
              <w:t>系数</w:t>
            </w:r>
            <w:r>
              <w:rPr>
                <w:rFonts w:hint="eastAsia"/>
                <w:bCs/>
                <w:color w:val="auto"/>
                <w:highlight w:val="none"/>
                <w:lang w:val="en-US" w:eastAsia="zh-CN"/>
              </w:rPr>
              <w:t>按</w:t>
            </w:r>
            <w:r>
              <w:rPr>
                <w:bCs/>
                <w:color w:val="auto"/>
                <w:highlight w:val="none"/>
              </w:rPr>
              <w:t>0.9计，</w:t>
            </w:r>
            <w:r>
              <w:rPr>
                <w:rFonts w:hint="eastAsia"/>
                <w:bCs/>
                <w:color w:val="auto"/>
                <w:highlight w:val="none"/>
                <w:lang w:val="en-US" w:eastAsia="zh-CN"/>
              </w:rPr>
              <w:t>则实验设备废水产生量为22.5t/a。</w:t>
            </w:r>
            <w:r>
              <w:rPr>
                <w:rFonts w:hint="eastAsia"/>
                <w:color w:val="auto"/>
                <w:highlight w:val="none"/>
                <w:lang w:val="en-US" w:eastAsia="zh-CN"/>
              </w:rPr>
              <w:t>实验设备废水经1号楼新建污水处理站（TW003）处理后接管至</w:t>
            </w:r>
            <w:r>
              <w:rPr>
                <w:rFonts w:hint="eastAsia"/>
                <w:color w:val="auto"/>
                <w:sz w:val="24"/>
                <w:highlight w:val="none"/>
                <w:lang w:val="en-US" w:eastAsia="zh-CN"/>
              </w:rPr>
              <w:t>高新区污水处理厂处理。</w:t>
            </w:r>
          </w:p>
          <w:p w14:paraId="28E2AA28">
            <w:pPr>
              <w:pStyle w:val="171"/>
              <w:rPr>
                <w:color w:val="auto"/>
                <w:highlight w:val="none"/>
              </w:rPr>
            </w:pPr>
            <w:r>
              <w:rPr>
                <w:rFonts w:hint="eastAsia"/>
                <w:color w:val="auto"/>
                <w:highlight w:val="none"/>
              </w:rPr>
              <w:t>（</w:t>
            </w:r>
            <w:r>
              <w:rPr>
                <w:rFonts w:hint="eastAsia"/>
                <w:color w:val="auto"/>
                <w:highlight w:val="none"/>
                <w:lang w:val="en-US" w:eastAsia="zh-CN"/>
              </w:rPr>
              <w:t>6</w:t>
            </w:r>
            <w:r>
              <w:rPr>
                <w:rFonts w:hint="eastAsia"/>
                <w:color w:val="auto"/>
                <w:highlight w:val="none"/>
              </w:rPr>
              <w:t>）纯水制备用水</w:t>
            </w:r>
          </w:p>
          <w:p w14:paraId="116C9DD6">
            <w:pPr>
              <w:pStyle w:val="171"/>
              <w:rPr>
                <w:rFonts w:hint="default" w:eastAsia="宋体"/>
                <w:color w:val="auto"/>
                <w:highlight w:val="none"/>
                <w:lang w:val="en-US" w:eastAsia="zh-CN"/>
              </w:rPr>
            </w:pPr>
            <w:r>
              <w:rPr>
                <w:rFonts w:hint="eastAsia"/>
                <w:color w:val="auto"/>
                <w:highlight w:val="none"/>
              </w:rPr>
              <w:t>本项目纯水由自备的纯水机制备，纯水制备采用反渗透和离子交换相结合的工作方式，制备工艺为：自来水-pp过滤器-活性炭过滤器-RO反渗透-出水，纯水制备率为50%。</w:t>
            </w:r>
            <w:r>
              <w:rPr>
                <w:rFonts w:hint="eastAsia"/>
                <w:color w:val="auto"/>
                <w:highlight w:val="none"/>
                <w:lang w:val="en-US" w:eastAsia="zh-CN"/>
              </w:rPr>
              <w:t>试剂配制、实验设备用水使用纯水，纯水年用量为75t/a，则制备纯水使用自来水150t/a，产生浓水75t/a。纯水制备产生浓水经1号楼新建污水处理站（TW003）处理后接管至</w:t>
            </w:r>
            <w:r>
              <w:rPr>
                <w:rFonts w:hint="eastAsia"/>
                <w:color w:val="auto"/>
                <w:sz w:val="24"/>
                <w:highlight w:val="none"/>
                <w:lang w:val="en-US" w:eastAsia="zh-CN"/>
              </w:rPr>
              <w:t>高新区污水处理厂处理。</w:t>
            </w:r>
          </w:p>
          <w:p w14:paraId="2296023F">
            <w:pPr>
              <w:pStyle w:val="171"/>
              <w:rPr>
                <w:color w:val="auto"/>
                <w:highlight w:val="none"/>
              </w:rPr>
            </w:pPr>
            <w:r>
              <w:rPr>
                <w:rFonts w:hint="eastAsia"/>
                <w:color w:val="auto"/>
                <w:highlight w:val="none"/>
              </w:rPr>
              <w:t>（</w:t>
            </w:r>
            <w:r>
              <w:rPr>
                <w:rFonts w:hint="eastAsia"/>
                <w:color w:val="auto"/>
                <w:highlight w:val="none"/>
                <w:lang w:val="en-US" w:eastAsia="zh-CN"/>
              </w:rPr>
              <w:t>7</w:t>
            </w:r>
            <w:r>
              <w:rPr>
                <w:rFonts w:hint="eastAsia"/>
                <w:color w:val="auto"/>
                <w:highlight w:val="none"/>
              </w:rPr>
              <w:t>）喷淋塔用水</w:t>
            </w:r>
          </w:p>
          <w:p w14:paraId="70C18E39">
            <w:pPr>
              <w:pStyle w:val="171"/>
              <w:rPr>
                <w:rFonts w:hint="default" w:ascii="Times New Roman" w:hAnsi="Times New Roman" w:eastAsia="宋体" w:cs="Times New Roman"/>
                <w:color w:val="auto"/>
                <w:kern w:val="2"/>
                <w:sz w:val="24"/>
                <w:szCs w:val="24"/>
                <w:lang w:val="en-US" w:eastAsia="zh-CN" w:bidi="ar-SA"/>
              </w:rPr>
            </w:pPr>
            <w:r>
              <w:rPr>
                <w:rFonts w:hint="eastAsia"/>
                <w:color w:val="auto"/>
                <w:highlight w:val="none"/>
              </w:rPr>
              <w:t>本项目</w:t>
            </w:r>
            <w:r>
              <w:rPr>
                <w:rFonts w:hint="eastAsia"/>
                <w:color w:val="auto"/>
                <w:highlight w:val="none"/>
                <w:lang w:val="en-US" w:eastAsia="zh-CN"/>
              </w:rPr>
              <w:t>污水站废气经过</w:t>
            </w:r>
            <w:r>
              <w:rPr>
                <w:rFonts w:hint="eastAsia" w:cs="Times New Roman"/>
                <w:color w:val="auto"/>
                <w:highlight w:val="none"/>
              </w:rPr>
              <w:t>“水喷淋+除雾+活性炭吸附”</w:t>
            </w:r>
            <w:r>
              <w:rPr>
                <w:rFonts w:hint="eastAsia" w:cs="Times New Roman"/>
                <w:color w:val="auto"/>
                <w:highlight w:val="none"/>
                <w:lang w:val="en-US" w:eastAsia="zh-CN"/>
              </w:rPr>
              <w:t>处理，</w:t>
            </w:r>
            <w:r>
              <w:rPr>
                <w:rFonts w:hint="eastAsia" w:ascii="Times New Roman" w:hAnsi="Times New Roman" w:eastAsia="宋体" w:cs="Times New Roman"/>
                <w:color w:val="auto"/>
                <w:kern w:val="2"/>
                <w:sz w:val="24"/>
                <w:szCs w:val="24"/>
                <w:lang w:val="en-US" w:eastAsia="zh-CN" w:bidi="ar-SA"/>
              </w:rPr>
              <w:t>喷淋塔的水循环使用，喷淋塔风量为2000m</w:t>
            </w:r>
            <w:r>
              <w:rPr>
                <w:rFonts w:hint="eastAsia"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/h，液气比为2.0L/m</w:t>
            </w:r>
            <w:r>
              <w:rPr>
                <w:rFonts w:hint="eastAsia"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，循环水量约为4t/h，喷淋塔每天工作24h，循环水量为96t/d，即35040t/a，循环过程蒸发损耗按2%计，损耗水用量约为701t/a。水箱容量为1m</w:t>
            </w:r>
            <w:r>
              <w:rPr>
                <w:rFonts w:hint="eastAsia"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，水箱中的水每10天更换一次，一年更换37次，则喷淋塔废水产生量为37t/a</w:t>
            </w:r>
            <w:r>
              <w:rPr>
                <w:rFonts w:hint="eastAsia" w:cs="Times New Roman"/>
                <w:color w:val="auto"/>
                <w:kern w:val="2"/>
                <w:sz w:val="24"/>
                <w:szCs w:val="24"/>
                <w:lang w:val="en-US" w:eastAsia="zh-CN" w:bidi="ar-SA"/>
              </w:rPr>
              <w:t>，喷淋塔用水量共738t/a,喷淋塔</w:t>
            </w:r>
            <w:r>
              <w:rPr>
                <w:rFonts w:hint="eastAsia"/>
                <w:color w:val="auto"/>
                <w:highlight w:val="none"/>
                <w:lang w:val="en-US" w:eastAsia="zh-CN"/>
              </w:rPr>
              <w:t>废水经1号楼新建污水处理站（TW003）处理后接管至</w:t>
            </w:r>
            <w:r>
              <w:rPr>
                <w:rFonts w:hint="eastAsia"/>
                <w:color w:val="auto"/>
                <w:sz w:val="24"/>
                <w:highlight w:val="none"/>
                <w:lang w:val="en-US" w:eastAsia="zh-CN"/>
              </w:rPr>
              <w:t>高新区污水处理厂处理。</w:t>
            </w:r>
          </w:p>
          <w:p w14:paraId="60619C68">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color w:val="auto"/>
                <w:highlight w:val="none"/>
                <w:lang w:val="en-US" w:eastAsia="zh-CN"/>
              </w:rPr>
            </w:pPr>
          </w:p>
          <w:p w14:paraId="48248B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highlight w:val="none"/>
                <w:lang w:val="en-US" w:eastAsia="zh-CN"/>
              </w:rPr>
            </w:pPr>
            <w:r>
              <w:rPr>
                <w:rFonts w:hint="default"/>
                <w:b/>
                <w:bCs/>
                <w:color w:val="auto"/>
                <w:highlight w:val="none"/>
                <w:lang w:val="en-US" w:eastAsia="zh-CN"/>
              </w:rPr>
              <w:drawing>
                <wp:inline distT="0" distB="0" distL="114300" distR="114300">
                  <wp:extent cx="5039995" cy="3549650"/>
                  <wp:effectExtent l="0" t="0" r="8255" b="0"/>
                  <wp:docPr id="19" name="ECB019B1-382A-4266-B25C-5B523AA43C14-1" descr="C:/Users/PC/AppData/Local/Temp/wps.PPsQN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1" descr="C:/Users/PC/AppData/Local/Temp/wps.PPsQNDwps"/>
                          <pic:cNvPicPr>
                            <a:picLocks noChangeAspect="1"/>
                          </pic:cNvPicPr>
                        </pic:nvPicPr>
                        <pic:blipFill>
                          <a:blip r:embed="rId14"/>
                          <a:srcRect l="2374" t="4919" r="937" b="1293"/>
                          <a:stretch>
                            <a:fillRect/>
                          </a:stretch>
                        </pic:blipFill>
                        <pic:spPr>
                          <a:xfrm>
                            <a:off x="0" y="0"/>
                            <a:ext cx="5039995" cy="3549650"/>
                          </a:xfrm>
                          <a:prstGeom prst="rect">
                            <a:avLst/>
                          </a:prstGeom>
                        </pic:spPr>
                      </pic:pic>
                    </a:graphicData>
                  </a:graphic>
                </wp:inline>
              </w:drawing>
            </w:r>
          </w:p>
          <w:p w14:paraId="4DC9ADC4">
            <w:pPr>
              <w:pStyle w:val="20"/>
              <w:bidi w:val="0"/>
              <w:rPr>
                <w:rFonts w:hint="default"/>
                <w:lang w:val="en-US" w:eastAsia="zh-CN"/>
              </w:rPr>
            </w:pPr>
            <w:r>
              <w:rPr>
                <w:rFonts w:hint="eastAsia"/>
                <w:lang w:val="en-US" w:eastAsia="zh-CN"/>
              </w:rPr>
              <w:t>本项目水平衡图</w:t>
            </w:r>
          </w:p>
          <w:p w14:paraId="04DF0820">
            <w:pPr>
              <w:pStyle w:val="8"/>
              <w:spacing w:line="240" w:lineRule="auto"/>
              <w:ind w:left="0" w:leftChars="0" w:firstLine="0" w:firstLineChars="0"/>
              <w:rPr>
                <w:rFonts w:hint="default"/>
                <w:lang w:val="en-US" w:eastAsia="zh-CN"/>
              </w:rPr>
            </w:pPr>
            <w:r>
              <w:rPr>
                <w:rFonts w:hint="default"/>
                <w:lang w:val="en-US" w:eastAsia="zh-CN"/>
              </w:rPr>
              <w:drawing>
                <wp:inline distT="0" distB="0" distL="114300" distR="114300">
                  <wp:extent cx="5039995" cy="3227070"/>
                  <wp:effectExtent l="0" t="0" r="8255" b="11430"/>
                  <wp:docPr id="20" name="ECB019B1-382A-4266-B25C-5B523AA43C14-2" descr="C:/Users/PC/AppData/Local/Temp/wps.rjrgA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B019B1-382A-4266-B25C-5B523AA43C14-2" descr="C:/Users/PC/AppData/Local/Temp/wps.rjrgAlwps"/>
                          <pic:cNvPicPr>
                            <a:picLocks noChangeAspect="1"/>
                          </pic:cNvPicPr>
                        </pic:nvPicPr>
                        <pic:blipFill>
                          <a:blip r:embed="rId15"/>
                          <a:srcRect l="3068" t="5634" r="1746" b="3669"/>
                          <a:stretch>
                            <a:fillRect/>
                          </a:stretch>
                        </pic:blipFill>
                        <pic:spPr>
                          <a:xfrm>
                            <a:off x="0" y="0"/>
                            <a:ext cx="5039995" cy="3227070"/>
                          </a:xfrm>
                          <a:prstGeom prst="rect">
                            <a:avLst/>
                          </a:prstGeom>
                        </pic:spPr>
                      </pic:pic>
                    </a:graphicData>
                  </a:graphic>
                </wp:inline>
              </w:drawing>
            </w:r>
          </w:p>
          <w:p w14:paraId="180F85CC">
            <w:pPr>
              <w:pStyle w:val="20"/>
              <w:bidi w:val="0"/>
              <w:rPr>
                <w:rFonts w:hint="eastAsia"/>
                <w:lang w:val="en-US" w:eastAsia="zh-CN"/>
              </w:rPr>
            </w:pPr>
            <w:r>
              <w:rPr>
                <w:rFonts w:hint="eastAsia"/>
                <w:lang w:val="en-US" w:eastAsia="zh-CN"/>
              </w:rPr>
              <w:t>现有项目水平衡图（含在建项目）</w:t>
            </w:r>
          </w:p>
          <w:p w14:paraId="022288AD">
            <w:pPr>
              <w:pStyle w:val="8"/>
              <w:spacing w:line="240" w:lineRule="auto"/>
              <w:ind w:left="0" w:leftChars="0" w:firstLine="0" w:firstLineChars="0"/>
              <w:rPr>
                <w:rFonts w:hint="eastAsia"/>
                <w:lang w:val="en-US" w:eastAsia="zh-CN"/>
              </w:rPr>
            </w:pPr>
            <w:r>
              <w:rPr>
                <w:rFonts w:hint="eastAsia"/>
                <w:lang w:val="en-US" w:eastAsia="zh-CN"/>
              </w:rPr>
              <w:drawing>
                <wp:inline distT="0" distB="0" distL="114300" distR="114300">
                  <wp:extent cx="5039995" cy="3144520"/>
                  <wp:effectExtent l="0" t="0" r="8255" b="17780"/>
                  <wp:docPr id="21"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3" descr="wps"/>
                          <pic:cNvPicPr>
                            <a:picLocks noChangeAspect="1"/>
                          </pic:cNvPicPr>
                        </pic:nvPicPr>
                        <pic:blipFill>
                          <a:blip r:embed="rId16"/>
                          <a:srcRect l="2419" t="4196" r="1719" b="2387"/>
                          <a:stretch>
                            <a:fillRect/>
                          </a:stretch>
                        </pic:blipFill>
                        <pic:spPr>
                          <a:xfrm>
                            <a:off x="0" y="0"/>
                            <a:ext cx="5039995" cy="3144520"/>
                          </a:xfrm>
                          <a:prstGeom prst="rect">
                            <a:avLst/>
                          </a:prstGeom>
                        </pic:spPr>
                      </pic:pic>
                    </a:graphicData>
                  </a:graphic>
                </wp:inline>
              </w:drawing>
            </w:r>
          </w:p>
          <w:p w14:paraId="49D7ECD9">
            <w:pPr>
              <w:pStyle w:val="20"/>
              <w:bidi w:val="0"/>
              <w:rPr>
                <w:rFonts w:hint="eastAsia"/>
                <w:lang w:val="en-US" w:eastAsia="zh-CN"/>
              </w:rPr>
            </w:pPr>
            <w:r>
              <w:rPr>
                <w:rFonts w:hint="eastAsia"/>
                <w:lang w:val="en-US" w:eastAsia="zh-CN"/>
              </w:rPr>
              <w:t>“以新带老”后现有项目水平衡图（含在建项目）</w:t>
            </w:r>
          </w:p>
          <w:p w14:paraId="59A2C532">
            <w:pPr>
              <w:spacing w:line="240" w:lineRule="auto"/>
              <w:rPr>
                <w:rFonts w:hint="eastAsia"/>
                <w:lang w:val="en-US" w:eastAsia="zh-CN"/>
              </w:rPr>
            </w:pPr>
            <w:r>
              <w:rPr>
                <w:rFonts w:hint="eastAsia"/>
                <w:lang w:val="en-US" w:eastAsia="zh-CN"/>
              </w:rPr>
              <w:drawing>
                <wp:inline distT="0" distB="0" distL="114300" distR="114300">
                  <wp:extent cx="5039995" cy="5930265"/>
                  <wp:effectExtent l="0" t="0" r="8255" b="13335"/>
                  <wp:docPr id="22" name="ECB019B1-382A-4266-B25C-5B523AA43C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B019B1-382A-4266-B25C-5B523AA43C14-4" descr="wps"/>
                          <pic:cNvPicPr>
                            <a:picLocks noChangeAspect="1"/>
                          </pic:cNvPicPr>
                        </pic:nvPicPr>
                        <pic:blipFill>
                          <a:blip r:embed="rId17"/>
                          <a:srcRect l="2079" t="3110" r="2054" b="1393"/>
                          <a:stretch>
                            <a:fillRect/>
                          </a:stretch>
                        </pic:blipFill>
                        <pic:spPr>
                          <a:xfrm>
                            <a:off x="0" y="0"/>
                            <a:ext cx="5039995" cy="5930265"/>
                          </a:xfrm>
                          <a:prstGeom prst="rect">
                            <a:avLst/>
                          </a:prstGeom>
                        </pic:spPr>
                      </pic:pic>
                    </a:graphicData>
                  </a:graphic>
                </wp:inline>
              </w:drawing>
            </w:r>
          </w:p>
          <w:p w14:paraId="53DA3A90">
            <w:pPr>
              <w:pStyle w:val="20"/>
              <w:bidi w:val="0"/>
              <w:rPr>
                <w:rFonts w:hint="eastAsia"/>
                <w:lang w:val="en-US" w:eastAsia="zh-CN"/>
              </w:rPr>
            </w:pPr>
            <w:r>
              <w:rPr>
                <w:rFonts w:hint="eastAsia"/>
                <w:lang w:val="en-US" w:eastAsia="zh-CN"/>
              </w:rPr>
              <w:t>本项目建成后全厂水平衡图</w:t>
            </w:r>
          </w:p>
        </w:tc>
      </w:tr>
      <w:tr w14:paraId="38C3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0" w:hRule="atLeast"/>
        </w:trPr>
        <w:tc>
          <w:tcPr>
            <w:tcW w:w="292" w:type="pct"/>
            <w:vAlign w:val="center"/>
          </w:tcPr>
          <w:p w14:paraId="3D0D0AB0">
            <w:pPr>
              <w:pStyle w:val="27"/>
              <w:adjustRightInd w:val="0"/>
              <w:snapToGrid w:val="0"/>
              <w:spacing w:before="0" w:beforeAutospacing="0" w:after="0" w:afterAutospacing="0" w:line="240" w:lineRule="auto"/>
              <w:jc w:val="both"/>
              <w:rPr>
                <w:rFonts w:ascii="Times New Roman" w:hAnsi="Times New Roman"/>
                <w:color w:val="auto"/>
                <w:sz w:val="21"/>
                <w:szCs w:val="21"/>
                <w:highlight w:val="none"/>
              </w:rPr>
            </w:pPr>
            <w:r>
              <w:rPr>
                <w:rFonts w:ascii="Times New Roman" w:hAnsi="Times New Roman"/>
                <w:b/>
                <w:bCs/>
                <w:color w:val="auto"/>
                <w:szCs w:val="24"/>
                <w:highlight w:val="none"/>
              </w:rPr>
              <w:t>工艺流程和产排污环节</w:t>
            </w:r>
          </w:p>
        </w:tc>
        <w:tc>
          <w:tcPr>
            <w:tcW w:w="4707" w:type="pct"/>
          </w:tcPr>
          <w:p w14:paraId="5D4A1B82">
            <w:pPr>
              <w:keepNext w:val="0"/>
              <w:keepLines w:val="0"/>
              <w:widowControl w:val="0"/>
              <w:kinsoku/>
              <w:wordWrap/>
              <w:overflowPunct/>
              <w:topLinePunct w:val="0"/>
              <w:autoSpaceDE w:val="0"/>
              <w:autoSpaceDN w:val="0"/>
              <w:bidi w:val="0"/>
              <w:adjustRightInd w:val="0"/>
              <w:snapToGrid/>
              <w:spacing w:line="460" w:lineRule="exact"/>
              <w:ind w:firstLine="482" w:firstLineChars="200"/>
              <w:jc w:val="left"/>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施工期工艺流程</w:t>
            </w:r>
            <w:r>
              <w:rPr>
                <w:rFonts w:hint="eastAsia" w:ascii="Times New Roman" w:hAnsi="Times New Roman" w:eastAsia="宋体" w:cs="Times New Roman"/>
                <w:b/>
                <w:bCs/>
                <w:color w:val="auto"/>
                <w:sz w:val="24"/>
                <w:highlight w:val="none"/>
                <w:lang w:eastAsia="zh-CN"/>
              </w:rPr>
              <w:t>和产排污环节</w:t>
            </w:r>
          </w:p>
          <w:p w14:paraId="62570439">
            <w:pPr>
              <w:keepNext w:val="0"/>
              <w:keepLines w:val="0"/>
              <w:widowControl w:val="0"/>
              <w:kinsoku/>
              <w:wordWrap/>
              <w:overflowPunct/>
              <w:topLinePunct w:val="0"/>
              <w:bidi w:val="0"/>
              <w:snapToGrid/>
              <w:spacing w:line="460" w:lineRule="exact"/>
              <w:ind w:firstLine="480" w:firstLineChars="200"/>
              <w:textAlignment w:val="auto"/>
              <w:rPr>
                <w:b w:val="0"/>
                <w:bCs/>
                <w:color w:val="auto"/>
                <w:sz w:val="24"/>
                <w:highlight w:val="none"/>
              </w:rPr>
            </w:pPr>
            <w:r>
              <w:rPr>
                <w:rFonts w:hint="eastAsia"/>
                <w:b w:val="0"/>
                <w:bCs/>
                <w:color w:val="auto"/>
                <w:sz w:val="24"/>
                <w:highlight w:val="none"/>
                <w:lang w:val="en-US" w:eastAsia="zh-CN"/>
              </w:rPr>
              <w:t>本项目拟使用的1号楼处于建设中，其</w:t>
            </w:r>
            <w:r>
              <w:rPr>
                <w:rFonts w:hint="eastAsia" w:ascii="Times New Roman" w:hAnsi="Times New Roman" w:eastAsia="宋体"/>
                <w:color w:val="auto"/>
                <w:highlight w:val="none"/>
                <w:lang w:val="en-US" w:eastAsia="zh-CN"/>
              </w:rPr>
              <w:t>施工期</w:t>
            </w:r>
            <w:r>
              <w:rPr>
                <w:rFonts w:hint="eastAsia"/>
                <w:color w:val="auto"/>
                <w:highlight w:val="none"/>
                <w:lang w:val="en-US" w:eastAsia="zh-CN"/>
              </w:rPr>
              <w:t>环境</w:t>
            </w:r>
            <w:r>
              <w:rPr>
                <w:rFonts w:hint="eastAsia"/>
                <w:b w:val="0"/>
                <w:bCs/>
                <w:color w:val="auto"/>
                <w:sz w:val="24"/>
                <w:highlight w:val="none"/>
                <w:lang w:val="en-US" w:eastAsia="zh-CN"/>
              </w:rPr>
              <w:t>影响已在</w:t>
            </w:r>
            <w:r>
              <w:rPr>
                <w:rFonts w:hint="eastAsia" w:ascii="Times New Roman" w:hAnsi="Times New Roman" w:eastAsia="宋体"/>
                <w:color w:val="auto"/>
                <w:highlight w:val="none"/>
                <w:lang w:val="en-US" w:eastAsia="zh-CN"/>
              </w:rPr>
              <w:t>《康缘医药科技园厂房建设项目环境影响报告表》中评价。</w:t>
            </w:r>
            <w:r>
              <w:rPr>
                <w:rFonts w:hint="eastAsia"/>
                <w:b w:val="0"/>
                <w:bCs/>
                <w:color w:val="auto"/>
                <w:sz w:val="24"/>
                <w:highlight w:val="none"/>
                <w:lang w:val="en-US" w:eastAsia="zh-CN"/>
              </w:rPr>
              <w:t>本项目拟利用建成后的1号楼进行改造</w:t>
            </w:r>
            <w:r>
              <w:rPr>
                <w:rFonts w:hint="eastAsia"/>
                <w:b w:val="0"/>
                <w:bCs/>
                <w:color w:val="auto"/>
                <w:sz w:val="24"/>
                <w:highlight w:val="none"/>
              </w:rPr>
              <w:t>，施工期仅涉及厂房改造、新设备的安装调试，施工简单，且时间短，施工期环境影响较小，因此本次评价不对施工期污染源强做进一步分析。</w:t>
            </w:r>
          </w:p>
          <w:p w14:paraId="631915CE">
            <w:pPr>
              <w:keepNext w:val="0"/>
              <w:keepLines w:val="0"/>
              <w:pageBreakBefore/>
              <w:widowControl w:val="0"/>
              <w:kinsoku/>
              <w:wordWrap/>
              <w:overflowPunct/>
              <w:topLinePunct w:val="0"/>
              <w:autoSpaceDE/>
              <w:autoSpaceDN/>
              <w:bidi w:val="0"/>
              <w:adjustRightInd/>
              <w:snapToGrid/>
              <w:spacing w:line="460" w:lineRule="exact"/>
              <w:ind w:firstLine="482" w:firstLineChars="200"/>
              <w:textAlignment w:val="auto"/>
              <w:rPr>
                <w:b/>
                <w:color w:val="auto"/>
                <w:sz w:val="24"/>
                <w:highlight w:val="none"/>
              </w:rPr>
            </w:pPr>
            <w:r>
              <w:rPr>
                <w:rFonts w:hint="eastAsia" w:ascii="Times New Roman" w:hAnsi="Times New Roman" w:eastAsia="宋体" w:cs="Times New Roman"/>
                <w:b/>
                <w:bCs/>
                <w:color w:val="auto"/>
                <w:kern w:val="2"/>
                <w:sz w:val="24"/>
                <w:szCs w:val="24"/>
                <w:highlight w:val="none"/>
                <w:lang w:val="en-US" w:eastAsia="zh-CN" w:bidi="ar-SA"/>
              </w:rPr>
              <w:t>2、营运期</w:t>
            </w:r>
            <w:r>
              <w:rPr>
                <w:rFonts w:ascii="Times New Roman" w:hAnsi="Times New Roman" w:eastAsia="宋体" w:cs="Times New Roman"/>
                <w:b/>
                <w:bCs/>
                <w:color w:val="auto"/>
                <w:kern w:val="2"/>
                <w:sz w:val="24"/>
                <w:szCs w:val="24"/>
                <w:highlight w:val="none"/>
                <w:lang w:val="en-US" w:eastAsia="zh-CN" w:bidi="ar-SA"/>
              </w:rPr>
              <w:t>工艺流程</w:t>
            </w:r>
            <w:r>
              <w:rPr>
                <w:rFonts w:hint="eastAsia" w:ascii="Times New Roman" w:hAnsi="Times New Roman" w:eastAsia="宋体" w:cs="Times New Roman"/>
                <w:b/>
                <w:bCs/>
                <w:color w:val="auto"/>
                <w:kern w:val="2"/>
                <w:sz w:val="24"/>
                <w:szCs w:val="24"/>
                <w:highlight w:val="none"/>
                <w:lang w:val="en-US" w:eastAsia="zh-CN" w:bidi="ar-SA"/>
              </w:rPr>
              <w:t>和产排污环节</w:t>
            </w:r>
          </w:p>
          <w:p w14:paraId="56954C3C">
            <w:pPr>
              <w:bidi w:val="0"/>
              <w:ind w:firstLine="480" w:firstLineChars="200"/>
              <w:rPr>
                <w:rFonts w:hint="default"/>
                <w:lang w:val="en-US" w:eastAsia="zh-CN"/>
              </w:rPr>
            </w:pPr>
            <w:r>
              <w:rPr>
                <w:rFonts w:hint="eastAsia"/>
                <w:lang w:val="en-US" w:eastAsia="zh-CN"/>
              </w:rPr>
              <w:t>1号楼主要研发工艺分为8种，各类研发方向研发工艺分类见下表。</w:t>
            </w:r>
          </w:p>
          <w:p w14:paraId="73F5E591">
            <w:pPr>
              <w:pStyle w:val="44"/>
              <w:bidi w:val="0"/>
              <w:rPr>
                <w:rFonts w:hint="eastAsia"/>
                <w:lang w:eastAsia="zh-CN"/>
              </w:rPr>
            </w:pPr>
            <w:r>
              <w:rPr>
                <w:rFonts w:hint="eastAsia"/>
                <w:lang w:val="en-US" w:eastAsia="zh-CN"/>
              </w:rPr>
              <w:t>研发工艺种类一览表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42"/>
              <w:gridCol w:w="3762"/>
            </w:tblGrid>
            <w:tr w14:paraId="3746BA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2589" w:type="pct"/>
                  <w:tcBorders>
                    <w:tl2br w:val="nil"/>
                    <w:tr2bl w:val="nil"/>
                  </w:tcBorders>
                  <w:vAlign w:val="center"/>
                </w:tcPr>
                <w:p w14:paraId="1519F181">
                  <w:pPr>
                    <w:pStyle w:val="41"/>
                    <w:bidi w:val="0"/>
                    <w:jc w:val="center"/>
                    <w:rPr>
                      <w:rFonts w:hint="default"/>
                      <w:b/>
                      <w:bCs/>
                      <w:lang w:val="en-US" w:eastAsia="zh-CN"/>
                    </w:rPr>
                  </w:pPr>
                  <w:r>
                    <w:rPr>
                      <w:rFonts w:hint="eastAsia"/>
                      <w:b/>
                      <w:bCs/>
                      <w:lang w:val="en-US" w:eastAsia="zh-CN"/>
                    </w:rPr>
                    <w:t>研发方向</w:t>
                  </w:r>
                </w:p>
              </w:tc>
              <w:tc>
                <w:tcPr>
                  <w:tcW w:w="2410" w:type="pct"/>
                  <w:tcBorders>
                    <w:tl2br w:val="nil"/>
                    <w:tr2bl w:val="nil"/>
                  </w:tcBorders>
                  <w:vAlign w:val="center"/>
                </w:tcPr>
                <w:p w14:paraId="3539A283">
                  <w:pPr>
                    <w:pStyle w:val="41"/>
                    <w:bidi w:val="0"/>
                    <w:jc w:val="center"/>
                    <w:rPr>
                      <w:rFonts w:hint="default"/>
                      <w:b/>
                      <w:bCs/>
                      <w:lang w:val="en-US" w:eastAsia="zh-CN"/>
                    </w:rPr>
                  </w:pPr>
                  <w:r>
                    <w:rPr>
                      <w:rFonts w:hint="eastAsia"/>
                      <w:b/>
                      <w:bCs/>
                      <w:lang w:val="en-US" w:eastAsia="zh-CN"/>
                    </w:rPr>
                    <w:t>研发工艺种类</w:t>
                  </w:r>
                </w:p>
              </w:tc>
            </w:tr>
            <w:tr w14:paraId="161921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89" w:type="pct"/>
                  <w:tcBorders>
                    <w:tl2br w:val="nil"/>
                    <w:tr2bl w:val="nil"/>
                  </w:tcBorders>
                  <w:shd w:val="clear" w:color="auto" w:fill="auto"/>
                  <w:vAlign w:val="center"/>
                </w:tcPr>
                <w:p w14:paraId="45E9ABDB">
                  <w:pPr>
                    <w:pStyle w:val="41"/>
                    <w:bidi w:val="0"/>
                    <w:jc w:val="center"/>
                    <w:rPr>
                      <w:rFonts w:hint="eastAsia"/>
                      <w:lang w:val="en-US" w:eastAsia="zh-CN"/>
                    </w:rPr>
                  </w:pPr>
                  <w:r>
                    <w:rPr>
                      <w:rFonts w:hint="eastAsia"/>
                      <w:lang w:val="zh-CN"/>
                    </w:rPr>
                    <w:t>中药活性筛选</w:t>
                  </w:r>
                  <w:r>
                    <w:rPr>
                      <w:rFonts w:hint="eastAsia"/>
                      <w:lang w:val="en-US" w:eastAsia="zh-CN"/>
                    </w:rPr>
                    <w:t>与早期评价</w:t>
                  </w:r>
                </w:p>
              </w:tc>
              <w:tc>
                <w:tcPr>
                  <w:tcW w:w="2410" w:type="pct"/>
                  <w:vMerge w:val="restart"/>
                  <w:tcBorders>
                    <w:tl2br w:val="nil"/>
                    <w:tr2bl w:val="nil"/>
                  </w:tcBorders>
                  <w:vAlign w:val="center"/>
                </w:tcPr>
                <w:p w14:paraId="781CE9B1">
                  <w:pPr>
                    <w:pStyle w:val="41"/>
                    <w:bidi w:val="0"/>
                    <w:jc w:val="center"/>
                    <w:rPr>
                      <w:rFonts w:hint="eastAsia"/>
                      <w:lang w:eastAsia="zh-CN"/>
                    </w:rPr>
                  </w:pPr>
                  <w:r>
                    <w:rPr>
                      <w:rFonts w:hint="eastAsia"/>
                      <w:lang w:val="en-US" w:eastAsia="zh-CN"/>
                    </w:rPr>
                    <w:t>研发工艺流程（一）</w:t>
                  </w:r>
                </w:p>
              </w:tc>
            </w:tr>
            <w:tr w14:paraId="1590E9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89" w:type="pct"/>
                  <w:tcBorders>
                    <w:tl2br w:val="nil"/>
                    <w:tr2bl w:val="nil"/>
                  </w:tcBorders>
                  <w:shd w:val="clear" w:color="auto" w:fill="auto"/>
                  <w:vAlign w:val="center"/>
                </w:tcPr>
                <w:p w14:paraId="4E683131">
                  <w:pPr>
                    <w:pStyle w:val="41"/>
                    <w:bidi w:val="0"/>
                    <w:jc w:val="center"/>
                    <w:rPr>
                      <w:rFonts w:hint="eastAsia"/>
                      <w:lang w:val="en-US" w:eastAsia="zh-CN"/>
                    </w:rPr>
                  </w:pPr>
                  <w:r>
                    <w:rPr>
                      <w:rFonts w:hint="eastAsia"/>
                      <w:lang w:val="zh-CN"/>
                    </w:rPr>
                    <w:t>免疫组学</w:t>
                  </w:r>
                </w:p>
              </w:tc>
              <w:tc>
                <w:tcPr>
                  <w:tcW w:w="2410" w:type="pct"/>
                  <w:vMerge w:val="continue"/>
                  <w:tcBorders>
                    <w:tl2br w:val="nil"/>
                    <w:tr2bl w:val="nil"/>
                  </w:tcBorders>
                  <w:vAlign w:val="center"/>
                </w:tcPr>
                <w:p w14:paraId="1D9ECFE2">
                  <w:pPr>
                    <w:pStyle w:val="41"/>
                    <w:bidi w:val="0"/>
                    <w:jc w:val="center"/>
                    <w:rPr>
                      <w:rFonts w:hint="eastAsia"/>
                      <w:lang w:eastAsia="zh-CN"/>
                    </w:rPr>
                  </w:pPr>
                </w:p>
              </w:tc>
            </w:tr>
            <w:tr w14:paraId="36A91F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89" w:type="pct"/>
                  <w:tcBorders>
                    <w:tl2br w:val="nil"/>
                    <w:tr2bl w:val="nil"/>
                  </w:tcBorders>
                  <w:shd w:val="clear" w:color="auto" w:fill="auto"/>
                  <w:vAlign w:val="center"/>
                </w:tcPr>
                <w:p w14:paraId="34A35E42">
                  <w:pPr>
                    <w:pStyle w:val="41"/>
                    <w:bidi w:val="0"/>
                    <w:jc w:val="center"/>
                    <w:rPr>
                      <w:rFonts w:hint="eastAsia"/>
                      <w:lang w:val="en-US" w:eastAsia="zh-CN"/>
                    </w:rPr>
                  </w:pPr>
                  <w:r>
                    <w:rPr>
                      <w:rFonts w:hint="eastAsia"/>
                      <w:lang w:val="zh-CN"/>
                    </w:rPr>
                    <w:t>结构生物学</w:t>
                  </w:r>
                </w:p>
              </w:tc>
              <w:tc>
                <w:tcPr>
                  <w:tcW w:w="2410" w:type="pct"/>
                  <w:vMerge w:val="continue"/>
                  <w:tcBorders>
                    <w:tl2br w:val="nil"/>
                    <w:tr2bl w:val="nil"/>
                  </w:tcBorders>
                  <w:vAlign w:val="center"/>
                </w:tcPr>
                <w:p w14:paraId="32D87566">
                  <w:pPr>
                    <w:pStyle w:val="41"/>
                    <w:bidi w:val="0"/>
                    <w:jc w:val="center"/>
                    <w:rPr>
                      <w:rFonts w:hint="eastAsia"/>
                      <w:lang w:eastAsia="zh-CN"/>
                    </w:rPr>
                  </w:pPr>
                </w:p>
              </w:tc>
            </w:tr>
            <w:tr w14:paraId="2E4E96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89" w:type="pct"/>
                  <w:tcBorders>
                    <w:tl2br w:val="nil"/>
                    <w:tr2bl w:val="nil"/>
                  </w:tcBorders>
                  <w:shd w:val="clear" w:color="auto" w:fill="auto"/>
                  <w:vAlign w:val="center"/>
                </w:tcPr>
                <w:p w14:paraId="122BC264">
                  <w:pPr>
                    <w:pStyle w:val="41"/>
                    <w:bidi w:val="0"/>
                    <w:jc w:val="center"/>
                    <w:rPr>
                      <w:rFonts w:hint="eastAsia"/>
                      <w:lang w:val="en-US" w:eastAsia="zh-CN"/>
                    </w:rPr>
                  </w:pPr>
                  <w:r>
                    <w:rPr>
                      <w:rFonts w:hint="eastAsia"/>
                      <w:lang w:val="zh-CN"/>
                    </w:rPr>
                    <w:t>基因组学</w:t>
                  </w:r>
                </w:p>
              </w:tc>
              <w:tc>
                <w:tcPr>
                  <w:tcW w:w="2410" w:type="pct"/>
                  <w:vMerge w:val="continue"/>
                  <w:tcBorders>
                    <w:tl2br w:val="nil"/>
                    <w:tr2bl w:val="nil"/>
                  </w:tcBorders>
                  <w:vAlign w:val="center"/>
                </w:tcPr>
                <w:p w14:paraId="5C931E78">
                  <w:pPr>
                    <w:pStyle w:val="41"/>
                    <w:bidi w:val="0"/>
                    <w:jc w:val="center"/>
                    <w:rPr>
                      <w:rFonts w:hint="eastAsia"/>
                      <w:lang w:eastAsia="zh-CN"/>
                    </w:rPr>
                  </w:pPr>
                </w:p>
              </w:tc>
            </w:tr>
            <w:tr w14:paraId="265C07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89" w:type="pct"/>
                  <w:tcBorders>
                    <w:tl2br w:val="nil"/>
                    <w:tr2bl w:val="nil"/>
                  </w:tcBorders>
                  <w:shd w:val="clear" w:color="auto" w:fill="auto"/>
                  <w:vAlign w:val="center"/>
                </w:tcPr>
                <w:p w14:paraId="302FBEB0">
                  <w:pPr>
                    <w:pStyle w:val="41"/>
                    <w:bidi w:val="0"/>
                    <w:jc w:val="center"/>
                    <w:rPr>
                      <w:rFonts w:hint="eastAsia"/>
                      <w:lang w:val="en-US" w:eastAsia="zh-CN"/>
                    </w:rPr>
                  </w:pPr>
                  <w:r>
                    <w:rPr>
                      <w:rFonts w:hint="eastAsia"/>
                      <w:lang w:val="zh-CN"/>
                    </w:rPr>
                    <w:t>生物信息学</w:t>
                  </w:r>
                </w:p>
              </w:tc>
              <w:tc>
                <w:tcPr>
                  <w:tcW w:w="2410" w:type="pct"/>
                  <w:vMerge w:val="continue"/>
                  <w:tcBorders>
                    <w:tl2br w:val="nil"/>
                    <w:tr2bl w:val="nil"/>
                  </w:tcBorders>
                  <w:vAlign w:val="center"/>
                </w:tcPr>
                <w:p w14:paraId="7A51FC02">
                  <w:pPr>
                    <w:pStyle w:val="41"/>
                    <w:bidi w:val="0"/>
                    <w:jc w:val="center"/>
                    <w:rPr>
                      <w:rFonts w:hint="eastAsia"/>
                      <w:lang w:eastAsia="zh-CN"/>
                    </w:rPr>
                  </w:pPr>
                </w:p>
              </w:tc>
            </w:tr>
            <w:tr w14:paraId="34E68A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89" w:type="pct"/>
                  <w:tcBorders>
                    <w:tl2br w:val="nil"/>
                    <w:tr2bl w:val="nil"/>
                  </w:tcBorders>
                  <w:shd w:val="clear" w:color="auto" w:fill="auto"/>
                  <w:vAlign w:val="center"/>
                </w:tcPr>
                <w:p w14:paraId="7AB82DE8">
                  <w:pPr>
                    <w:pStyle w:val="41"/>
                    <w:bidi w:val="0"/>
                    <w:jc w:val="center"/>
                    <w:rPr>
                      <w:rFonts w:hint="eastAsia"/>
                      <w:lang w:val="zh-CN" w:eastAsia="zh-CN"/>
                    </w:rPr>
                  </w:pPr>
                  <w:r>
                    <w:rPr>
                      <w:rFonts w:hint="eastAsia"/>
                      <w:lang w:val="zh-CN"/>
                    </w:rPr>
                    <w:t>代谢组学</w:t>
                  </w:r>
                </w:p>
              </w:tc>
              <w:tc>
                <w:tcPr>
                  <w:tcW w:w="2410" w:type="pct"/>
                  <w:vMerge w:val="restart"/>
                  <w:tcBorders>
                    <w:tl2br w:val="nil"/>
                    <w:tr2bl w:val="nil"/>
                  </w:tcBorders>
                  <w:vAlign w:val="center"/>
                </w:tcPr>
                <w:p w14:paraId="00E67447">
                  <w:pPr>
                    <w:pStyle w:val="41"/>
                    <w:bidi w:val="0"/>
                    <w:jc w:val="center"/>
                    <w:rPr>
                      <w:rFonts w:hint="eastAsia"/>
                      <w:lang w:eastAsia="zh-CN"/>
                    </w:rPr>
                  </w:pPr>
                  <w:r>
                    <w:rPr>
                      <w:rFonts w:hint="eastAsia"/>
                      <w:lang w:val="en-US" w:eastAsia="zh-CN"/>
                    </w:rPr>
                    <w:t>研发工艺流程（二）</w:t>
                  </w:r>
                </w:p>
              </w:tc>
            </w:tr>
            <w:tr w14:paraId="2EC5A9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89" w:type="pct"/>
                  <w:tcBorders>
                    <w:tl2br w:val="nil"/>
                    <w:tr2bl w:val="nil"/>
                  </w:tcBorders>
                  <w:shd w:val="clear" w:color="auto" w:fill="auto"/>
                  <w:vAlign w:val="center"/>
                </w:tcPr>
                <w:p w14:paraId="5BAF5D83">
                  <w:pPr>
                    <w:pStyle w:val="41"/>
                    <w:bidi w:val="0"/>
                    <w:jc w:val="center"/>
                    <w:rPr>
                      <w:rFonts w:hint="eastAsia"/>
                      <w:lang w:val="zh-CN" w:eastAsia="zh-CN"/>
                    </w:rPr>
                  </w:pPr>
                  <w:r>
                    <w:rPr>
                      <w:rFonts w:hint="eastAsia"/>
                      <w:lang w:val="zh-CN"/>
                    </w:rPr>
                    <w:t>肠道微生物组学</w:t>
                  </w:r>
                </w:p>
              </w:tc>
              <w:tc>
                <w:tcPr>
                  <w:tcW w:w="2410" w:type="pct"/>
                  <w:vMerge w:val="continue"/>
                  <w:tcBorders>
                    <w:tl2br w:val="nil"/>
                    <w:tr2bl w:val="nil"/>
                  </w:tcBorders>
                  <w:vAlign w:val="center"/>
                </w:tcPr>
                <w:p w14:paraId="3798BA97">
                  <w:pPr>
                    <w:pStyle w:val="41"/>
                    <w:bidi w:val="0"/>
                    <w:jc w:val="center"/>
                    <w:rPr>
                      <w:rFonts w:hint="eastAsia"/>
                      <w:lang w:eastAsia="zh-CN"/>
                    </w:rPr>
                  </w:pPr>
                </w:p>
              </w:tc>
            </w:tr>
            <w:tr w14:paraId="1348A0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89" w:type="pct"/>
                  <w:tcBorders>
                    <w:tl2br w:val="nil"/>
                    <w:tr2bl w:val="nil"/>
                  </w:tcBorders>
                  <w:shd w:val="clear" w:color="auto" w:fill="auto"/>
                  <w:vAlign w:val="center"/>
                </w:tcPr>
                <w:p w14:paraId="508C42AB">
                  <w:pPr>
                    <w:pStyle w:val="41"/>
                    <w:bidi w:val="0"/>
                    <w:jc w:val="center"/>
                    <w:rPr>
                      <w:rFonts w:hint="eastAsia"/>
                      <w:lang w:val="zh-CN" w:eastAsia="zh-CN"/>
                    </w:rPr>
                  </w:pPr>
                  <w:r>
                    <w:t>短小蛇根草苷</w:t>
                  </w:r>
                </w:p>
              </w:tc>
              <w:tc>
                <w:tcPr>
                  <w:tcW w:w="2410" w:type="pct"/>
                  <w:vMerge w:val="restart"/>
                  <w:tcBorders>
                    <w:tl2br w:val="nil"/>
                    <w:tr2bl w:val="nil"/>
                  </w:tcBorders>
                  <w:vAlign w:val="center"/>
                </w:tcPr>
                <w:p w14:paraId="4D956FFB">
                  <w:pPr>
                    <w:pStyle w:val="41"/>
                    <w:bidi w:val="0"/>
                    <w:jc w:val="center"/>
                    <w:rPr>
                      <w:rFonts w:hint="eastAsia"/>
                      <w:lang w:eastAsia="zh-CN"/>
                    </w:rPr>
                  </w:pPr>
                  <w:r>
                    <w:rPr>
                      <w:rFonts w:hint="eastAsia"/>
                      <w:lang w:val="en-US" w:eastAsia="zh-CN"/>
                    </w:rPr>
                    <w:t>研发工艺流程（三）</w:t>
                  </w:r>
                </w:p>
              </w:tc>
            </w:tr>
            <w:tr w14:paraId="39D82E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89" w:type="pct"/>
                  <w:tcBorders>
                    <w:tl2br w:val="nil"/>
                    <w:tr2bl w:val="nil"/>
                  </w:tcBorders>
                  <w:shd w:val="clear" w:color="auto" w:fill="auto"/>
                  <w:vAlign w:val="center"/>
                </w:tcPr>
                <w:p w14:paraId="42428125">
                  <w:pPr>
                    <w:pStyle w:val="41"/>
                    <w:bidi w:val="0"/>
                    <w:jc w:val="center"/>
                    <w:rPr>
                      <w:rFonts w:hint="eastAsia"/>
                      <w:lang w:val="zh-CN" w:eastAsia="zh-CN"/>
                    </w:rPr>
                  </w:pPr>
                  <w:r>
                    <w:t>短小蛇根草苷的衍生物</w:t>
                  </w:r>
                </w:p>
              </w:tc>
              <w:tc>
                <w:tcPr>
                  <w:tcW w:w="2410" w:type="pct"/>
                  <w:vMerge w:val="continue"/>
                  <w:tcBorders>
                    <w:tl2br w:val="nil"/>
                    <w:tr2bl w:val="nil"/>
                  </w:tcBorders>
                  <w:vAlign w:val="center"/>
                </w:tcPr>
                <w:p w14:paraId="0D74C6BB">
                  <w:pPr>
                    <w:pStyle w:val="41"/>
                    <w:bidi w:val="0"/>
                    <w:jc w:val="center"/>
                    <w:rPr>
                      <w:rFonts w:hint="eastAsia"/>
                      <w:lang w:eastAsia="zh-CN"/>
                    </w:rPr>
                  </w:pPr>
                </w:p>
              </w:tc>
            </w:tr>
            <w:tr w14:paraId="5CAB52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89" w:type="pct"/>
                  <w:tcBorders>
                    <w:tl2br w:val="nil"/>
                    <w:tr2bl w:val="nil"/>
                  </w:tcBorders>
                  <w:shd w:val="clear" w:color="auto" w:fill="auto"/>
                  <w:vAlign w:val="center"/>
                </w:tcPr>
                <w:p w14:paraId="318F64E9">
                  <w:pPr>
                    <w:pStyle w:val="41"/>
                    <w:bidi w:val="0"/>
                    <w:jc w:val="center"/>
                    <w:rPr>
                      <w:rFonts w:hint="eastAsia"/>
                      <w:lang w:val="zh-CN" w:eastAsia="zh-CN"/>
                    </w:rPr>
                  </w:pPr>
                  <w:r>
                    <w:t>金黄凝胶</w:t>
                  </w:r>
                </w:p>
              </w:tc>
              <w:tc>
                <w:tcPr>
                  <w:tcW w:w="2410" w:type="pct"/>
                  <w:tcBorders>
                    <w:tl2br w:val="nil"/>
                    <w:tr2bl w:val="nil"/>
                  </w:tcBorders>
                  <w:vAlign w:val="center"/>
                </w:tcPr>
                <w:p w14:paraId="0DE34869">
                  <w:pPr>
                    <w:pStyle w:val="41"/>
                    <w:bidi w:val="0"/>
                    <w:jc w:val="center"/>
                    <w:rPr>
                      <w:rFonts w:hint="eastAsia"/>
                      <w:lang w:eastAsia="zh-CN"/>
                    </w:rPr>
                  </w:pPr>
                  <w:r>
                    <w:rPr>
                      <w:rFonts w:hint="eastAsia"/>
                      <w:lang w:val="en-US" w:eastAsia="zh-CN"/>
                    </w:rPr>
                    <w:t>研发工艺流程（四）</w:t>
                  </w:r>
                </w:p>
              </w:tc>
            </w:tr>
            <w:tr w14:paraId="306F2D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89" w:type="pct"/>
                  <w:tcBorders>
                    <w:tl2br w:val="nil"/>
                    <w:tr2bl w:val="nil"/>
                  </w:tcBorders>
                  <w:shd w:val="clear" w:color="auto" w:fill="auto"/>
                  <w:vAlign w:val="center"/>
                </w:tcPr>
                <w:p w14:paraId="65BC5B64">
                  <w:pPr>
                    <w:pStyle w:val="41"/>
                    <w:bidi w:val="0"/>
                    <w:jc w:val="center"/>
                    <w:rPr>
                      <w:rFonts w:hint="eastAsia"/>
                      <w:lang w:val="zh-CN" w:eastAsia="zh-CN"/>
                    </w:rPr>
                  </w:pPr>
                  <w:r>
                    <w:rPr>
                      <w:rFonts w:hint="eastAsia"/>
                      <w:lang w:val="en-US" w:eastAsia="zh-CN"/>
                    </w:rPr>
                    <w:t>天然产物结构修饰</w:t>
                  </w:r>
                </w:p>
              </w:tc>
              <w:tc>
                <w:tcPr>
                  <w:tcW w:w="2410" w:type="pct"/>
                  <w:tcBorders>
                    <w:tl2br w:val="nil"/>
                    <w:tr2bl w:val="nil"/>
                  </w:tcBorders>
                  <w:vAlign w:val="center"/>
                </w:tcPr>
                <w:p w14:paraId="621001A1">
                  <w:pPr>
                    <w:pStyle w:val="41"/>
                    <w:bidi w:val="0"/>
                    <w:jc w:val="center"/>
                    <w:rPr>
                      <w:rFonts w:hint="eastAsia"/>
                      <w:lang w:eastAsia="zh-CN"/>
                    </w:rPr>
                  </w:pPr>
                  <w:r>
                    <w:rPr>
                      <w:rFonts w:hint="eastAsia"/>
                      <w:lang w:val="en-US" w:eastAsia="zh-CN"/>
                    </w:rPr>
                    <w:t>研发工艺流程（五）</w:t>
                  </w:r>
                </w:p>
              </w:tc>
            </w:tr>
            <w:tr w14:paraId="769E4C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89" w:type="pct"/>
                  <w:tcBorders>
                    <w:tl2br w:val="nil"/>
                    <w:tr2bl w:val="nil"/>
                  </w:tcBorders>
                  <w:shd w:val="clear" w:color="auto" w:fill="auto"/>
                  <w:vAlign w:val="center"/>
                </w:tcPr>
                <w:p w14:paraId="66F08170">
                  <w:pPr>
                    <w:pStyle w:val="41"/>
                    <w:bidi w:val="0"/>
                    <w:jc w:val="center"/>
                    <w:rPr>
                      <w:rFonts w:hint="eastAsia"/>
                      <w:lang w:val="zh-CN" w:eastAsia="zh-CN"/>
                    </w:rPr>
                  </w:pPr>
                  <w:r>
                    <w:rPr>
                      <w:rFonts w:hint="eastAsia"/>
                    </w:rPr>
                    <w:t>七味通痹口服液药物代谢实验</w:t>
                  </w:r>
                </w:p>
              </w:tc>
              <w:tc>
                <w:tcPr>
                  <w:tcW w:w="2410" w:type="pct"/>
                  <w:tcBorders>
                    <w:tl2br w:val="nil"/>
                    <w:tr2bl w:val="nil"/>
                  </w:tcBorders>
                  <w:vAlign w:val="center"/>
                </w:tcPr>
                <w:p w14:paraId="35D16B94">
                  <w:pPr>
                    <w:pStyle w:val="41"/>
                    <w:bidi w:val="0"/>
                    <w:jc w:val="center"/>
                    <w:rPr>
                      <w:rFonts w:hint="eastAsia"/>
                      <w:lang w:eastAsia="zh-CN"/>
                    </w:rPr>
                  </w:pPr>
                  <w:r>
                    <w:rPr>
                      <w:rFonts w:hint="eastAsia"/>
                      <w:lang w:val="en-US" w:eastAsia="zh-CN"/>
                    </w:rPr>
                    <w:t>研发工艺流程（六）</w:t>
                  </w:r>
                </w:p>
              </w:tc>
            </w:tr>
            <w:tr w14:paraId="2CD662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89" w:type="pct"/>
                  <w:tcBorders>
                    <w:tl2br w:val="nil"/>
                    <w:tr2bl w:val="nil"/>
                  </w:tcBorders>
                  <w:shd w:val="clear" w:color="auto" w:fill="auto"/>
                  <w:vAlign w:val="center"/>
                </w:tcPr>
                <w:p w14:paraId="08CB1FFC">
                  <w:pPr>
                    <w:pStyle w:val="41"/>
                    <w:bidi w:val="0"/>
                    <w:jc w:val="center"/>
                    <w:rPr>
                      <w:rFonts w:hint="eastAsia"/>
                      <w:lang w:val="zh-CN" w:eastAsia="zh-CN"/>
                    </w:rPr>
                  </w:pPr>
                  <w:r>
                    <w:rPr>
                      <w:rFonts w:hint="eastAsia"/>
                    </w:rPr>
                    <w:t>玉女</w:t>
                  </w:r>
                  <w:r>
                    <w:rPr>
                      <w:rFonts w:hint="eastAsia"/>
                      <w:lang w:val="en-US" w:eastAsia="zh-CN"/>
                    </w:rPr>
                    <w:t>煎</w:t>
                  </w:r>
                  <w:r>
                    <w:rPr>
                      <w:rFonts w:hint="eastAsia"/>
                    </w:rPr>
                    <w:t>成分分析</w:t>
                  </w:r>
                </w:p>
              </w:tc>
              <w:tc>
                <w:tcPr>
                  <w:tcW w:w="2410" w:type="pct"/>
                  <w:tcBorders>
                    <w:tl2br w:val="nil"/>
                    <w:tr2bl w:val="nil"/>
                  </w:tcBorders>
                  <w:vAlign w:val="center"/>
                </w:tcPr>
                <w:p w14:paraId="5A617D1E">
                  <w:pPr>
                    <w:pStyle w:val="41"/>
                    <w:bidi w:val="0"/>
                    <w:jc w:val="center"/>
                    <w:rPr>
                      <w:rFonts w:hint="eastAsia"/>
                      <w:lang w:eastAsia="zh-CN"/>
                    </w:rPr>
                  </w:pPr>
                  <w:r>
                    <w:rPr>
                      <w:rFonts w:hint="eastAsia"/>
                      <w:lang w:val="en-US" w:eastAsia="zh-CN"/>
                    </w:rPr>
                    <w:t>研发工艺流程（七）</w:t>
                  </w:r>
                </w:p>
              </w:tc>
            </w:tr>
            <w:tr w14:paraId="37BF8C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89" w:type="pct"/>
                  <w:tcBorders>
                    <w:tl2br w:val="nil"/>
                    <w:tr2bl w:val="nil"/>
                  </w:tcBorders>
                  <w:shd w:val="clear" w:color="auto" w:fill="auto"/>
                  <w:vAlign w:val="center"/>
                </w:tcPr>
                <w:p w14:paraId="0032E276">
                  <w:pPr>
                    <w:pStyle w:val="41"/>
                    <w:bidi w:val="0"/>
                    <w:jc w:val="center"/>
                    <w:rPr>
                      <w:rFonts w:hint="eastAsia"/>
                      <w:lang w:val="zh-CN" w:eastAsia="zh-CN"/>
                    </w:rPr>
                  </w:pPr>
                  <w:r>
                    <w:rPr>
                      <w:rFonts w:hint="eastAsia"/>
                    </w:rPr>
                    <w:t>止痒颗粒</w:t>
                  </w:r>
                </w:p>
              </w:tc>
              <w:tc>
                <w:tcPr>
                  <w:tcW w:w="2410" w:type="pct"/>
                  <w:tcBorders>
                    <w:tl2br w:val="nil"/>
                    <w:tr2bl w:val="nil"/>
                  </w:tcBorders>
                  <w:vAlign w:val="center"/>
                </w:tcPr>
                <w:p w14:paraId="5B4CF6AB">
                  <w:pPr>
                    <w:pStyle w:val="41"/>
                    <w:bidi w:val="0"/>
                    <w:jc w:val="center"/>
                    <w:rPr>
                      <w:rFonts w:hint="eastAsia"/>
                      <w:lang w:eastAsia="zh-CN"/>
                    </w:rPr>
                  </w:pPr>
                  <w:r>
                    <w:rPr>
                      <w:rFonts w:hint="eastAsia"/>
                      <w:lang w:val="en-US" w:eastAsia="zh-CN"/>
                    </w:rPr>
                    <w:t>研发工艺流程（八）</w:t>
                  </w:r>
                </w:p>
              </w:tc>
            </w:tr>
          </w:tbl>
          <w:p w14:paraId="02E8F9E0">
            <w:pPr>
              <w:pStyle w:val="41"/>
              <w:bidi w:val="0"/>
              <w:rPr>
                <w:rFonts w:hint="eastAsia"/>
                <w:lang w:eastAsia="zh-CN"/>
              </w:rPr>
            </w:pPr>
          </w:p>
          <w:p w14:paraId="11059F21">
            <w:pPr>
              <w:keepNext w:val="0"/>
              <w:keepLines w:val="0"/>
              <w:widowControl w:val="0"/>
              <w:kinsoku/>
              <w:wordWrap/>
              <w:overflowPunct/>
              <w:topLinePunct w:val="0"/>
              <w:autoSpaceDE/>
              <w:autoSpaceDN/>
              <w:bidi w:val="0"/>
              <w:adjustRightInd/>
              <w:snapToGrid/>
              <w:spacing w:line="460" w:lineRule="exact"/>
              <w:ind w:firstLine="482" w:firstLineChars="200"/>
              <w:textAlignment w:val="auto"/>
              <w:rPr>
                <w:rFonts w:hint="eastAsia"/>
                <w:b/>
                <w:bCs/>
                <w:color w:val="auto"/>
                <w:highlight w:val="none"/>
                <w:lang w:val="en-US" w:eastAsia="zh-CN"/>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sz w:val="24"/>
                <w:highlight w:val="none"/>
                <w:lang w:val="en-US" w:eastAsia="zh-CN"/>
              </w:rPr>
              <w:t>研发工艺流程（一）</w:t>
            </w:r>
          </w:p>
          <w:p w14:paraId="4CAE09AE">
            <w:pPr>
              <w:keepNext w:val="0"/>
              <w:keepLines w:val="0"/>
              <w:widowControl w:val="0"/>
              <w:kinsoku/>
              <w:wordWrap/>
              <w:overflowPunct/>
              <w:topLinePunct w:val="0"/>
              <w:autoSpaceDE/>
              <w:autoSpaceDN/>
              <w:bidi w:val="0"/>
              <w:adjustRightInd/>
              <w:snapToGrid/>
              <w:spacing w:line="460" w:lineRule="exact"/>
              <w:ind w:firstLine="480" w:firstLineChars="200"/>
              <w:textAlignment w:val="auto"/>
              <w:rPr>
                <w:rFonts w:hint="default"/>
                <w:b/>
                <w:bCs/>
                <w:color w:val="auto"/>
                <w:highlight w:val="none"/>
                <w:lang w:val="en-US" w:eastAsia="zh-CN"/>
              </w:rPr>
            </w:pPr>
            <w:r>
              <w:rPr>
                <w:rFonts w:hint="eastAsia" w:ascii="Times New Roman" w:hAnsi="Times New Roman" w:eastAsia="宋体" w:cs="宋体"/>
                <w:color w:val="auto"/>
                <w:kern w:val="2"/>
                <w:sz w:val="24"/>
                <w:szCs w:val="24"/>
                <w:highlight w:val="none"/>
                <w:lang w:val="en-US" w:eastAsia="zh-CN" w:bidi="ar-SA"/>
              </w:rPr>
              <w:t>针对中药活性筛选与早期评价、免疫组学、结构生物学、基因组学、生物信息学的研发工艺流程如下：</w:t>
            </w:r>
          </w:p>
          <w:p w14:paraId="7C71C225">
            <w:pPr>
              <w:pStyle w:val="31"/>
              <w:spacing w:beforeLines="0" w:after="0" w:line="240" w:lineRule="auto"/>
              <w:ind w:left="0" w:leftChars="0" w:firstLine="0" w:firstLineChars="0"/>
              <w:jc w:val="center"/>
              <w:rPr>
                <w:rFonts w:hint="eastAsia"/>
                <w:b/>
                <w:bCs/>
                <w:color w:val="auto"/>
                <w:highlight w:val="none"/>
                <w:lang w:eastAsia="zh-CN"/>
              </w:rPr>
            </w:pPr>
            <w:r>
              <w:rPr>
                <w:rFonts w:hint="eastAsia"/>
                <w:color w:val="auto"/>
                <w:highlight w:val="none"/>
                <w:lang w:val="en-US" w:eastAsia="zh-CN"/>
              </w:rPr>
              <w:drawing>
                <wp:inline distT="0" distB="0" distL="114300" distR="114300">
                  <wp:extent cx="3370580" cy="2566035"/>
                  <wp:effectExtent l="0" t="0" r="0" b="0"/>
                  <wp:docPr id="7" name="ECB019B1-382A-4266-B25C-5B523AA43C14-5" descr="C:/Users/PC/AppData/Local/Temp/wps.MrjQZ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5" descr="C:/Users/PC/AppData/Local/Temp/wps.MrjQZVwps"/>
                          <pic:cNvPicPr>
                            <a:picLocks noChangeAspect="1"/>
                          </pic:cNvPicPr>
                        </pic:nvPicPr>
                        <pic:blipFill>
                          <a:blip r:embed="rId18"/>
                          <a:srcRect l="4655" t="5425" r="4519" b="4161"/>
                          <a:stretch>
                            <a:fillRect/>
                          </a:stretch>
                        </pic:blipFill>
                        <pic:spPr>
                          <a:xfrm>
                            <a:off x="0" y="0"/>
                            <a:ext cx="3370580" cy="2566035"/>
                          </a:xfrm>
                          <a:prstGeom prst="rect">
                            <a:avLst/>
                          </a:prstGeom>
                        </pic:spPr>
                      </pic:pic>
                    </a:graphicData>
                  </a:graphic>
                </wp:inline>
              </w:drawing>
            </w:r>
          </w:p>
          <w:p w14:paraId="3BCF2675">
            <w:pPr>
              <w:pStyle w:val="20"/>
              <w:bidi w:val="0"/>
              <w:rPr>
                <w:rFonts w:hint="default"/>
                <w:lang w:val="en-US" w:eastAsia="zh-CN"/>
              </w:rPr>
            </w:pPr>
            <w:r>
              <w:rPr>
                <w:rFonts w:hint="eastAsia"/>
                <w:lang w:val="en-US" w:eastAsia="zh-CN"/>
              </w:rPr>
              <w:t>研发工艺流程及产污节点图（一）</w:t>
            </w:r>
          </w:p>
          <w:p w14:paraId="3D78CDC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工艺流程简述：</w:t>
            </w:r>
          </w:p>
          <w:p w14:paraId="2DB4213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1）实验设计</w:t>
            </w:r>
          </w:p>
          <w:p w14:paraId="6650F27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rPr>
            </w:pPr>
            <w:r>
              <w:rPr>
                <w:rFonts w:hint="eastAsia"/>
                <w:lang w:val="en-US" w:eastAsia="zh-CN"/>
              </w:rPr>
              <w:t>利用人工智能程序进行网络数据及往期实验数据统计，设计最优实验方案。</w:t>
            </w:r>
          </w:p>
          <w:p w14:paraId="63390E2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2）细胞培养</w:t>
            </w:r>
          </w:p>
          <w:p w14:paraId="42B54C1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将细胞接种到培养基、培养皿或培养板上，定期向培养皿中补加营养物质，维持细胞生长，培养</w:t>
            </w:r>
            <w:r>
              <w:rPr>
                <w:rFonts w:hint="eastAsia"/>
              </w:rPr>
              <w:t>细胞达到一定密度</w:t>
            </w:r>
            <w:r>
              <w:rPr>
                <w:rFonts w:hint="eastAsia"/>
                <w:lang w:eastAsia="zh-CN"/>
              </w:rPr>
              <w:t>。</w:t>
            </w:r>
            <w:r>
              <w:rPr>
                <w:rFonts w:hint="eastAsia"/>
                <w:lang w:val="en-US" w:eastAsia="zh-CN"/>
              </w:rPr>
              <w:t>此过程在生物安全柜中进行，细胞培养过程会产生代谢废气，主要污染物为NH</w:t>
            </w:r>
            <w:r>
              <w:rPr>
                <w:rFonts w:hint="eastAsia"/>
                <w:vertAlign w:val="subscript"/>
                <w:lang w:val="en-US" w:eastAsia="zh-CN"/>
              </w:rPr>
              <w:t>3</w:t>
            </w:r>
            <w:r>
              <w:rPr>
                <w:rFonts w:hint="eastAsia"/>
                <w:lang w:val="en-US" w:eastAsia="zh-CN"/>
              </w:rPr>
              <w:t>、臭气浓度、气溶胶，产生量较小，废气经生物安全柜配备的ULPA过滤器处理后室内无组织排放，本项目使用II级A2型生物安全柜，30%外排风，70%内循环。综上此过程会产生G1-1生物安全柜废气。</w:t>
            </w:r>
          </w:p>
          <w:p w14:paraId="4DCD37F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3）细胞给药</w:t>
            </w:r>
          </w:p>
          <w:p w14:paraId="5C8EF68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在细胞生长环境中加入中药提取物、药物，观察药物对细胞的影响。</w:t>
            </w:r>
          </w:p>
          <w:p w14:paraId="602B7B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4）样品收集及检测</w:t>
            </w:r>
          </w:p>
          <w:p w14:paraId="1D37981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利用枪头、EP管、试剂将样本进行抽提纯化，获取细胞中的蛋白、核酸或生物分子。利用实验室检验仪器检测样本，获取细胞的各类检测指标。实验过程中会消耗部分一次性实验用品，用后产生废实验用品；实验结束后会留下废培养基、废样品等废料；对实验仪器及器皿进行清洗时，首次清洗会产生废液，后续清洗会产生废水；挥发性试剂会挥发废气，未用尽的化学试剂会产生废液。综上此过程会产生G1-2试剂挥发废气、S1-1废液及废料、S1-2废实验用品、W1-1仪器及器皿后续清洗废水。</w:t>
            </w:r>
          </w:p>
          <w:p w14:paraId="096F853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5）数据分析</w:t>
            </w:r>
          </w:p>
          <w:p w14:paraId="764B59F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将检测结果上传到人工智能程序，</w:t>
            </w:r>
            <w:r>
              <w:rPr>
                <w:rFonts w:hint="eastAsia"/>
              </w:rPr>
              <w:t>评估</w:t>
            </w:r>
            <w:r>
              <w:rPr>
                <w:rFonts w:hint="eastAsia"/>
                <w:lang w:val="en-US" w:eastAsia="zh-CN"/>
              </w:rPr>
              <w:t>各类</w:t>
            </w:r>
            <w:r>
              <w:rPr>
                <w:rFonts w:hint="eastAsia"/>
              </w:rPr>
              <w:t>药物对细胞的影响</w:t>
            </w:r>
            <w:r>
              <w:rPr>
                <w:rFonts w:hint="eastAsia"/>
                <w:lang w:eastAsia="zh-CN"/>
              </w:rPr>
              <w:t>。</w:t>
            </w:r>
          </w:p>
          <w:p w14:paraId="4B78D66A">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lang w:val="en-US" w:eastAsia="zh-CN"/>
              </w:rPr>
            </w:pPr>
            <w:r>
              <w:rPr>
                <w:rFonts w:hint="eastAsia"/>
                <w:b/>
                <w:bCs/>
                <w:lang w:val="en-US" w:eastAsia="zh-CN"/>
              </w:rPr>
              <w:t>（2）研发工艺流程（二）</w:t>
            </w:r>
          </w:p>
          <w:p w14:paraId="14BE510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针对代谢组学、肠道微生物组学的研发工艺流程如下：</w:t>
            </w:r>
          </w:p>
          <w:p w14:paraId="3BBBCC4E">
            <w:pPr>
              <w:pStyle w:val="13"/>
              <w:spacing w:line="240" w:lineRule="auto"/>
              <w:ind w:left="0" w:leftChars="0" w:firstLine="0" w:firstLineChars="0"/>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3599815" cy="2228215"/>
                  <wp:effectExtent l="0" t="0" r="635" b="635"/>
                  <wp:docPr id="25" name="ECB019B1-382A-4266-B25C-5B523AA43C14-6" descr="C:/Users/PC/AppData/Local/Temp/wps.nqWXU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B019B1-382A-4266-B25C-5B523AA43C14-6" descr="C:/Users/PC/AppData/Local/Temp/wps.nqWXUCwps"/>
                          <pic:cNvPicPr>
                            <a:picLocks noChangeAspect="1"/>
                          </pic:cNvPicPr>
                        </pic:nvPicPr>
                        <pic:blipFill>
                          <a:blip r:embed="rId19"/>
                          <a:srcRect l="4325" t="5748" r="4629" b="7888"/>
                          <a:stretch>
                            <a:fillRect/>
                          </a:stretch>
                        </pic:blipFill>
                        <pic:spPr>
                          <a:xfrm>
                            <a:off x="0" y="0"/>
                            <a:ext cx="3599815" cy="2228215"/>
                          </a:xfrm>
                          <a:prstGeom prst="rect">
                            <a:avLst/>
                          </a:prstGeom>
                        </pic:spPr>
                      </pic:pic>
                    </a:graphicData>
                  </a:graphic>
                </wp:inline>
              </w:drawing>
            </w:r>
          </w:p>
          <w:p w14:paraId="67D4B57F">
            <w:pPr>
              <w:pStyle w:val="20"/>
              <w:bidi w:val="0"/>
              <w:rPr>
                <w:rFonts w:hint="eastAsia"/>
                <w:lang w:val="en-US" w:eastAsia="zh-CN"/>
              </w:rPr>
            </w:pPr>
            <w:r>
              <w:rPr>
                <w:rFonts w:hint="eastAsia"/>
                <w:lang w:val="en-US" w:eastAsia="zh-CN"/>
              </w:rPr>
              <w:t>研发工艺流程及产污节点图（二）</w:t>
            </w:r>
          </w:p>
          <w:p w14:paraId="14B0C57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工艺流程简述：</w:t>
            </w:r>
          </w:p>
          <w:p w14:paraId="6D3F592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1）实验设计</w:t>
            </w:r>
          </w:p>
          <w:p w14:paraId="3E4411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rPr>
            </w:pPr>
            <w:r>
              <w:rPr>
                <w:rFonts w:hint="eastAsia"/>
                <w:lang w:val="en-US" w:eastAsia="zh-CN"/>
              </w:rPr>
              <w:t>利用人工智能程序进行网络数据及往期实验数据统计，设计最优实验方案。</w:t>
            </w:r>
          </w:p>
          <w:p w14:paraId="77FB76E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2）样品前处理</w:t>
            </w:r>
          </w:p>
          <w:p w14:paraId="3F87D20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将血浆、粪便、组织进行</w:t>
            </w:r>
            <w:r>
              <w:rPr>
                <w:rFonts w:hint="eastAsia"/>
              </w:rPr>
              <w:t>混匀、离心</w:t>
            </w:r>
            <w:r>
              <w:rPr>
                <w:rFonts w:hint="eastAsia"/>
                <w:lang w:eastAsia="zh-CN"/>
              </w:rPr>
              <w:t>、</w:t>
            </w:r>
            <w:r>
              <w:rPr>
                <w:rFonts w:hint="eastAsia"/>
              </w:rPr>
              <w:t>DNA提取、扩增、纯化、质控</w:t>
            </w:r>
            <w:r>
              <w:rPr>
                <w:rFonts w:hint="eastAsia"/>
                <w:lang w:val="en-US" w:eastAsia="zh-CN"/>
              </w:rPr>
              <w:t>等合适操作，</w:t>
            </w:r>
            <w:r>
              <w:rPr>
                <w:rFonts w:hint="eastAsia"/>
              </w:rPr>
              <w:t>获得达到仪器检测要求的样品</w:t>
            </w:r>
            <w:r>
              <w:rPr>
                <w:rFonts w:hint="eastAsia"/>
                <w:lang w:eastAsia="zh-CN"/>
              </w:rPr>
              <w:t>。</w:t>
            </w:r>
            <w:r>
              <w:rPr>
                <w:rFonts w:hint="eastAsia"/>
                <w:lang w:val="en-US" w:eastAsia="zh-CN"/>
              </w:rPr>
              <w:t>混匀后进行离心会留下部分上清液，纯化、质控后仅保留实验需要的少部分达标样品，其余作为废物处置，所以此过程会产生S2-1废液及废料。离心及扩增过程在生物安全柜中进行，高速离心可能会产生气溶胶，扩增过程会产生培养废气，主要污染物为NH</w:t>
            </w:r>
            <w:r>
              <w:rPr>
                <w:rFonts w:hint="eastAsia"/>
                <w:vertAlign w:val="subscript"/>
                <w:lang w:val="en-US" w:eastAsia="zh-CN"/>
              </w:rPr>
              <w:t>3</w:t>
            </w:r>
            <w:r>
              <w:rPr>
                <w:rFonts w:hint="eastAsia"/>
                <w:lang w:val="en-US" w:eastAsia="zh-CN"/>
              </w:rPr>
              <w:t>、臭气浓度、气溶胶，产生量较小，废气经生物安全柜配备的ULPA过滤器处理后室内无组织排放，本项目使用II级A2型生物安全柜，30%外排风，70%内循环。综上此过程会产生G2-1生物安全柜废气。</w:t>
            </w:r>
          </w:p>
          <w:p w14:paraId="612ED3A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3）样品检测</w:t>
            </w:r>
          </w:p>
          <w:p w14:paraId="5CFBCB9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利用枪头、EP管、试剂盒将样本放入实验室检验仪器进行检测，采集样品中的成分信息、菌群信息。实验过程中会消耗部分一次性实验用品，用后产生废实验用品；实验结束后会留下废样品等废料；对实验仪器及器皿进行清洗时，首次清洗会产生废液，后续清洗会产生废水；挥发性试剂会挥发废气，未用尽的化学试剂会产生废液。综上此过程会产生G2-2试剂挥发废气、S2-2废液及废料、S2-3废实验用品、W2-1仪器及器皿后续清洗废水。</w:t>
            </w:r>
          </w:p>
          <w:p w14:paraId="6B7754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4）数据分析</w:t>
            </w:r>
          </w:p>
          <w:p w14:paraId="1BB226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lang w:val="en-US" w:eastAsia="zh-CN"/>
              </w:rPr>
              <w:t>将检测结果上传到人工智能程序，用于</w:t>
            </w:r>
            <w:r>
              <w:rPr>
                <w:rFonts w:hint="eastAsia"/>
              </w:rPr>
              <w:t>中药作用机制评估及中药新药的筛选</w:t>
            </w:r>
            <w:r>
              <w:rPr>
                <w:rFonts w:hint="eastAsia"/>
                <w:lang w:eastAsia="zh-CN"/>
              </w:rPr>
              <w:t>。</w:t>
            </w:r>
          </w:p>
          <w:p w14:paraId="163095E1">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lang w:val="en-US" w:eastAsia="zh-CN"/>
              </w:rPr>
            </w:pPr>
            <w:r>
              <w:rPr>
                <w:rFonts w:hint="eastAsia"/>
                <w:b/>
                <w:bCs/>
                <w:lang w:val="en-US" w:eastAsia="zh-CN"/>
              </w:rPr>
              <w:t>（3）研发工艺流程（三）</w:t>
            </w:r>
          </w:p>
          <w:p w14:paraId="3EF7EA2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针对短小蛇根草苷、短小蛇根草苷的衍生物的研发工艺流程如下：</w:t>
            </w:r>
          </w:p>
          <w:p w14:paraId="4C7C21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drawing>
                <wp:inline distT="0" distB="0" distL="114300" distR="114300">
                  <wp:extent cx="3599815" cy="2707640"/>
                  <wp:effectExtent l="0" t="0" r="635" b="16510"/>
                  <wp:docPr id="1" name="ECB019B1-382A-4266-B25C-5B523AA43C14-7" descr="C:/Users/PC/AppData/Local/Temp/wps.gGkAV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7" descr="C:/Users/PC/AppData/Local/Temp/wps.gGkAVLwps"/>
                          <pic:cNvPicPr>
                            <a:picLocks noChangeAspect="1"/>
                          </pic:cNvPicPr>
                        </pic:nvPicPr>
                        <pic:blipFill>
                          <a:blip r:embed="rId20"/>
                          <a:srcRect l="7753" t="5582" r="3642" b="6214"/>
                          <a:stretch>
                            <a:fillRect/>
                          </a:stretch>
                        </pic:blipFill>
                        <pic:spPr>
                          <a:xfrm>
                            <a:off x="0" y="0"/>
                            <a:ext cx="3599815" cy="2707640"/>
                          </a:xfrm>
                          <a:prstGeom prst="rect">
                            <a:avLst/>
                          </a:prstGeom>
                        </pic:spPr>
                      </pic:pic>
                    </a:graphicData>
                  </a:graphic>
                </wp:inline>
              </w:drawing>
            </w:r>
          </w:p>
          <w:p w14:paraId="641B0690">
            <w:pPr>
              <w:pStyle w:val="20"/>
              <w:bidi w:val="0"/>
              <w:rPr>
                <w:rFonts w:hint="default"/>
                <w:lang w:val="en-US" w:eastAsia="zh-CN"/>
              </w:rPr>
            </w:pPr>
            <w:r>
              <w:rPr>
                <w:rFonts w:hint="eastAsia"/>
                <w:lang w:val="en-US" w:eastAsia="zh-CN"/>
              </w:rPr>
              <w:t>研发工艺流程及产污节点图（三）</w:t>
            </w:r>
          </w:p>
          <w:p w14:paraId="33C4C56A">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jc w:val="left"/>
              <w:textAlignment w:val="auto"/>
              <w:rPr>
                <w:rFonts w:hint="eastAsia"/>
                <w:b w:val="0"/>
                <w:bCs w:val="0"/>
                <w:color w:val="auto"/>
                <w:sz w:val="24"/>
                <w:highlight w:val="none"/>
                <w:lang w:val="en-US" w:eastAsia="zh-CN"/>
              </w:rPr>
            </w:pPr>
            <w:r>
              <w:rPr>
                <w:rFonts w:hint="default" w:ascii="Times New Roman" w:hAnsi="Times New Roman"/>
                <w:b w:val="0"/>
                <w:bCs w:val="0"/>
                <w:color w:val="auto"/>
                <w:sz w:val="24"/>
                <w:highlight w:val="none"/>
                <w:lang w:val="en-US" w:eastAsia="zh-CN"/>
              </w:rPr>
              <w:t>短小蛇根草苷、短小蛇根草苷的衍生物的研发</w:t>
            </w:r>
            <w:r>
              <w:rPr>
                <w:rFonts w:hint="eastAsia"/>
                <w:b w:val="0"/>
                <w:bCs w:val="0"/>
                <w:color w:val="auto"/>
                <w:sz w:val="24"/>
                <w:highlight w:val="none"/>
                <w:lang w:val="en-US" w:eastAsia="zh-CN"/>
              </w:rPr>
              <w:t>过程主要包括回流提取、合成、结构改造。由于研发反应过程涉及商业秘密，此处不列举研发反应方程式。</w:t>
            </w:r>
          </w:p>
          <w:p w14:paraId="269A1DBD">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480" w:firstLineChars="200"/>
              <w:jc w:val="left"/>
              <w:textAlignment w:val="auto"/>
              <w:rPr>
                <w:rFonts w:hint="eastAsia"/>
                <w:b w:val="0"/>
                <w:bCs w:val="0"/>
                <w:color w:val="auto"/>
                <w:sz w:val="24"/>
                <w:highlight w:val="none"/>
                <w:lang w:val="en-US" w:eastAsia="zh-CN"/>
              </w:rPr>
            </w:pPr>
            <w:r>
              <w:rPr>
                <w:rFonts w:hint="eastAsia" w:ascii="Times New Roman" w:hAnsi="Times New Roman" w:eastAsia="宋体" w:cs="Times New Roman"/>
                <w:b w:val="0"/>
                <w:bCs w:val="0"/>
                <w:color w:val="auto"/>
                <w:kern w:val="2"/>
                <w:sz w:val="24"/>
                <w:szCs w:val="24"/>
                <w:lang w:val="en-US" w:eastAsia="zh-CN" w:bidi="ar-SA"/>
              </w:rPr>
              <w:t>1）</w:t>
            </w:r>
            <w:r>
              <w:rPr>
                <w:rFonts w:hint="eastAsia"/>
                <w:b w:val="0"/>
                <w:bCs w:val="0"/>
                <w:color w:val="auto"/>
                <w:sz w:val="24"/>
                <w:highlight w:val="none"/>
                <w:lang w:val="en-US" w:eastAsia="zh-CN"/>
              </w:rPr>
              <w:t>回流提取：首先将胆木叶进行破碎，得到的汁液与70%乙醇放入圆底烧瓶，</w:t>
            </w:r>
            <w:r>
              <w:rPr>
                <w:rFonts w:hint="eastAsia"/>
                <w:lang w:val="en-US" w:eastAsia="zh-CN"/>
              </w:rPr>
              <w:t>料液比1:8（药材:70%乙醇），</w:t>
            </w:r>
            <w:r>
              <w:rPr>
                <w:rFonts w:hint="eastAsia"/>
                <w:b w:val="0"/>
                <w:bCs w:val="0"/>
                <w:color w:val="auto"/>
                <w:sz w:val="24"/>
                <w:highlight w:val="none"/>
                <w:lang w:val="en-US" w:eastAsia="zh-CN"/>
              </w:rPr>
              <w:t>连接冷凝管，</w:t>
            </w:r>
            <w:r>
              <w:rPr>
                <w:rFonts w:hint="eastAsia"/>
                <w:lang w:val="en-US" w:eastAsia="zh-CN"/>
              </w:rPr>
              <w:t>水浴温度80℃±2℃</w:t>
            </w:r>
            <w:r>
              <w:rPr>
                <w:rFonts w:hint="eastAsia"/>
                <w:b w:val="0"/>
                <w:bCs w:val="0"/>
                <w:color w:val="auto"/>
                <w:sz w:val="24"/>
                <w:highlight w:val="none"/>
                <w:lang w:val="en-US" w:eastAsia="zh-CN"/>
              </w:rPr>
              <w:t>，溶剂沸腾后蒸气上升至冷凝管，冷凝液稳定回流。提取时间1-2h，时间结束后将圆底烧瓶移出水浴锅，自然冷却后拆除装置。使用布氏漏斗、滤纸过滤冷凝液，提取后得到异长春花甘内酰胺，滤纸上留下废渣。</w:t>
            </w:r>
          </w:p>
          <w:p w14:paraId="0F6970E8">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480" w:firstLineChars="200"/>
              <w:jc w:val="left"/>
              <w:textAlignment w:val="auto"/>
              <w:rPr>
                <w:rFonts w:hint="eastAsia"/>
                <w:b w:val="0"/>
                <w:bCs w:val="0"/>
                <w:color w:val="auto"/>
                <w:sz w:val="24"/>
                <w:highlight w:val="none"/>
                <w:lang w:val="en-US" w:eastAsia="zh-CN"/>
              </w:rPr>
            </w:pPr>
            <w:r>
              <w:rPr>
                <w:rFonts w:hint="eastAsia" w:ascii="Times New Roman" w:hAnsi="Times New Roman" w:eastAsia="宋体" w:cs="Times New Roman"/>
                <w:b w:val="0"/>
                <w:bCs w:val="0"/>
                <w:color w:val="auto"/>
                <w:kern w:val="2"/>
                <w:sz w:val="24"/>
                <w:szCs w:val="24"/>
                <w:lang w:val="en-US" w:eastAsia="zh-CN" w:bidi="ar-SA"/>
              </w:rPr>
              <w:t>2）</w:t>
            </w:r>
            <w:r>
              <w:rPr>
                <w:rFonts w:hint="eastAsia"/>
                <w:b w:val="0"/>
                <w:bCs w:val="0"/>
                <w:color w:val="auto"/>
                <w:sz w:val="24"/>
                <w:highlight w:val="none"/>
                <w:lang w:val="en-US" w:eastAsia="zh-CN"/>
              </w:rPr>
              <w:t>合成：利用高碘酸钠、80%乙醇对异长春花甘内酰胺进行氧化，断裂内酰胺环形成醛中间体，之后通过三乙胺促进环合，通过分子内缩合构建环烯醚结构，形成短小蛇根草苷溶液。为获得高纯度短小蛇根草苷，利用重结晶进行提纯，使用80%乙醇作为溶剂，使用干燥箱进行提纯。</w:t>
            </w:r>
          </w:p>
          <w:p w14:paraId="206517EF">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480" w:firstLineChars="200"/>
              <w:jc w:val="left"/>
              <w:textAlignment w:val="auto"/>
              <w:rPr>
                <w:rFonts w:hint="eastAsia"/>
                <w:b w:val="0"/>
                <w:bCs w:val="0"/>
                <w:color w:val="auto"/>
                <w:sz w:val="24"/>
                <w:highlight w:val="none"/>
                <w:lang w:val="en-US" w:eastAsia="zh-CN"/>
              </w:rPr>
            </w:pPr>
            <w:r>
              <w:rPr>
                <w:rFonts w:hint="eastAsia" w:ascii="Times New Roman" w:hAnsi="Times New Roman" w:eastAsia="宋体" w:cs="Times New Roman"/>
                <w:b w:val="0"/>
                <w:bCs w:val="0"/>
                <w:color w:val="auto"/>
                <w:kern w:val="2"/>
                <w:sz w:val="24"/>
                <w:szCs w:val="24"/>
                <w:lang w:val="en-US" w:eastAsia="zh-CN" w:bidi="ar-SA"/>
              </w:rPr>
              <w:t>3）</w:t>
            </w:r>
            <w:r>
              <w:rPr>
                <w:rFonts w:hint="eastAsia"/>
                <w:b w:val="0"/>
                <w:bCs w:val="0"/>
                <w:color w:val="auto"/>
                <w:sz w:val="24"/>
                <w:highlight w:val="none"/>
                <w:lang w:val="en-US" w:eastAsia="zh-CN"/>
              </w:rPr>
              <w:t>结构改造：此过程主要通过化学加成引入新官能团，再经萃取和色谱分离纯化。利用亚硫酸钠对短小蛇根草苷进行加成，反应得到其衍生物。初步纯化使用乙酸乙酯对反应溶液进行萃取，分离衍生物及反应溶液。之后利用层析柱进行进一步分离，将分离的衍生物分别溶于甲醇、二氯甲烷进行过柱纯化，得到进一步纯化的短小蛇根草苷衍生物。</w:t>
            </w:r>
          </w:p>
          <w:p w14:paraId="46C7801D">
            <w:pPr>
              <w:keepNext w:val="0"/>
              <w:keepLines w:val="0"/>
              <w:pageBreakBefore w:val="0"/>
              <w:widowControl w:val="0"/>
              <w:kinsoku/>
              <w:wordWrap/>
              <w:overflowPunct/>
              <w:topLinePunct w:val="0"/>
              <w:autoSpaceDE/>
              <w:autoSpaceDN/>
              <w:bidi w:val="0"/>
              <w:adjustRightInd/>
              <w:snapToGrid/>
              <w:spacing w:line="460" w:lineRule="exact"/>
              <w:ind w:left="0" w:firstLine="482" w:firstLineChars="200"/>
              <w:jc w:val="left"/>
              <w:textAlignment w:val="auto"/>
              <w:rPr>
                <w:rFonts w:hint="eastAsia"/>
                <w:lang w:val="en-US" w:eastAsia="zh-CN"/>
              </w:rPr>
            </w:pPr>
            <w:r>
              <w:rPr>
                <w:rFonts w:hint="eastAsia"/>
                <w:b/>
                <w:bCs/>
                <w:lang w:val="en-US" w:eastAsia="zh-CN"/>
              </w:rPr>
              <w:t>产污情况：</w:t>
            </w:r>
            <w:r>
              <w:rPr>
                <w:rFonts w:hint="eastAsia"/>
                <w:lang w:val="en-US" w:eastAsia="zh-CN"/>
              </w:rPr>
              <w:t>实验过程中会消耗部分一次性实验用品，用后产生废实验用品；实验结束后会留下废样品、过滤废渣等废料；对实验仪器及器皿进行清洗时，首次清洗会产生废液，后续清洗会产生废水；挥发性试剂会挥发废气，未用尽的化学试剂会产生废液；水浴锅会产生实验设备废水。综上此过程会产生G3-1试剂挥发废气、S3-1废液及废料、S3-2废实验用品、W3-1仪器及器皿后续清洗废水、W3-2实验设备废水。</w:t>
            </w:r>
          </w:p>
          <w:p w14:paraId="6D07C65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lang w:val="en-US" w:eastAsia="zh-CN"/>
              </w:rPr>
            </w:pPr>
            <w:r>
              <w:rPr>
                <w:rFonts w:hint="eastAsia"/>
                <w:b/>
                <w:bCs/>
                <w:lang w:val="en-US" w:eastAsia="zh-CN"/>
              </w:rPr>
              <w:t>（4）研发工艺流程（四）</w:t>
            </w:r>
          </w:p>
          <w:p w14:paraId="3DA3B0E6">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jc w:val="left"/>
              <w:textAlignment w:val="auto"/>
              <w:rPr>
                <w:rFonts w:hint="eastAsia" w:ascii="Times New Roman" w:hAnsi="Times New Roman"/>
                <w:b/>
                <w:bCs/>
                <w:color w:val="auto"/>
                <w:sz w:val="24"/>
                <w:highlight w:val="none"/>
                <w:lang w:eastAsia="zh-CN"/>
              </w:rPr>
            </w:pPr>
            <w:r>
              <w:rPr>
                <w:rFonts w:hint="eastAsia"/>
                <w:lang w:val="en-US" w:eastAsia="zh-CN"/>
              </w:rPr>
              <w:t>针对金黄凝胶的研发工艺流程如下：</w:t>
            </w:r>
          </w:p>
          <w:p w14:paraId="6615C9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eastAsia="宋体"/>
                <w:lang w:val="en-US" w:eastAsia="zh-CN"/>
              </w:rPr>
              <w:drawing>
                <wp:inline distT="0" distB="0" distL="114300" distR="114300">
                  <wp:extent cx="3039745" cy="2879090"/>
                  <wp:effectExtent l="0" t="0" r="8255" b="16510"/>
                  <wp:docPr id="2" name="ECB019B1-382A-4266-B25C-5B523AA43C14-8" descr="C:/Users/PC/AppData/Local/Temp/wps.IDTxp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8" descr="C:/Users/PC/AppData/Local/Temp/wps.IDTxpNwps"/>
                          <pic:cNvPicPr>
                            <a:picLocks noChangeAspect="1"/>
                          </pic:cNvPicPr>
                        </pic:nvPicPr>
                        <pic:blipFill>
                          <a:blip r:embed="rId21"/>
                          <a:srcRect l="4966" t="5029" r="5055" b="5833"/>
                          <a:stretch>
                            <a:fillRect/>
                          </a:stretch>
                        </pic:blipFill>
                        <pic:spPr>
                          <a:xfrm>
                            <a:off x="0" y="0"/>
                            <a:ext cx="3039745" cy="2879090"/>
                          </a:xfrm>
                          <a:prstGeom prst="rect">
                            <a:avLst/>
                          </a:prstGeom>
                        </pic:spPr>
                      </pic:pic>
                    </a:graphicData>
                  </a:graphic>
                </wp:inline>
              </w:drawing>
            </w:r>
          </w:p>
          <w:p w14:paraId="2A2EBFAD">
            <w:pPr>
              <w:pStyle w:val="20"/>
              <w:bidi w:val="0"/>
              <w:rPr>
                <w:rFonts w:hint="eastAsia"/>
                <w:lang w:eastAsia="zh-CN"/>
              </w:rPr>
            </w:pPr>
            <w:r>
              <w:rPr>
                <w:rFonts w:hint="eastAsia"/>
                <w:lang w:val="en-US" w:eastAsia="zh-CN"/>
              </w:rPr>
              <w:t>研发工艺流程及产污节点图（四）</w:t>
            </w:r>
          </w:p>
          <w:p w14:paraId="51FD3412">
            <w:pPr>
              <w:keepNext w:val="0"/>
              <w:keepLines w:val="0"/>
              <w:pageBreakBefore w:val="0"/>
              <w:widowControl w:val="0"/>
              <w:numPr>
                <w:ilvl w:val="0"/>
                <w:numId w:val="15"/>
              </w:numPr>
              <w:kinsoku/>
              <w:wordWrap/>
              <w:overflowPunct/>
              <w:topLinePunct w:val="0"/>
              <w:autoSpaceDE/>
              <w:autoSpaceDN/>
              <w:bidi w:val="0"/>
              <w:adjustRightInd/>
              <w:snapToGrid/>
              <w:spacing w:line="460" w:lineRule="exact"/>
              <w:ind w:firstLine="480" w:firstLineChars="200"/>
              <w:jc w:val="left"/>
              <w:textAlignment w:val="auto"/>
              <w:rPr>
                <w:rFonts w:hint="eastAsia"/>
                <w:lang w:val="en-US" w:eastAsia="zh-CN"/>
              </w:rPr>
            </w:pPr>
            <w:r>
              <w:rPr>
                <w:rFonts w:hint="eastAsia"/>
                <w:lang w:val="en-US" w:eastAsia="zh-CN"/>
              </w:rPr>
              <w:t>粉碎：使用粉碎机将干燥的中药药材进行粉碎，该过程会产生G4-1粉碎粉尘。</w:t>
            </w:r>
          </w:p>
          <w:p w14:paraId="5E101148">
            <w:pPr>
              <w:keepNext w:val="0"/>
              <w:keepLines w:val="0"/>
              <w:pageBreakBefore w:val="0"/>
              <w:widowControl w:val="0"/>
              <w:numPr>
                <w:ilvl w:val="0"/>
                <w:numId w:val="15"/>
              </w:numPr>
              <w:kinsoku/>
              <w:wordWrap/>
              <w:overflowPunct/>
              <w:topLinePunct w:val="0"/>
              <w:autoSpaceDE/>
              <w:autoSpaceDN/>
              <w:bidi w:val="0"/>
              <w:adjustRightInd/>
              <w:snapToGrid/>
              <w:spacing w:line="460" w:lineRule="exact"/>
              <w:ind w:firstLine="480" w:firstLineChars="200"/>
              <w:jc w:val="left"/>
              <w:textAlignment w:val="auto"/>
              <w:rPr>
                <w:rFonts w:hint="default"/>
                <w:lang w:val="en-US" w:eastAsia="zh-CN"/>
              </w:rPr>
            </w:pPr>
            <w:r>
              <w:rPr>
                <w:rFonts w:hint="eastAsia"/>
                <w:lang w:val="en-US" w:eastAsia="zh-CN"/>
              </w:rPr>
              <w:t>回流提取：粉碎后的药材进行回流提取，药材</w:t>
            </w:r>
            <w:r>
              <w:rPr>
                <w:rFonts w:hint="eastAsia"/>
                <w:b w:val="0"/>
                <w:bCs w:val="0"/>
                <w:color w:val="auto"/>
                <w:sz w:val="24"/>
                <w:highlight w:val="none"/>
                <w:lang w:val="en-US" w:eastAsia="zh-CN"/>
              </w:rPr>
              <w:t>与80%乙醇放入圆底烧瓶，</w:t>
            </w:r>
            <w:r>
              <w:rPr>
                <w:rFonts w:hint="eastAsia"/>
                <w:lang w:val="en-US" w:eastAsia="zh-CN"/>
              </w:rPr>
              <w:t>料液比1:8（药材:80%乙醇），水浴温度80℃±2℃，</w:t>
            </w:r>
            <w:r>
              <w:rPr>
                <w:rFonts w:hint="eastAsia"/>
                <w:b w:val="0"/>
                <w:bCs w:val="0"/>
                <w:color w:val="auto"/>
                <w:sz w:val="24"/>
                <w:highlight w:val="none"/>
                <w:lang w:val="en-US" w:eastAsia="zh-CN"/>
              </w:rPr>
              <w:t>溶剂沸腾后蒸汽上升至冷凝管，冷凝液稳定回流。提取时间1-2h，时间结束后将圆底烧瓶移出水浴锅，自然冷却后拆除装置。</w:t>
            </w:r>
            <w:r>
              <w:rPr>
                <w:rFonts w:hint="eastAsia"/>
                <w:lang w:val="en-US" w:eastAsia="zh-CN"/>
              </w:rPr>
              <w:t>重复提取2次。实验过程中会消耗部分一次性实验用品，用后产生废实验用品；实验结束后会留下废样品等废料；对实验仪器及器皿进行清洗时，首次清洗会产生废液，后续清洗会产生废水；挥发性试剂会挥发废气，未用尽的化学试剂会产生废液；水浴锅会产生实验设备废水。综上此过程会产生G4-2试剂挥发废气、S4-1废液及废料、S4-2废实验用品、W4-1仪器及器皿后续清洗废水、W4-2实验设备废水。</w:t>
            </w:r>
          </w:p>
          <w:p w14:paraId="142D23EC">
            <w:pPr>
              <w:keepNext w:val="0"/>
              <w:keepLines w:val="0"/>
              <w:pageBreakBefore w:val="0"/>
              <w:widowControl w:val="0"/>
              <w:numPr>
                <w:ilvl w:val="0"/>
                <w:numId w:val="15"/>
              </w:numPr>
              <w:kinsoku/>
              <w:wordWrap/>
              <w:overflowPunct/>
              <w:topLinePunct w:val="0"/>
              <w:autoSpaceDE/>
              <w:autoSpaceDN/>
              <w:bidi w:val="0"/>
              <w:adjustRightInd/>
              <w:snapToGrid/>
              <w:spacing w:line="460" w:lineRule="exact"/>
              <w:ind w:firstLine="480" w:firstLineChars="200"/>
              <w:jc w:val="left"/>
              <w:textAlignment w:val="auto"/>
              <w:rPr>
                <w:rFonts w:hint="default"/>
                <w:lang w:val="en-US" w:eastAsia="zh-CN"/>
              </w:rPr>
            </w:pPr>
            <w:r>
              <w:rPr>
                <w:rFonts w:hint="eastAsia"/>
                <w:lang w:val="en-US" w:eastAsia="zh-CN"/>
              </w:rPr>
              <w:t>过滤浓缩：粗滤：提取液用200目筛网过滤。精滤：抽滤（0.45μm微孔滤膜）去除细小颗粒。浓缩：旋转蒸发仪（60℃、-0.08MPa）至相对密度1.10~1.15（60℃测）。实验过程中会消耗部分一次性实验用品，用后产生废实验用品；实验结束后会留下废样品、过滤废渣等废料；对实验仪器及器皿进行清洗时，首次清洗会产生废液，后续清洗会产生废水；挥发性试剂会挥发废气，未用尽的化学试剂会产生废液。综上此过程会产生G4-2试剂挥发废气、S4-1废液及废料、S4-2废实验用品、W4-1仪器及器皿后续清洗废水、W4-2实验设备废水。</w:t>
            </w:r>
          </w:p>
          <w:p w14:paraId="485F789B">
            <w:pPr>
              <w:keepNext w:val="0"/>
              <w:keepLines w:val="0"/>
              <w:pageBreakBefore w:val="0"/>
              <w:widowControl w:val="0"/>
              <w:numPr>
                <w:ilvl w:val="0"/>
                <w:numId w:val="15"/>
              </w:numPr>
              <w:kinsoku/>
              <w:wordWrap/>
              <w:overflowPunct/>
              <w:topLinePunct w:val="0"/>
              <w:autoSpaceDE/>
              <w:autoSpaceDN/>
              <w:bidi w:val="0"/>
              <w:adjustRightInd/>
              <w:snapToGrid/>
              <w:spacing w:line="460" w:lineRule="exact"/>
              <w:ind w:firstLine="480" w:firstLineChars="200"/>
              <w:jc w:val="left"/>
              <w:textAlignment w:val="auto"/>
              <w:rPr>
                <w:rFonts w:hint="default"/>
                <w:lang w:val="en-US" w:eastAsia="zh-CN"/>
              </w:rPr>
            </w:pPr>
            <w:r>
              <w:rPr>
                <w:rFonts w:hint="eastAsia"/>
                <w:lang w:val="en-US" w:eastAsia="zh-CN"/>
              </w:rPr>
              <w:t>干燥制浸膏粉：将浓缩后的样本进行真空干燥，得到干燥块状固体，使用研钵研磨成粉。</w:t>
            </w:r>
          </w:p>
          <w:p w14:paraId="19FA6A4E">
            <w:pPr>
              <w:keepNext w:val="0"/>
              <w:keepLines w:val="0"/>
              <w:pageBreakBefore w:val="0"/>
              <w:widowControl w:val="0"/>
              <w:numPr>
                <w:ilvl w:val="0"/>
                <w:numId w:val="15"/>
              </w:numPr>
              <w:kinsoku/>
              <w:wordWrap/>
              <w:overflowPunct/>
              <w:topLinePunct w:val="0"/>
              <w:autoSpaceDE/>
              <w:autoSpaceDN/>
              <w:bidi w:val="0"/>
              <w:adjustRightInd/>
              <w:snapToGrid/>
              <w:spacing w:line="460" w:lineRule="exact"/>
              <w:ind w:firstLine="480" w:firstLineChars="200"/>
              <w:jc w:val="left"/>
              <w:textAlignment w:val="auto"/>
              <w:rPr>
                <w:rFonts w:hint="eastAsia" w:ascii="Times New Roman" w:hAnsi="Times New Roman"/>
                <w:b/>
                <w:bCs/>
                <w:color w:val="auto"/>
                <w:sz w:val="24"/>
                <w:highlight w:val="none"/>
                <w:lang w:eastAsia="zh-CN"/>
              </w:rPr>
            </w:pPr>
            <w:r>
              <w:rPr>
                <w:rFonts w:hint="eastAsia"/>
                <w:lang w:val="en-US" w:eastAsia="zh-CN"/>
              </w:rPr>
              <w:t>凝胶制备：浸膏粉与卡波姆、水、甘油、尼泊金乙酯、三乙醇胺进行物理混合得到金黄凝胶。</w:t>
            </w:r>
          </w:p>
          <w:p w14:paraId="72D0144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lang w:val="en-US" w:eastAsia="zh-CN"/>
              </w:rPr>
            </w:pPr>
            <w:r>
              <w:rPr>
                <w:rFonts w:hint="eastAsia"/>
                <w:b/>
                <w:bCs/>
                <w:lang w:val="en-US" w:eastAsia="zh-CN"/>
              </w:rPr>
              <w:t>（5）研发工艺流程（五）</w:t>
            </w:r>
          </w:p>
          <w:p w14:paraId="5231B130">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jc w:val="left"/>
              <w:textAlignment w:val="auto"/>
              <w:rPr>
                <w:rFonts w:hint="eastAsia"/>
                <w:lang w:val="en-US" w:eastAsia="zh-CN"/>
              </w:rPr>
            </w:pPr>
            <w:r>
              <w:rPr>
                <w:rFonts w:hint="eastAsia"/>
                <w:lang w:val="en-US" w:eastAsia="zh-CN"/>
              </w:rPr>
              <w:t>针对天然产物结构修饰的研发工艺流程如下：</w:t>
            </w:r>
          </w:p>
          <w:p w14:paraId="2BA4BB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drawing>
                <wp:inline distT="0" distB="0" distL="114300" distR="114300">
                  <wp:extent cx="3227705" cy="2160270"/>
                  <wp:effectExtent l="0" t="0" r="10795" b="11430"/>
                  <wp:docPr id="3" name="ECB019B1-382A-4266-B25C-5B523AA43C14-9" descr="C:/Users/PC/AppData/Local/Temp/wps.SGzyy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9" descr="C:/Users/PC/AppData/Local/Temp/wps.SGzyyUwps"/>
                          <pic:cNvPicPr>
                            <a:picLocks noChangeAspect="1"/>
                          </pic:cNvPicPr>
                        </pic:nvPicPr>
                        <pic:blipFill>
                          <a:blip r:embed="rId22"/>
                          <a:srcRect l="4190" t="6223" r="4114" b="6014"/>
                          <a:stretch>
                            <a:fillRect/>
                          </a:stretch>
                        </pic:blipFill>
                        <pic:spPr>
                          <a:xfrm>
                            <a:off x="0" y="0"/>
                            <a:ext cx="3227705" cy="2160270"/>
                          </a:xfrm>
                          <a:prstGeom prst="rect">
                            <a:avLst/>
                          </a:prstGeom>
                        </pic:spPr>
                      </pic:pic>
                    </a:graphicData>
                  </a:graphic>
                </wp:inline>
              </w:drawing>
            </w:r>
          </w:p>
          <w:p w14:paraId="6CD7BF90">
            <w:pPr>
              <w:pStyle w:val="20"/>
              <w:bidi w:val="0"/>
              <w:rPr>
                <w:rFonts w:hint="eastAsia"/>
                <w:lang w:eastAsia="zh-CN"/>
              </w:rPr>
            </w:pPr>
            <w:r>
              <w:rPr>
                <w:rFonts w:hint="eastAsia"/>
                <w:lang w:val="en-US" w:eastAsia="zh-CN"/>
              </w:rPr>
              <w:t>研发工艺流程及产污节点图（五）</w:t>
            </w:r>
          </w:p>
          <w:p w14:paraId="631F2FB9">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left"/>
              <w:textAlignment w:val="auto"/>
              <w:rPr>
                <w:rFonts w:hint="default" w:eastAsia="宋体"/>
                <w:lang w:val="en-US" w:eastAsia="zh-CN"/>
              </w:rPr>
            </w:pPr>
            <w:r>
              <w:rPr>
                <w:rFonts w:hint="eastAsia"/>
                <w:lang w:val="en-US" w:eastAsia="zh-CN"/>
              </w:rPr>
              <w:t>1）</w:t>
            </w:r>
            <w:r>
              <w:rPr>
                <w:rFonts w:hint="eastAsia"/>
              </w:rPr>
              <w:t>投反应：</w:t>
            </w:r>
            <w:r>
              <w:rPr>
                <w:rFonts w:hint="eastAsia"/>
                <w:lang w:val="en-US" w:eastAsia="zh-CN"/>
              </w:rPr>
              <w:t>在</w:t>
            </w:r>
            <w:r>
              <w:rPr>
                <w:rFonts w:hint="eastAsia"/>
              </w:rPr>
              <w:t>天然产物（黄酮、生物碱</w:t>
            </w:r>
            <w:r>
              <w:rPr>
                <w:rFonts w:hint="eastAsia"/>
                <w:lang w:val="en-US" w:eastAsia="zh-CN"/>
              </w:rPr>
              <w:t>等</w:t>
            </w:r>
            <w:r>
              <w:rPr>
                <w:rFonts w:hint="eastAsia"/>
              </w:rPr>
              <w:t>）</w:t>
            </w:r>
            <w:r>
              <w:rPr>
                <w:rFonts w:hint="eastAsia"/>
                <w:lang w:val="en-US" w:eastAsia="zh-CN"/>
              </w:rPr>
              <w:t>中</w:t>
            </w:r>
            <w:r>
              <w:rPr>
                <w:rFonts w:hint="eastAsia"/>
              </w:rPr>
              <w:t>加入反应溶剂（N,N-二甲基甲酰胺、二甲基亚砜、甲醇等）。</w:t>
            </w:r>
            <w:r>
              <w:rPr>
                <w:rFonts w:hint="eastAsia"/>
                <w:lang w:val="en-US" w:eastAsia="zh-CN"/>
              </w:rPr>
              <w:t>全封闭式通风橱中通入惰性气体保护，采用磁力搅拌进行反应。</w:t>
            </w:r>
          </w:p>
          <w:p w14:paraId="726137CB">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jc w:val="left"/>
              <w:textAlignment w:val="auto"/>
              <w:rPr>
                <w:rFonts w:hint="eastAsia" w:eastAsia="宋体"/>
                <w:lang w:eastAsia="zh-CN"/>
              </w:rPr>
            </w:pPr>
            <w:r>
              <w:rPr>
                <w:rFonts w:hint="eastAsia"/>
                <w:lang w:val="en-US" w:eastAsia="zh-CN"/>
              </w:rPr>
              <w:t>2）</w:t>
            </w:r>
            <w:r>
              <w:rPr>
                <w:rFonts w:hint="eastAsia"/>
              </w:rPr>
              <w:t>反应监测：</w:t>
            </w:r>
            <w:r>
              <w:rPr>
                <w:rFonts w:hint="eastAsia"/>
                <w:lang w:val="en-US" w:eastAsia="zh-CN"/>
              </w:rPr>
              <w:t>定时</w:t>
            </w:r>
            <w:r>
              <w:rPr>
                <w:rFonts w:hint="eastAsia"/>
              </w:rPr>
              <w:t>取少量反应液，进行TLC</w:t>
            </w:r>
            <w:r>
              <w:rPr>
                <w:rFonts w:hint="eastAsia"/>
                <w:lang w:eastAsia="zh-CN"/>
              </w:rPr>
              <w:t>（薄层色谱法）</w:t>
            </w:r>
            <w:r>
              <w:rPr>
                <w:rFonts w:hint="eastAsia"/>
              </w:rPr>
              <w:t>或LC-MS</w:t>
            </w:r>
            <w:r>
              <w:rPr>
                <w:rFonts w:hint="eastAsia"/>
                <w:lang w:eastAsia="zh-CN"/>
              </w:rPr>
              <w:t>（液相色谱仪-质谱仪）</w:t>
            </w:r>
            <w:r>
              <w:rPr>
                <w:rFonts w:hint="eastAsia"/>
              </w:rPr>
              <w:t>监测，</w:t>
            </w:r>
            <w:r>
              <w:rPr>
                <w:rFonts w:hint="eastAsia"/>
                <w:lang w:val="en-US" w:eastAsia="zh-CN"/>
              </w:rPr>
              <w:t>使用乙腈、二氯甲烷、甲醇等作为流动相，</w:t>
            </w:r>
            <w:r>
              <w:rPr>
                <w:rFonts w:hint="eastAsia"/>
              </w:rPr>
              <w:t>确定反应的进展和相关产物和杂质的生成</w:t>
            </w:r>
            <w:r>
              <w:rPr>
                <w:rFonts w:hint="eastAsia"/>
                <w:lang w:eastAsia="zh-CN"/>
              </w:rPr>
              <w:t>。</w:t>
            </w:r>
          </w:p>
          <w:p w14:paraId="7747ECD0">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jc w:val="left"/>
              <w:textAlignment w:val="auto"/>
              <w:rPr>
                <w:rFonts w:hint="eastAsia"/>
              </w:rPr>
            </w:pPr>
            <w:r>
              <w:rPr>
                <w:rFonts w:hint="eastAsia"/>
                <w:lang w:val="en-US" w:eastAsia="zh-CN"/>
              </w:rPr>
              <w:t>3）</w:t>
            </w:r>
            <w:r>
              <w:rPr>
                <w:rFonts w:hint="eastAsia"/>
              </w:rPr>
              <w:t>后处理及纯化：</w:t>
            </w:r>
            <w:r>
              <w:rPr>
                <w:rFonts w:hint="eastAsia"/>
                <w:lang w:val="en-US" w:eastAsia="zh-CN"/>
              </w:rPr>
              <w:t>反应结束后</w:t>
            </w:r>
            <w:r>
              <w:rPr>
                <w:rFonts w:hint="eastAsia"/>
              </w:rPr>
              <w:t>加入有机溶剂</w:t>
            </w:r>
            <w:r>
              <w:rPr>
                <w:rFonts w:hint="eastAsia"/>
                <w:lang w:eastAsia="zh-CN"/>
              </w:rPr>
              <w:t>（</w:t>
            </w:r>
            <w:r>
              <w:rPr>
                <w:rFonts w:hint="eastAsia"/>
                <w:lang w:val="en-US" w:eastAsia="zh-CN"/>
              </w:rPr>
              <w:t>乙酸乙酯、二氯甲烷</w:t>
            </w:r>
            <w:r>
              <w:rPr>
                <w:rFonts w:hint="eastAsia"/>
                <w:lang w:eastAsia="zh-CN"/>
              </w:rPr>
              <w:t>）</w:t>
            </w:r>
            <w:r>
              <w:rPr>
                <w:rFonts w:hint="eastAsia"/>
              </w:rPr>
              <w:t>进行多次萃取，</w:t>
            </w:r>
            <w:r>
              <w:rPr>
                <w:rFonts w:hint="eastAsia"/>
                <w:lang w:val="en-US" w:eastAsia="zh-CN"/>
              </w:rPr>
              <w:t>提取目标产物。使用旋转蒸发仪进行减压浓缩，</w:t>
            </w:r>
            <w:r>
              <w:rPr>
                <w:rFonts w:hint="eastAsia"/>
                <w:b w:val="0"/>
                <w:bCs w:val="0"/>
                <w:color w:val="auto"/>
                <w:sz w:val="24"/>
                <w:highlight w:val="none"/>
                <w:lang w:val="en-US" w:eastAsia="zh-CN"/>
              </w:rPr>
              <w:t>将分离的样品溶于二氯甲烷进行过柱纯化，</w:t>
            </w:r>
            <w:r>
              <w:rPr>
                <w:rFonts w:hint="eastAsia"/>
                <w:lang w:val="en-US" w:eastAsia="zh-CN"/>
              </w:rPr>
              <w:t>利用层析柱进行进一步纯化。</w:t>
            </w:r>
          </w:p>
          <w:p w14:paraId="5ED166A0">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jc w:val="left"/>
              <w:textAlignment w:val="auto"/>
              <w:rPr>
                <w:rFonts w:hint="eastAsia"/>
              </w:rPr>
            </w:pPr>
            <w:r>
              <w:rPr>
                <w:rFonts w:hint="eastAsia"/>
                <w:lang w:val="en-US" w:eastAsia="zh-CN"/>
              </w:rPr>
              <w:t>4）</w:t>
            </w:r>
            <w:r>
              <w:rPr>
                <w:rFonts w:hint="eastAsia"/>
              </w:rPr>
              <w:t>化合物结构确证：运用LC-MS</w:t>
            </w:r>
            <w:r>
              <w:rPr>
                <w:rFonts w:hint="eastAsia"/>
                <w:lang w:eastAsia="zh-CN"/>
              </w:rPr>
              <w:t>（液相色谱仪-质谱仪）</w:t>
            </w:r>
            <w:r>
              <w:rPr>
                <w:rFonts w:hint="eastAsia"/>
              </w:rPr>
              <w:t>、NMR</w:t>
            </w:r>
            <w:r>
              <w:rPr>
                <w:rFonts w:hint="eastAsia"/>
                <w:lang w:eastAsia="zh-CN"/>
              </w:rPr>
              <w:t>（</w:t>
            </w:r>
            <w:r>
              <w:rPr>
                <w:rFonts w:hint="eastAsia"/>
                <w:lang w:val="en-US" w:eastAsia="zh-CN"/>
              </w:rPr>
              <w:t>核磁共振谱法</w:t>
            </w:r>
            <w:r>
              <w:rPr>
                <w:rFonts w:hint="eastAsia"/>
                <w:lang w:eastAsia="zh-CN"/>
              </w:rPr>
              <w:t>）</w:t>
            </w:r>
            <w:r>
              <w:rPr>
                <w:rFonts w:hint="eastAsia"/>
              </w:rPr>
              <w:t>和HPLC</w:t>
            </w:r>
            <w:r>
              <w:rPr>
                <w:rFonts w:hint="eastAsia"/>
                <w:lang w:eastAsia="zh-CN"/>
              </w:rPr>
              <w:t>（</w:t>
            </w:r>
            <w:r>
              <w:rPr>
                <w:rFonts w:hint="eastAsia"/>
                <w:lang w:val="en-US" w:eastAsia="zh-CN"/>
              </w:rPr>
              <w:t>高效液相色谱法</w:t>
            </w:r>
            <w:r>
              <w:rPr>
                <w:rFonts w:hint="eastAsia"/>
                <w:lang w:eastAsia="zh-CN"/>
              </w:rPr>
              <w:t>）</w:t>
            </w:r>
            <w:r>
              <w:rPr>
                <w:rFonts w:hint="eastAsia"/>
              </w:rPr>
              <w:t>对分离出的化合物结构以及纯度进行确认</w:t>
            </w:r>
            <w:r>
              <w:rPr>
                <w:rFonts w:hint="eastAsia"/>
                <w:lang w:eastAsia="zh-CN"/>
              </w:rPr>
              <w:t>，</w:t>
            </w:r>
            <w:r>
              <w:rPr>
                <w:rFonts w:hint="eastAsia"/>
                <w:lang w:val="en-US" w:eastAsia="zh-CN"/>
              </w:rPr>
              <w:t>使用乙腈、二氯甲烷、甲醇等作为流动相</w:t>
            </w:r>
            <w:r>
              <w:rPr>
                <w:rFonts w:hint="eastAsia"/>
              </w:rPr>
              <w:t>。</w:t>
            </w:r>
          </w:p>
          <w:p w14:paraId="47D2165C">
            <w:pPr>
              <w:keepNext w:val="0"/>
              <w:keepLines w:val="0"/>
              <w:pageBreakBefore w:val="0"/>
              <w:widowControl w:val="0"/>
              <w:kinsoku/>
              <w:wordWrap/>
              <w:overflowPunct/>
              <w:topLinePunct w:val="0"/>
              <w:autoSpaceDE/>
              <w:autoSpaceDN/>
              <w:bidi w:val="0"/>
              <w:adjustRightInd/>
              <w:snapToGrid/>
              <w:spacing w:line="460" w:lineRule="exact"/>
              <w:ind w:left="0" w:firstLine="482" w:firstLineChars="200"/>
              <w:jc w:val="left"/>
              <w:textAlignment w:val="auto"/>
              <w:rPr>
                <w:rFonts w:hint="eastAsia"/>
                <w:lang w:eastAsia="zh-CN"/>
              </w:rPr>
            </w:pPr>
            <w:r>
              <w:rPr>
                <w:rFonts w:hint="eastAsia"/>
                <w:b/>
                <w:bCs/>
                <w:lang w:val="en-US" w:eastAsia="zh-CN"/>
              </w:rPr>
              <w:t>产污情况：</w:t>
            </w:r>
            <w:r>
              <w:rPr>
                <w:rFonts w:hint="eastAsia"/>
                <w:lang w:val="en-US" w:eastAsia="zh-CN"/>
              </w:rPr>
              <w:t>实验过程中会消耗部分一次性实验用品，用后产生废实验用品；实验结束后会留下废样品等废料；对实验仪器及器皿进行清洗时，首次清洗会产生废液，后续清洗会产生废水；使用挥发性试剂会挥发废气，未用尽的化学试剂会产生废液。综上此过程会产生G5-1试剂挥发废气、S5-1废液及废料、S5-2废实验用品、W5-1仪器及器皿后续清洗废水。</w:t>
            </w:r>
          </w:p>
          <w:p w14:paraId="77CBE6A0">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lang w:val="en-US" w:eastAsia="zh-CN"/>
              </w:rPr>
            </w:pPr>
            <w:r>
              <w:rPr>
                <w:rFonts w:hint="eastAsia"/>
                <w:b/>
                <w:bCs/>
                <w:lang w:val="en-US" w:eastAsia="zh-CN"/>
              </w:rPr>
              <w:t>（6）研发工艺流程（六）</w:t>
            </w:r>
          </w:p>
          <w:p w14:paraId="02D680F7">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jc w:val="left"/>
              <w:textAlignment w:val="auto"/>
              <w:rPr>
                <w:rFonts w:hint="eastAsia"/>
                <w:lang w:val="en-US" w:eastAsia="zh-CN"/>
              </w:rPr>
            </w:pPr>
            <w:r>
              <w:rPr>
                <w:rFonts w:hint="eastAsia"/>
                <w:lang w:val="en-US" w:eastAsia="zh-CN"/>
              </w:rPr>
              <w:t>针对七味通痹口服液药物代谢实验的研发工艺流程如下：</w:t>
            </w:r>
          </w:p>
          <w:p w14:paraId="22F33F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drawing>
                <wp:inline distT="0" distB="0" distL="114300" distR="114300">
                  <wp:extent cx="3641725" cy="2879725"/>
                  <wp:effectExtent l="0" t="0" r="15875" b="0"/>
                  <wp:docPr id="4" name="ECB019B1-382A-4266-B25C-5B523AA43C14-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0" descr="wps"/>
                          <pic:cNvPicPr>
                            <a:picLocks noChangeAspect="1"/>
                          </pic:cNvPicPr>
                        </pic:nvPicPr>
                        <pic:blipFill>
                          <a:blip r:embed="rId23"/>
                          <a:srcRect l="4711" t="4534" r="5142" b="3252"/>
                          <a:stretch>
                            <a:fillRect/>
                          </a:stretch>
                        </pic:blipFill>
                        <pic:spPr>
                          <a:xfrm>
                            <a:off x="0" y="0"/>
                            <a:ext cx="3641725" cy="2879725"/>
                          </a:xfrm>
                          <a:prstGeom prst="rect">
                            <a:avLst/>
                          </a:prstGeom>
                        </pic:spPr>
                      </pic:pic>
                    </a:graphicData>
                  </a:graphic>
                </wp:inline>
              </w:drawing>
            </w:r>
          </w:p>
          <w:p w14:paraId="06390F16">
            <w:pPr>
              <w:pStyle w:val="20"/>
              <w:bidi w:val="0"/>
              <w:rPr>
                <w:rFonts w:hint="eastAsia"/>
                <w:lang w:eastAsia="zh-CN"/>
              </w:rPr>
            </w:pPr>
            <w:r>
              <w:rPr>
                <w:rFonts w:hint="eastAsia"/>
                <w:lang w:val="en-US" w:eastAsia="zh-CN"/>
              </w:rPr>
              <w:t>研发工艺流程及产污节点图（六）</w:t>
            </w:r>
          </w:p>
          <w:p w14:paraId="20FCC9DB">
            <w:pPr>
              <w:keepNext w:val="0"/>
              <w:keepLines w:val="0"/>
              <w:pageBreakBefore w:val="0"/>
              <w:widowControl w:val="0"/>
              <w:numPr>
                <w:ilvl w:val="0"/>
                <w:numId w:val="16"/>
              </w:numPr>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血浆取样：准确量取100µL给药后血浆（不同时间点：0.5h/1h/2h/4h/8h/12h/24h）置于EP管</w:t>
            </w:r>
            <w:r>
              <w:rPr>
                <w:rFonts w:hint="eastAsia"/>
                <w:lang w:val="en-US" w:eastAsia="zh-CN"/>
              </w:rPr>
              <w:t>中。</w:t>
            </w:r>
          </w:p>
          <w:p w14:paraId="0F6A028C">
            <w:pPr>
              <w:keepNext w:val="0"/>
              <w:keepLines w:val="0"/>
              <w:pageBreakBefore w:val="0"/>
              <w:widowControl w:val="0"/>
              <w:numPr>
                <w:ilvl w:val="0"/>
                <w:numId w:val="16"/>
              </w:numPr>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内标添加：加入10μL同位素标记内标溶液，涡旋混合30s（设置阴性对照不加内标）。</w:t>
            </w:r>
          </w:p>
          <w:p w14:paraId="422CAE36">
            <w:pPr>
              <w:keepNext w:val="0"/>
              <w:keepLines w:val="0"/>
              <w:pageBreakBefore w:val="0"/>
              <w:widowControl w:val="0"/>
              <w:numPr>
                <w:ilvl w:val="0"/>
                <w:numId w:val="16"/>
              </w:numPr>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蛋白沉淀：加入300µL预冷甲醇（色谱级）涡旋振荡2min（需验证最佳沉淀时间），冰浴静置10min（</w:t>
            </w:r>
            <w:r>
              <w:rPr>
                <w:rFonts w:hint="eastAsia"/>
                <w:lang w:val="en-US" w:eastAsia="zh-CN"/>
              </w:rPr>
              <w:t>水温15-20℃</w:t>
            </w:r>
            <w:r>
              <w:rPr>
                <w:rFonts w:hint="eastAsia"/>
                <w:lang w:eastAsia="zh-CN"/>
              </w:rPr>
              <w:t>）增强蛋白沉淀效果。</w:t>
            </w:r>
          </w:p>
          <w:p w14:paraId="302BD061">
            <w:pPr>
              <w:keepNext w:val="0"/>
              <w:keepLines w:val="0"/>
              <w:pageBreakBefore w:val="0"/>
              <w:widowControl w:val="0"/>
              <w:numPr>
                <w:ilvl w:val="0"/>
                <w:numId w:val="16"/>
              </w:numPr>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离心分离：低温离心机预冷至4℃，14000rpm离心10min，取</w:t>
            </w:r>
            <w:r>
              <w:rPr>
                <w:rFonts w:hint="eastAsia"/>
                <w:lang w:val="en-US" w:eastAsia="zh-CN"/>
              </w:rPr>
              <w:t>出</w:t>
            </w:r>
            <w:r>
              <w:rPr>
                <w:rFonts w:hint="eastAsia"/>
                <w:lang w:eastAsia="zh-CN"/>
              </w:rPr>
              <w:t>上清，</w:t>
            </w:r>
            <w:r>
              <w:rPr>
                <w:rFonts w:hint="eastAsia"/>
                <w:lang w:val="en-US" w:eastAsia="zh-CN"/>
              </w:rPr>
              <w:t>取出</w:t>
            </w:r>
            <w:r>
              <w:rPr>
                <w:rFonts w:hint="eastAsia"/>
                <w:lang w:eastAsia="zh-CN"/>
              </w:rPr>
              <w:t>时避免触碰沉淀层。</w:t>
            </w:r>
          </w:p>
          <w:p w14:paraId="43C022E3">
            <w:pPr>
              <w:keepNext w:val="0"/>
              <w:keepLines w:val="0"/>
              <w:pageBreakBefore w:val="0"/>
              <w:widowControl w:val="0"/>
              <w:numPr>
                <w:ilvl w:val="0"/>
                <w:numId w:val="16"/>
              </w:numPr>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LC-MS分析：运用LC-MS（液相色谱仪-质谱仪）对分离出的</w:t>
            </w:r>
            <w:r>
              <w:rPr>
                <w:rFonts w:hint="eastAsia"/>
                <w:lang w:val="en-US" w:eastAsia="zh-CN"/>
              </w:rPr>
              <w:t>上清液成分</w:t>
            </w:r>
            <w:r>
              <w:rPr>
                <w:rFonts w:hint="eastAsia"/>
                <w:lang w:eastAsia="zh-CN"/>
              </w:rPr>
              <w:t>以及纯度进行确认，</w:t>
            </w:r>
            <w:r>
              <w:rPr>
                <w:rFonts w:hint="eastAsia"/>
                <w:lang w:val="en-US" w:eastAsia="zh-CN"/>
              </w:rPr>
              <w:t>使用乙腈、二氯甲烷、甲醇等作为流动相</w:t>
            </w:r>
            <w:r>
              <w:rPr>
                <w:rFonts w:hint="eastAsia"/>
                <w:lang w:eastAsia="zh-CN"/>
              </w:rPr>
              <w:t>。</w:t>
            </w:r>
          </w:p>
          <w:p w14:paraId="7B14F4A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lang w:eastAsia="zh-CN"/>
              </w:rPr>
            </w:pPr>
            <w:r>
              <w:rPr>
                <w:rFonts w:hint="eastAsia"/>
                <w:b/>
                <w:bCs/>
                <w:lang w:val="en-US" w:eastAsia="zh-CN"/>
              </w:rPr>
              <w:t>产污情况：</w:t>
            </w:r>
            <w:r>
              <w:rPr>
                <w:rFonts w:hint="eastAsia"/>
                <w:lang w:val="en-US" w:eastAsia="zh-CN"/>
              </w:rPr>
              <w:t>实验过程中会消耗部分一次性实验用品，用后产生废实验用品；实验结束后会留下废样品等废料；对实验仪器及器皿进行清洗时，首次清洗会产生废液，后续清洗会产生废水；使用挥发性试剂会挥发废气，未用尽的化学试剂会产生废液。综上此过程会产生G6-1试剂挥发废气、S6-1废液及废料、S6-2废实验用品、W6-1仪器及器皿后续清洗废水。</w:t>
            </w:r>
          </w:p>
          <w:p w14:paraId="7151FB7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lang w:val="en-US" w:eastAsia="zh-CN"/>
              </w:rPr>
            </w:pPr>
            <w:r>
              <w:rPr>
                <w:rFonts w:hint="eastAsia"/>
                <w:b/>
                <w:bCs/>
                <w:lang w:val="en-US" w:eastAsia="zh-CN"/>
              </w:rPr>
              <w:t>（7）研发工艺流程（七）</w:t>
            </w:r>
          </w:p>
          <w:p w14:paraId="6A6C4EDE">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jc w:val="left"/>
              <w:textAlignment w:val="auto"/>
              <w:rPr>
                <w:rFonts w:hint="eastAsia"/>
                <w:lang w:val="en-US" w:eastAsia="zh-CN"/>
              </w:rPr>
            </w:pPr>
            <w:r>
              <w:rPr>
                <w:rFonts w:hint="eastAsia"/>
                <w:lang w:val="en-US" w:eastAsia="zh-CN"/>
              </w:rPr>
              <w:t>针对玉女煎成分分析的研发工艺流程如下：</w:t>
            </w:r>
          </w:p>
          <w:p w14:paraId="11EB1B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drawing>
                <wp:inline distT="0" distB="0" distL="114300" distR="114300">
                  <wp:extent cx="3756025" cy="2879725"/>
                  <wp:effectExtent l="0" t="0" r="15875" b="0"/>
                  <wp:docPr id="8" name="ECB019B1-382A-4266-B25C-5B523AA43C14-11" descr="C:/Users/PC/AppData/Local/Temp/wps.yuRKc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11" descr="C:/Users/PC/AppData/Local/Temp/wps.yuRKcFwps"/>
                          <pic:cNvPicPr>
                            <a:picLocks noChangeAspect="1"/>
                          </pic:cNvPicPr>
                        </pic:nvPicPr>
                        <pic:blipFill>
                          <a:blip r:embed="rId24"/>
                          <a:srcRect l="5741" t="5893" r="4763" b="4185"/>
                          <a:stretch>
                            <a:fillRect/>
                          </a:stretch>
                        </pic:blipFill>
                        <pic:spPr>
                          <a:xfrm>
                            <a:off x="0" y="0"/>
                            <a:ext cx="3756025" cy="2879725"/>
                          </a:xfrm>
                          <a:prstGeom prst="rect">
                            <a:avLst/>
                          </a:prstGeom>
                        </pic:spPr>
                      </pic:pic>
                    </a:graphicData>
                  </a:graphic>
                </wp:inline>
              </w:drawing>
            </w:r>
          </w:p>
          <w:p w14:paraId="0720349F">
            <w:pPr>
              <w:pStyle w:val="20"/>
              <w:bidi w:val="0"/>
              <w:rPr>
                <w:rFonts w:hint="eastAsia"/>
                <w:lang w:eastAsia="zh-CN"/>
              </w:rPr>
            </w:pPr>
            <w:r>
              <w:rPr>
                <w:rFonts w:hint="eastAsia"/>
                <w:lang w:val="en-US" w:eastAsia="zh-CN"/>
              </w:rPr>
              <w:t>研发工艺流程及产污节点图（七）</w:t>
            </w:r>
          </w:p>
          <w:p w14:paraId="2EB27CC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1）</w:t>
            </w:r>
            <w:r>
              <w:rPr>
                <w:rFonts w:hint="eastAsia"/>
                <w:lang w:val="en-US" w:eastAsia="zh-CN"/>
              </w:rPr>
              <w:t>取样</w:t>
            </w:r>
            <w:r>
              <w:rPr>
                <w:rFonts w:hint="eastAsia"/>
                <w:lang w:eastAsia="zh-CN"/>
              </w:rPr>
              <w:t>：精密称取牛膝药材1.0g，置于50mL锥形瓶中。</w:t>
            </w:r>
          </w:p>
          <w:p w14:paraId="154CC35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2）超声处理：加入20mL50%甲醇水溶液，超声提取1h（功率250W，频率40kHz）。</w:t>
            </w:r>
          </w:p>
          <w:p w14:paraId="6283B4F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3）过滤蒸干：用快速滤纸过滤，</w:t>
            </w:r>
            <w:r>
              <w:rPr>
                <w:rFonts w:hint="eastAsia"/>
                <w:lang w:val="en-US" w:eastAsia="zh-CN"/>
              </w:rPr>
              <w:t>滤纸上留下滤渣，</w:t>
            </w:r>
            <w:r>
              <w:rPr>
                <w:rFonts w:hint="eastAsia"/>
                <w:lang w:eastAsia="zh-CN"/>
              </w:rPr>
              <w:t>滤液转移至蒸发皿中，在通风橱中用水浴锅（</w:t>
            </w:r>
            <w:r>
              <w:rPr>
                <w:rFonts w:hint="eastAsia"/>
                <w:lang w:val="en-US" w:eastAsia="zh-CN"/>
              </w:rPr>
              <w:t>65</w:t>
            </w:r>
            <w:r>
              <w:rPr>
                <w:rFonts w:hint="eastAsia"/>
                <w:lang w:eastAsia="zh-CN"/>
              </w:rPr>
              <w:t>℃）蒸干溶剂。</w:t>
            </w:r>
          </w:p>
          <w:p w14:paraId="402027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val="en-US" w:eastAsia="zh-CN"/>
              </w:rPr>
              <w:t>4）</w:t>
            </w:r>
            <w:r>
              <w:rPr>
                <w:rFonts w:hint="eastAsia"/>
                <w:lang w:eastAsia="zh-CN"/>
              </w:rPr>
              <w:t>复溶：用1</w:t>
            </w:r>
            <w:r>
              <w:rPr>
                <w:rFonts w:hint="eastAsia"/>
                <w:lang w:val="en-US" w:eastAsia="zh-CN"/>
              </w:rPr>
              <w:t>0</w:t>
            </w:r>
            <w:r>
              <w:rPr>
                <w:rFonts w:hint="eastAsia"/>
                <w:lang w:eastAsia="zh-CN"/>
              </w:rPr>
              <w:t>mL50%甲醇复溶，涡旋混匀。</w:t>
            </w:r>
          </w:p>
          <w:p w14:paraId="597E443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val="en-US" w:eastAsia="zh-CN"/>
              </w:rPr>
              <w:t>5</w:t>
            </w:r>
            <w:r>
              <w:rPr>
                <w:rFonts w:hint="eastAsia"/>
                <w:lang w:eastAsia="zh-CN"/>
              </w:rPr>
              <w:t>）离心取上清</w:t>
            </w:r>
            <w:r>
              <w:rPr>
                <w:rFonts w:hint="eastAsia"/>
                <w:lang w:val="en-US" w:eastAsia="zh-CN"/>
              </w:rPr>
              <w:t>液</w:t>
            </w:r>
            <w:r>
              <w:rPr>
                <w:rFonts w:hint="eastAsia"/>
                <w:lang w:eastAsia="zh-CN"/>
              </w:rPr>
              <w:t>：混合液14000 r·min-1离心10min，取上清液置于进样小瓶。</w:t>
            </w:r>
          </w:p>
          <w:p w14:paraId="35A2438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val="en-US" w:eastAsia="zh-CN"/>
              </w:rPr>
              <w:t>6</w:t>
            </w:r>
            <w:r>
              <w:rPr>
                <w:rFonts w:hint="eastAsia"/>
                <w:lang w:eastAsia="zh-CN"/>
              </w:rPr>
              <w:t>）HPLC分析：注入样品溶液，记录色谱图，对比标准图谱定量</w:t>
            </w:r>
            <w:r>
              <w:rPr>
                <w:rFonts w:hint="eastAsia"/>
                <w:lang w:val="en-US" w:eastAsia="zh-CN"/>
              </w:rPr>
              <w:t>分析样品成分，使用乙腈、二氯甲烷、甲醇等作为流动相</w:t>
            </w:r>
            <w:r>
              <w:rPr>
                <w:rFonts w:hint="eastAsia"/>
                <w:lang w:eastAsia="zh-CN"/>
              </w:rPr>
              <w:t>。</w:t>
            </w:r>
          </w:p>
          <w:p w14:paraId="1FA4BF9F">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lang w:eastAsia="zh-CN"/>
              </w:rPr>
            </w:pPr>
            <w:r>
              <w:rPr>
                <w:rFonts w:hint="eastAsia"/>
                <w:b/>
                <w:bCs/>
                <w:lang w:val="en-US" w:eastAsia="zh-CN"/>
              </w:rPr>
              <w:t>产污情况：</w:t>
            </w:r>
            <w:r>
              <w:rPr>
                <w:rFonts w:hint="eastAsia"/>
                <w:lang w:val="en-US" w:eastAsia="zh-CN"/>
              </w:rPr>
              <w:t>实验过程中会消耗部分一次性实验用品，用后产生废实验用品；实验结束后会留下废样品、过滤废渣等废料；对实验仪器及器皿进行清洗时，首次清洗会产生废液，后续清洗会产生废水；使用挥发性试剂会挥发废气，未用尽的化学试剂会产生废液；水浴锅会产生实验设备废水。综上此过程会产生G7-1试剂挥发废气、S7-1废液及废料、S7-2废实验用品、W7-1仪器及器皿后续清洗废水、W7-2实验设备废水。</w:t>
            </w:r>
          </w:p>
          <w:p w14:paraId="50A9C74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lang w:val="en-US" w:eastAsia="zh-CN"/>
              </w:rPr>
            </w:pPr>
            <w:r>
              <w:rPr>
                <w:rFonts w:hint="eastAsia"/>
                <w:b/>
                <w:bCs/>
                <w:lang w:val="en-US" w:eastAsia="zh-CN"/>
              </w:rPr>
              <w:t>（8）研发工艺流程（八）</w:t>
            </w:r>
          </w:p>
          <w:p w14:paraId="59EF1258">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jc w:val="left"/>
              <w:textAlignment w:val="auto"/>
              <w:rPr>
                <w:rFonts w:hint="eastAsia"/>
                <w:lang w:val="en-US" w:eastAsia="zh-CN"/>
              </w:rPr>
            </w:pPr>
            <w:r>
              <w:rPr>
                <w:rFonts w:hint="eastAsia"/>
                <w:lang w:val="en-US" w:eastAsia="zh-CN"/>
              </w:rPr>
              <w:t>针对止痒颗粒的研发工艺流程如下：</w:t>
            </w:r>
          </w:p>
          <w:p w14:paraId="1706349C">
            <w:pPr>
              <w:spacing w:line="240" w:lineRule="auto"/>
              <w:rPr>
                <w:rFonts w:hint="eastAsia"/>
                <w:b/>
                <w:bCs/>
                <w:lang w:eastAsia="zh-CN"/>
              </w:rPr>
            </w:pPr>
            <w:r>
              <w:rPr>
                <w:rFonts w:hint="eastAsia"/>
                <w:b/>
                <w:bCs/>
                <w:lang w:eastAsia="zh-CN"/>
              </w:rPr>
              <w:drawing>
                <wp:inline distT="0" distB="0" distL="114300" distR="114300">
                  <wp:extent cx="5039995" cy="4249420"/>
                  <wp:effectExtent l="0" t="0" r="8255" b="0"/>
                  <wp:docPr id="9" name="ECB019B1-382A-4266-B25C-5B523AA43C14-1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12" descr="wps"/>
                          <pic:cNvPicPr>
                            <a:picLocks noChangeAspect="1"/>
                          </pic:cNvPicPr>
                        </pic:nvPicPr>
                        <pic:blipFill>
                          <a:blip r:embed="rId25"/>
                          <a:srcRect l="3493" t="3701" r="2705" b="3746"/>
                          <a:stretch>
                            <a:fillRect/>
                          </a:stretch>
                        </pic:blipFill>
                        <pic:spPr>
                          <a:xfrm>
                            <a:off x="0" y="0"/>
                            <a:ext cx="5039995" cy="4249420"/>
                          </a:xfrm>
                          <a:prstGeom prst="rect">
                            <a:avLst/>
                          </a:prstGeom>
                        </pic:spPr>
                      </pic:pic>
                    </a:graphicData>
                  </a:graphic>
                </wp:inline>
              </w:drawing>
            </w:r>
          </w:p>
          <w:p w14:paraId="06CD908A">
            <w:pPr>
              <w:pStyle w:val="20"/>
              <w:bidi w:val="0"/>
              <w:rPr>
                <w:rFonts w:hint="eastAsia"/>
              </w:rPr>
            </w:pPr>
            <w:r>
              <w:rPr>
                <w:rFonts w:hint="eastAsia"/>
                <w:lang w:val="en-US" w:eastAsia="zh-CN"/>
              </w:rPr>
              <w:t>研发工艺流程及产污节点图（八）</w:t>
            </w:r>
          </w:p>
          <w:p w14:paraId="4010B875">
            <w:pPr>
              <w:ind w:firstLine="480" w:firstLineChars="200"/>
              <w:rPr>
                <w:rFonts w:hint="default" w:eastAsia="宋体"/>
                <w:lang w:val="en-US" w:eastAsia="zh-CN"/>
              </w:rPr>
            </w:pPr>
            <w:r>
              <w:rPr>
                <w:rFonts w:hint="eastAsia"/>
                <w:lang w:val="en-US" w:eastAsia="zh-CN"/>
              </w:rPr>
              <w:t>1）干膏制作</w:t>
            </w:r>
          </w:p>
          <w:p w14:paraId="4915AD24">
            <w:pPr>
              <w:ind w:firstLine="480" w:firstLineChars="200"/>
              <w:rPr>
                <w:rFonts w:hint="eastAsia"/>
                <w:lang w:val="en-US" w:eastAsia="zh-CN"/>
              </w:rPr>
            </w:pPr>
            <w:r>
              <w:rPr>
                <w:rFonts w:hint="eastAsia"/>
                <w:lang w:val="en-US" w:eastAsia="zh-CN"/>
              </w:rPr>
              <w:t>①回流提取：</w:t>
            </w:r>
            <w:r>
              <w:rPr>
                <w:rFonts w:hint="eastAsia"/>
                <w:b w:val="0"/>
                <w:bCs w:val="0"/>
                <w:color w:val="auto"/>
                <w:sz w:val="24"/>
                <w:highlight w:val="none"/>
                <w:lang w:val="en-US" w:eastAsia="zh-CN"/>
              </w:rPr>
              <w:t>首先将大黄饮片、70%乙醇放入圆底烧瓶，</w:t>
            </w:r>
            <w:r>
              <w:rPr>
                <w:rFonts w:hint="eastAsia"/>
                <w:lang w:val="en-US" w:eastAsia="zh-CN"/>
              </w:rPr>
              <w:t>料液比1:8（药材:70%乙醇），</w:t>
            </w:r>
            <w:r>
              <w:rPr>
                <w:rFonts w:hint="eastAsia"/>
                <w:b w:val="0"/>
                <w:bCs w:val="0"/>
                <w:color w:val="auto"/>
                <w:sz w:val="24"/>
                <w:highlight w:val="none"/>
                <w:lang w:val="en-US" w:eastAsia="zh-CN"/>
              </w:rPr>
              <w:t>连接冷凝管，</w:t>
            </w:r>
            <w:r>
              <w:rPr>
                <w:rFonts w:hint="eastAsia"/>
                <w:lang w:val="en-US" w:eastAsia="zh-CN"/>
              </w:rPr>
              <w:t>水浴温度80℃±2℃</w:t>
            </w:r>
            <w:r>
              <w:rPr>
                <w:rFonts w:hint="eastAsia"/>
                <w:b w:val="0"/>
                <w:bCs w:val="0"/>
                <w:color w:val="auto"/>
                <w:sz w:val="24"/>
                <w:highlight w:val="none"/>
                <w:lang w:val="en-US" w:eastAsia="zh-CN"/>
              </w:rPr>
              <w:t>，溶剂沸腾后蒸汽上升至冷凝管，冷凝液稳定回流。提取时间1-2h，时间结束后将圆底烧瓶移出水浴锅，自然冷却后拆除装置。</w:t>
            </w:r>
          </w:p>
          <w:p w14:paraId="395F4108">
            <w:pPr>
              <w:ind w:firstLine="480" w:firstLineChars="200"/>
              <w:rPr>
                <w:rFonts w:hint="eastAsia"/>
                <w:lang w:val="en-US" w:eastAsia="zh-CN"/>
              </w:rPr>
            </w:pPr>
            <w:r>
              <w:rPr>
                <w:rFonts w:hint="eastAsia"/>
                <w:lang w:val="en-US" w:eastAsia="zh-CN"/>
              </w:rPr>
              <w:t>②过滤：</w:t>
            </w:r>
            <w:r>
              <w:rPr>
                <w:rFonts w:hint="eastAsia"/>
                <w:b w:val="0"/>
                <w:bCs w:val="0"/>
                <w:color w:val="auto"/>
                <w:sz w:val="24"/>
                <w:highlight w:val="none"/>
                <w:lang w:val="en-US" w:eastAsia="zh-CN"/>
              </w:rPr>
              <w:t>使用布氏漏斗、滤纸过滤冷凝液，滤纸上留下废渣。</w:t>
            </w:r>
          </w:p>
          <w:p w14:paraId="455C9505">
            <w:pPr>
              <w:ind w:firstLine="480" w:firstLineChars="200"/>
              <w:rPr>
                <w:rFonts w:hint="eastAsia"/>
                <w:lang w:val="en-US" w:eastAsia="zh-CN"/>
              </w:rPr>
            </w:pPr>
            <w:r>
              <w:rPr>
                <w:rFonts w:hint="eastAsia"/>
                <w:lang w:val="en-US" w:eastAsia="zh-CN"/>
              </w:rPr>
              <w:t>③浓缩：使用旋转蒸发仪（60℃、-0.08MPa）浓缩冷凝液。</w:t>
            </w:r>
          </w:p>
          <w:p w14:paraId="7243128D">
            <w:pPr>
              <w:ind w:firstLine="480" w:firstLineChars="200"/>
              <w:rPr>
                <w:rFonts w:hint="eastAsia"/>
                <w:lang w:val="en-US" w:eastAsia="zh-CN"/>
              </w:rPr>
            </w:pPr>
            <w:r>
              <w:rPr>
                <w:rFonts w:hint="eastAsia"/>
                <w:lang w:val="en-US" w:eastAsia="zh-CN"/>
              </w:rPr>
              <w:t>④水浴蒸干：浓缩液</w:t>
            </w:r>
            <w:r>
              <w:rPr>
                <w:rFonts w:hint="eastAsia"/>
                <w:lang w:eastAsia="zh-CN"/>
              </w:rPr>
              <w:t>转移至蒸发皿中，在通风橱中用水浴锅（</w:t>
            </w:r>
            <w:r>
              <w:rPr>
                <w:rFonts w:hint="eastAsia"/>
                <w:lang w:val="en-US" w:eastAsia="zh-CN"/>
              </w:rPr>
              <w:t>80</w:t>
            </w:r>
            <w:r>
              <w:rPr>
                <w:rFonts w:hint="eastAsia"/>
                <w:lang w:eastAsia="zh-CN"/>
              </w:rPr>
              <w:t>℃）蒸干溶剂。</w:t>
            </w:r>
          </w:p>
          <w:p w14:paraId="4C0F1924">
            <w:pPr>
              <w:ind w:firstLine="480" w:firstLineChars="200"/>
              <w:rPr>
                <w:rFonts w:hint="default"/>
                <w:lang w:val="en-US" w:eastAsia="zh-CN"/>
              </w:rPr>
            </w:pPr>
            <w:r>
              <w:rPr>
                <w:rFonts w:hint="eastAsia"/>
                <w:lang w:val="en-US" w:eastAsia="zh-CN"/>
              </w:rPr>
              <w:t>⑤减压干燥：将蒸干后的样本进行真空干燥，得到干燥块状固体。</w:t>
            </w:r>
          </w:p>
          <w:p w14:paraId="0F24DF61">
            <w:pPr>
              <w:ind w:firstLine="482" w:firstLineChars="200"/>
              <w:rPr>
                <w:rFonts w:hint="eastAsia"/>
                <w:lang w:val="en-US" w:eastAsia="zh-CN"/>
              </w:rPr>
            </w:pPr>
            <w:r>
              <w:rPr>
                <w:rFonts w:hint="eastAsia"/>
                <w:b/>
                <w:bCs/>
                <w:lang w:val="en-US" w:eastAsia="zh-CN"/>
              </w:rPr>
              <w:t>产污情况：</w:t>
            </w:r>
            <w:r>
              <w:rPr>
                <w:rFonts w:hint="eastAsia"/>
                <w:lang w:val="en-US" w:eastAsia="zh-CN"/>
              </w:rPr>
              <w:t>实验过程中会消耗部分一次性实验用品，用后产生废实验用品；实验结束后会留下废样品、过滤废渣等废料；对实验仪器及器皿进行清洗时，首次清洗会产生废液，后续清洗会产生废水；使用挥发性试剂会挥发废气，未用尽的化学试剂会产生废液；水浴锅会产生实验设备废水。综上此过程会产生G8-1试剂挥发废气、S8-1废液及废料、S8-2废实验用品、W8-1仪器及器皿后续清洗废水、W8-2实验设备废水。</w:t>
            </w:r>
          </w:p>
          <w:p w14:paraId="0878D543">
            <w:pPr>
              <w:ind w:firstLine="480" w:firstLineChars="200"/>
              <w:rPr>
                <w:rFonts w:hint="default" w:eastAsia="宋体"/>
                <w:lang w:val="en-US" w:eastAsia="zh-CN"/>
              </w:rPr>
            </w:pPr>
            <w:r>
              <w:rPr>
                <w:rFonts w:hint="eastAsia"/>
                <w:lang w:val="en-US" w:eastAsia="zh-CN"/>
              </w:rPr>
              <w:t>2）浸膏制作</w:t>
            </w:r>
          </w:p>
          <w:p w14:paraId="52A1ADAA">
            <w:pPr>
              <w:ind w:firstLine="480" w:firstLineChars="200"/>
              <w:rPr>
                <w:rFonts w:hint="eastAsia"/>
                <w:lang w:val="en-US" w:eastAsia="zh-CN"/>
              </w:rPr>
            </w:pPr>
            <w:r>
              <w:rPr>
                <w:rFonts w:hint="eastAsia"/>
                <w:lang w:val="en-US" w:eastAsia="zh-CN"/>
              </w:rPr>
              <w:t>①回流提取：</w:t>
            </w:r>
            <w:r>
              <w:rPr>
                <w:rFonts w:hint="eastAsia"/>
                <w:b w:val="0"/>
                <w:bCs w:val="0"/>
                <w:color w:val="auto"/>
                <w:sz w:val="24"/>
                <w:highlight w:val="none"/>
                <w:lang w:val="en-US" w:eastAsia="zh-CN"/>
              </w:rPr>
              <w:t>首先将大黄饮片、水放入圆底烧瓶，连接冷凝管，开启电加热套，温度设定为100℃，溶剂沸腾后蒸汽上升至冷凝管，冷凝液稳定回流。提取时间1h，时间结束后关闭加热，自然冷却后拆除装置。</w:t>
            </w:r>
          </w:p>
          <w:p w14:paraId="60046A10">
            <w:pPr>
              <w:ind w:firstLine="480" w:firstLineChars="200"/>
              <w:rPr>
                <w:rFonts w:hint="eastAsia"/>
                <w:lang w:val="en-US" w:eastAsia="zh-CN"/>
              </w:rPr>
            </w:pPr>
            <w:r>
              <w:rPr>
                <w:rFonts w:hint="eastAsia"/>
                <w:lang w:val="en-US" w:eastAsia="zh-CN"/>
              </w:rPr>
              <w:t>②过滤：</w:t>
            </w:r>
            <w:r>
              <w:rPr>
                <w:rFonts w:hint="eastAsia"/>
                <w:b w:val="0"/>
                <w:bCs w:val="0"/>
                <w:color w:val="auto"/>
                <w:sz w:val="24"/>
                <w:highlight w:val="none"/>
                <w:lang w:val="en-US" w:eastAsia="zh-CN"/>
              </w:rPr>
              <w:t>使用布氏漏斗、滤纸过滤冷凝液，滤纸上留下废渣。</w:t>
            </w:r>
          </w:p>
          <w:p w14:paraId="4CCB95B3">
            <w:pPr>
              <w:ind w:firstLine="480" w:firstLineChars="200"/>
              <w:rPr>
                <w:rFonts w:hint="eastAsia"/>
                <w:lang w:val="en-US" w:eastAsia="zh-CN"/>
              </w:rPr>
            </w:pPr>
            <w:r>
              <w:rPr>
                <w:rFonts w:hint="eastAsia"/>
                <w:lang w:val="en-US" w:eastAsia="zh-CN"/>
              </w:rPr>
              <w:t>③浓缩：使用旋转蒸发仪（60℃、-0.08MPa）浓缩冷凝液。</w:t>
            </w:r>
          </w:p>
          <w:p w14:paraId="04788A25">
            <w:pPr>
              <w:ind w:firstLine="480" w:firstLineChars="200"/>
              <w:rPr>
                <w:rFonts w:hint="eastAsia"/>
                <w:lang w:val="en-US" w:eastAsia="zh-CN"/>
              </w:rPr>
            </w:pPr>
            <w:r>
              <w:rPr>
                <w:rFonts w:hint="eastAsia"/>
                <w:lang w:val="en-US" w:eastAsia="zh-CN"/>
              </w:rPr>
              <w:t>④醇沉：水提浓缩液、乙醇加入锥形瓶，水提浓缩液：乙醇=1:2~1:4（体积比），搅拌30min，静置10h沉淀蛋白质。</w:t>
            </w:r>
          </w:p>
          <w:p w14:paraId="630D5397">
            <w:pPr>
              <w:ind w:firstLine="480" w:firstLineChars="200"/>
              <w:rPr>
                <w:rFonts w:hint="default"/>
                <w:lang w:val="en-US" w:eastAsia="zh-CN"/>
              </w:rPr>
            </w:pPr>
            <w:r>
              <w:rPr>
                <w:rFonts w:hint="eastAsia"/>
                <w:lang w:val="en-US" w:eastAsia="zh-CN"/>
              </w:rPr>
              <w:t>⑤过滤：</w:t>
            </w:r>
            <w:r>
              <w:rPr>
                <w:rFonts w:hint="eastAsia"/>
                <w:b w:val="0"/>
                <w:bCs w:val="0"/>
                <w:color w:val="auto"/>
                <w:sz w:val="24"/>
                <w:highlight w:val="none"/>
                <w:lang w:val="en-US" w:eastAsia="zh-CN"/>
              </w:rPr>
              <w:t>使用布氏漏斗、滤纸过滤，滤纸上留下废渣。</w:t>
            </w:r>
          </w:p>
          <w:p w14:paraId="2F6DF648">
            <w:pPr>
              <w:ind w:firstLine="480" w:firstLineChars="200"/>
              <w:rPr>
                <w:rFonts w:hint="eastAsia"/>
                <w:lang w:val="en-US" w:eastAsia="zh-CN"/>
              </w:rPr>
            </w:pPr>
            <w:r>
              <w:rPr>
                <w:rFonts w:hint="eastAsia"/>
                <w:lang w:val="en-US" w:eastAsia="zh-CN"/>
              </w:rPr>
              <w:t>⑥蒸干：</w:t>
            </w:r>
            <w:r>
              <w:rPr>
                <w:rFonts w:hint="eastAsia"/>
                <w:lang w:eastAsia="zh-CN"/>
              </w:rPr>
              <w:t>滤液转移至蒸发皿中，在通风橱中用</w:t>
            </w:r>
            <w:r>
              <w:rPr>
                <w:rFonts w:hint="eastAsia"/>
                <w:lang w:val="en-US" w:eastAsia="zh-CN"/>
              </w:rPr>
              <w:t>电加热套</w:t>
            </w:r>
            <w:r>
              <w:rPr>
                <w:rFonts w:hint="eastAsia"/>
                <w:lang w:eastAsia="zh-CN"/>
              </w:rPr>
              <w:t>（</w:t>
            </w:r>
            <w:r>
              <w:rPr>
                <w:rFonts w:hint="eastAsia"/>
                <w:lang w:val="en-US" w:eastAsia="zh-CN"/>
              </w:rPr>
              <w:t>100</w:t>
            </w:r>
            <w:r>
              <w:rPr>
                <w:rFonts w:hint="eastAsia"/>
                <w:lang w:eastAsia="zh-CN"/>
              </w:rPr>
              <w:t>℃）蒸干溶剂。</w:t>
            </w:r>
          </w:p>
          <w:p w14:paraId="17D42D14">
            <w:pPr>
              <w:ind w:firstLine="480" w:firstLineChars="200"/>
              <w:rPr>
                <w:rFonts w:hint="eastAsia"/>
              </w:rPr>
            </w:pPr>
            <w:r>
              <w:rPr>
                <w:rFonts w:hint="eastAsia"/>
                <w:lang w:val="en-US" w:eastAsia="zh-CN"/>
              </w:rPr>
              <w:t>⑦减压干燥：将蒸干后的样本进行真空干燥，得到干燥块状固体。</w:t>
            </w:r>
          </w:p>
          <w:p w14:paraId="1551FADE">
            <w:pPr>
              <w:ind w:firstLine="482" w:firstLineChars="200"/>
              <w:rPr>
                <w:rFonts w:hint="eastAsia"/>
                <w:lang w:val="en-US" w:eastAsia="zh-CN"/>
              </w:rPr>
            </w:pPr>
            <w:r>
              <w:rPr>
                <w:rFonts w:hint="eastAsia"/>
                <w:b/>
                <w:bCs/>
                <w:lang w:val="en-US" w:eastAsia="zh-CN"/>
              </w:rPr>
              <w:t>产污情况：</w:t>
            </w:r>
            <w:r>
              <w:rPr>
                <w:rFonts w:hint="eastAsia"/>
                <w:lang w:val="en-US" w:eastAsia="zh-CN"/>
              </w:rPr>
              <w:t>实验过程中会消耗部分一次性实验用品，用后产生废实验用品；实验结束后会留下废样品、过滤废渣等废料；对实验仪器及器皿进行清洗时，首次清洗会产生废液，后续清洗会产生废水；使用挥发性试剂会挥发废气，未用尽的化学试剂会产生废液。综上此过程会产生G8-2试剂挥发废气、S8-3废液及废料、S8-4废实验用品、W8-3仪器及器皿后续清洗废水。</w:t>
            </w:r>
          </w:p>
          <w:p w14:paraId="212288BD">
            <w:pPr>
              <w:ind w:firstLine="480" w:firstLineChars="200"/>
              <w:rPr>
                <w:rFonts w:hint="default" w:eastAsia="宋体"/>
                <w:lang w:val="en-US" w:eastAsia="zh-CN"/>
              </w:rPr>
            </w:pPr>
            <w:r>
              <w:rPr>
                <w:rFonts w:hint="eastAsia"/>
                <w:lang w:val="en-US" w:eastAsia="zh-CN"/>
              </w:rPr>
              <w:t>3）止痒颗粒制作</w:t>
            </w:r>
          </w:p>
          <w:p w14:paraId="60C925DF">
            <w:pPr>
              <w:ind w:firstLine="480" w:firstLineChars="200"/>
              <w:rPr>
                <w:rFonts w:hint="default"/>
                <w:lang w:val="en-US" w:eastAsia="zh-CN"/>
              </w:rPr>
            </w:pPr>
            <w:r>
              <w:rPr>
                <w:rFonts w:hint="eastAsia"/>
                <w:lang w:val="en-US" w:eastAsia="zh-CN"/>
              </w:rPr>
              <w:t>①混合：将干膏、浸膏按照3:2的比例混合均匀。</w:t>
            </w:r>
          </w:p>
          <w:p w14:paraId="6D460218">
            <w:pPr>
              <w:ind w:firstLine="480" w:firstLineChars="200"/>
              <w:rPr>
                <w:rFonts w:hint="default" w:eastAsia="宋体"/>
                <w:sz w:val="24"/>
                <w:szCs w:val="24"/>
                <w:lang w:val="en-US" w:eastAsia="zh-CN"/>
              </w:rPr>
            </w:pPr>
            <w:r>
              <w:rPr>
                <w:rFonts w:hint="eastAsia"/>
                <w:lang w:val="en-US" w:eastAsia="zh-CN"/>
              </w:rPr>
              <w:t>②制粒：混合后的膏体利用打粉机进行粉碎、粉碎后利用</w:t>
            </w:r>
            <w:r>
              <w:rPr>
                <w:rFonts w:hint="eastAsia"/>
                <w:sz w:val="24"/>
                <w:szCs w:val="24"/>
              </w:rPr>
              <w:t>干法制粒机</w:t>
            </w:r>
            <w:r>
              <w:rPr>
                <w:rFonts w:hint="eastAsia"/>
                <w:sz w:val="24"/>
                <w:szCs w:val="24"/>
                <w:lang w:val="en-US" w:eastAsia="zh-CN"/>
              </w:rPr>
              <w:t>进行制粒。此过程会产生G8-3制粒废气。</w:t>
            </w:r>
          </w:p>
          <w:p w14:paraId="6E127250">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rFonts w:hint="eastAsia"/>
                <w:b/>
                <w:bCs/>
                <w:lang w:eastAsia="zh-CN"/>
              </w:rPr>
              <w:t>（</w:t>
            </w:r>
            <w:r>
              <w:rPr>
                <w:rFonts w:hint="eastAsia"/>
                <w:b/>
                <w:bCs/>
                <w:lang w:val="en-US" w:eastAsia="zh-CN"/>
              </w:rPr>
              <w:t>6</w:t>
            </w:r>
            <w:r>
              <w:rPr>
                <w:rFonts w:hint="eastAsia"/>
                <w:b/>
                <w:bCs/>
                <w:lang w:eastAsia="zh-CN"/>
              </w:rPr>
              <w:t>）</w:t>
            </w:r>
            <w:r>
              <w:rPr>
                <w:rFonts w:hint="eastAsia"/>
                <w:b/>
                <w:bCs/>
              </w:rPr>
              <w:t>其他产排污环节</w:t>
            </w:r>
          </w:p>
          <w:p w14:paraId="4B0A33C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1）危化品库：危化品库贮存各类有机试剂，产生少量G9-1危化品库废气。</w:t>
            </w:r>
          </w:p>
          <w:p w14:paraId="788BA65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2）危废贮存：各实验室设置危废贮存点，产生G9-2危废贮存废气</w:t>
            </w:r>
          </w:p>
          <w:p w14:paraId="48C3A1C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3）废气处理：本项目配备7台生物安全柜，生物安全柜配备ULPA过滤器处理生物安全柜内废气，ULPA过滤器需定期更换，会产生S9-1废过滤器。</w:t>
            </w:r>
          </w:p>
          <w:p w14:paraId="02BD7D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实验室废气经过二级活性炭吸附装置处理，定期更换会产生S9-2废活性炭。</w:t>
            </w:r>
          </w:p>
          <w:p w14:paraId="3520559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危废库废气采用“</w:t>
            </w:r>
            <w:r>
              <w:rPr>
                <w:rFonts w:hint="eastAsia" w:cs="Times New Roman"/>
                <w:color w:val="auto"/>
                <w:highlight w:val="none"/>
              </w:rPr>
              <w:t>水喷淋+除雾+活性炭吸附</w:t>
            </w:r>
            <w:r>
              <w:rPr>
                <w:rFonts w:hint="eastAsia"/>
                <w:lang w:val="en-US" w:eastAsia="zh-CN"/>
              </w:rPr>
              <w:t>”处理，喷淋塔水箱中的水定期更换产生W9-1喷淋塔废水，活性炭定期更换产生S9-3废活性炭。</w:t>
            </w:r>
          </w:p>
          <w:p w14:paraId="12876F7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4）污水处理：污水处理站处理废水产生恶臭G9-3污水站废气。采用“水喷淋+除雾+活性炭吸附”工艺处理后由15m排气筒</w:t>
            </w:r>
            <w:r>
              <w:rPr>
                <w:rFonts w:hint="eastAsia"/>
                <w:color w:val="auto"/>
                <w:lang w:val="en-US" w:eastAsia="zh-CN"/>
              </w:rPr>
              <w:t>DA007</w:t>
            </w:r>
            <w:r>
              <w:rPr>
                <w:rFonts w:hint="eastAsia"/>
                <w:lang w:val="en-US" w:eastAsia="zh-CN"/>
              </w:rPr>
              <w:t>排放。</w:t>
            </w:r>
          </w:p>
          <w:p w14:paraId="00D1877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污水处理站污水处理产生S9-7污水站污泥。</w:t>
            </w:r>
          </w:p>
          <w:p w14:paraId="3E03800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生活污水由化粪池处理，产生S9-8化粪池污泥。</w:t>
            </w:r>
          </w:p>
          <w:p w14:paraId="303AFBC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5）纯水制备：</w:t>
            </w:r>
            <w:r>
              <w:rPr>
                <w:rFonts w:hint="eastAsia"/>
                <w:color w:val="auto"/>
                <w:highlight w:val="none"/>
              </w:rPr>
              <w:t>本项目纯水由自备的纯水机制备，纯水制备采用反渗透和离子交换相结合的工作方式，制备工艺为：自来水-pp过滤器-活性炭过滤器-RO反渗透-出水，纯水制备率为50%。</w:t>
            </w:r>
            <w:r>
              <w:rPr>
                <w:rFonts w:hint="eastAsia"/>
              </w:rPr>
              <w:t>纯水制备过程中会产生</w:t>
            </w:r>
            <w:r>
              <w:rPr>
                <w:rFonts w:hint="eastAsia"/>
                <w:lang w:val="en-US" w:eastAsia="zh-CN"/>
              </w:rPr>
              <w:t>W9-2纯水制备浓水</w:t>
            </w:r>
            <w:r>
              <w:rPr>
                <w:rFonts w:hint="eastAsia"/>
              </w:rPr>
              <w:t>，纯水机</w:t>
            </w:r>
            <w:r>
              <w:rPr>
                <w:rFonts w:hint="eastAsia"/>
                <w:lang w:val="en-US" w:eastAsia="zh-CN"/>
              </w:rPr>
              <w:t>内部过滤器</w:t>
            </w:r>
            <w:r>
              <w:rPr>
                <w:rFonts w:hint="eastAsia"/>
              </w:rPr>
              <w:t>需定期更换，会产生S</w:t>
            </w:r>
            <w:r>
              <w:rPr>
                <w:rFonts w:hint="eastAsia"/>
                <w:lang w:val="en-US" w:eastAsia="zh-CN"/>
              </w:rPr>
              <w:t>9-9纯水制备</w:t>
            </w:r>
            <w:r>
              <w:rPr>
                <w:rFonts w:hint="eastAsia"/>
              </w:rPr>
              <w:t>废滤芯。</w:t>
            </w:r>
          </w:p>
          <w:p w14:paraId="0DD92F5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6）原料使用：本项目原辅料拆包会留下外包装，产生S9-10废外包装材料，化学试剂用尽后会留下内包装，产生S9-11废试剂包装。</w:t>
            </w:r>
          </w:p>
          <w:p w14:paraId="6A4A2C0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7）职工办公：</w:t>
            </w:r>
            <w:r>
              <w:rPr>
                <w:rFonts w:hint="eastAsia"/>
                <w:lang w:eastAsia="zh-CN"/>
              </w:rPr>
              <w:t>职工办公会产生</w:t>
            </w:r>
            <w:r>
              <w:rPr>
                <w:rFonts w:hint="eastAsia"/>
                <w:lang w:val="en-US" w:eastAsia="zh-CN"/>
              </w:rPr>
              <w:t>W9-3生活污水、S9-12生活垃圾。地面清洁产生W9-4地面清洁废水。</w:t>
            </w:r>
          </w:p>
          <w:p w14:paraId="5E89144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eastAsia="zh-CN"/>
              </w:rPr>
            </w:pPr>
            <w:r>
              <w:rPr>
                <w:rFonts w:hint="eastAsia"/>
                <w:color w:val="auto"/>
                <w:highlight w:val="none"/>
              </w:rPr>
              <w:t>本项目建成后，营运期产排污情况如下表</w:t>
            </w:r>
            <w:r>
              <w:rPr>
                <w:rFonts w:hint="eastAsia"/>
                <w:color w:val="auto"/>
                <w:highlight w:val="none"/>
                <w:lang w:eastAsia="zh-CN"/>
              </w:rPr>
              <w:t>。</w:t>
            </w:r>
          </w:p>
          <w:p w14:paraId="43B3853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eastAsia="zh-CN"/>
              </w:rPr>
            </w:pPr>
          </w:p>
          <w:p w14:paraId="187203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eastAsia="zh-CN"/>
              </w:rPr>
            </w:pPr>
          </w:p>
          <w:p w14:paraId="2F25B409">
            <w:pPr>
              <w:pStyle w:val="44"/>
              <w:bidi w:val="0"/>
              <w:rPr>
                <w:color w:val="auto"/>
                <w:highlight w:val="none"/>
              </w:rPr>
            </w:pPr>
            <w:r>
              <w:rPr>
                <w:color w:val="auto"/>
                <w:highlight w:val="none"/>
              </w:rPr>
              <w:t>本项目营运期主要产污环节</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3"/>
              <w:gridCol w:w="1722"/>
              <w:gridCol w:w="1447"/>
              <w:gridCol w:w="1575"/>
              <w:gridCol w:w="1933"/>
              <w:gridCol w:w="707"/>
            </w:tblGrid>
            <w:tr w14:paraId="0987B1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tcBorders>
                    <w:tl2br w:val="nil"/>
                    <w:tr2bl w:val="nil"/>
                  </w:tcBorders>
                  <w:vAlign w:val="center"/>
                </w:tcPr>
                <w:p w14:paraId="4085CBE0">
                  <w:pPr>
                    <w:pStyle w:val="41"/>
                    <w:bidi w:val="0"/>
                    <w:rPr>
                      <w:b/>
                      <w:bCs/>
                      <w:color w:val="auto"/>
                      <w:highlight w:val="none"/>
                    </w:rPr>
                  </w:pPr>
                  <w:r>
                    <w:rPr>
                      <w:b/>
                      <w:bCs/>
                      <w:color w:val="auto"/>
                      <w:highlight w:val="none"/>
                    </w:rPr>
                    <w:t>类别</w:t>
                  </w:r>
                </w:p>
              </w:tc>
              <w:tc>
                <w:tcPr>
                  <w:tcW w:w="1102" w:type="pct"/>
                  <w:tcBorders>
                    <w:tl2br w:val="nil"/>
                    <w:tr2bl w:val="nil"/>
                  </w:tcBorders>
                  <w:vAlign w:val="center"/>
                </w:tcPr>
                <w:p w14:paraId="58C9310F">
                  <w:pPr>
                    <w:pStyle w:val="41"/>
                    <w:bidi w:val="0"/>
                    <w:rPr>
                      <w:b/>
                      <w:bCs/>
                      <w:color w:val="auto"/>
                      <w:highlight w:val="none"/>
                    </w:rPr>
                  </w:pPr>
                  <w:r>
                    <w:rPr>
                      <w:rFonts w:hint="eastAsia"/>
                      <w:b/>
                      <w:bCs/>
                      <w:color w:val="auto"/>
                      <w:highlight w:val="none"/>
                    </w:rPr>
                    <w:t>编号</w:t>
                  </w:r>
                </w:p>
              </w:tc>
              <w:tc>
                <w:tcPr>
                  <w:tcW w:w="926" w:type="pct"/>
                  <w:tcBorders>
                    <w:tl2br w:val="nil"/>
                    <w:tr2bl w:val="nil"/>
                  </w:tcBorders>
                  <w:vAlign w:val="center"/>
                </w:tcPr>
                <w:p w14:paraId="595AA240">
                  <w:pPr>
                    <w:pStyle w:val="41"/>
                    <w:bidi w:val="0"/>
                    <w:rPr>
                      <w:b/>
                      <w:bCs/>
                      <w:color w:val="auto"/>
                      <w:highlight w:val="none"/>
                    </w:rPr>
                  </w:pPr>
                  <w:r>
                    <w:rPr>
                      <w:rFonts w:hint="eastAsia"/>
                      <w:b/>
                      <w:bCs/>
                      <w:color w:val="auto"/>
                      <w:highlight w:val="none"/>
                    </w:rPr>
                    <w:t>产污环节</w:t>
                  </w:r>
                </w:p>
              </w:tc>
              <w:tc>
                <w:tcPr>
                  <w:tcW w:w="1008" w:type="pct"/>
                  <w:tcBorders>
                    <w:tl2br w:val="nil"/>
                    <w:tr2bl w:val="nil"/>
                  </w:tcBorders>
                  <w:vAlign w:val="center"/>
                </w:tcPr>
                <w:p w14:paraId="7933A0EC">
                  <w:pPr>
                    <w:pStyle w:val="41"/>
                    <w:bidi w:val="0"/>
                    <w:rPr>
                      <w:b/>
                      <w:bCs/>
                      <w:color w:val="auto"/>
                      <w:highlight w:val="none"/>
                    </w:rPr>
                  </w:pPr>
                  <w:r>
                    <w:rPr>
                      <w:b/>
                      <w:bCs/>
                      <w:color w:val="auto"/>
                      <w:highlight w:val="none"/>
                    </w:rPr>
                    <w:t>污染物</w:t>
                  </w:r>
                </w:p>
              </w:tc>
              <w:tc>
                <w:tcPr>
                  <w:tcW w:w="1237" w:type="pct"/>
                  <w:tcBorders>
                    <w:tl2br w:val="nil"/>
                    <w:tr2bl w:val="nil"/>
                  </w:tcBorders>
                  <w:vAlign w:val="center"/>
                </w:tcPr>
                <w:p w14:paraId="23E6FD07">
                  <w:pPr>
                    <w:pStyle w:val="41"/>
                    <w:bidi w:val="0"/>
                    <w:rPr>
                      <w:b/>
                      <w:bCs/>
                      <w:color w:val="auto"/>
                      <w:highlight w:val="none"/>
                    </w:rPr>
                  </w:pPr>
                  <w:r>
                    <w:rPr>
                      <w:b/>
                      <w:bCs/>
                      <w:color w:val="auto"/>
                      <w:highlight w:val="none"/>
                    </w:rPr>
                    <w:t>治理措施</w:t>
                  </w:r>
                </w:p>
              </w:tc>
              <w:tc>
                <w:tcPr>
                  <w:tcW w:w="452" w:type="pct"/>
                  <w:tcBorders>
                    <w:tl2br w:val="nil"/>
                    <w:tr2bl w:val="nil"/>
                  </w:tcBorders>
                  <w:vAlign w:val="center"/>
                </w:tcPr>
                <w:p w14:paraId="4F9489A8">
                  <w:pPr>
                    <w:pStyle w:val="41"/>
                    <w:bidi w:val="0"/>
                    <w:rPr>
                      <w:b/>
                      <w:bCs/>
                      <w:color w:val="auto"/>
                      <w:highlight w:val="none"/>
                    </w:rPr>
                  </w:pPr>
                  <w:r>
                    <w:rPr>
                      <w:b/>
                      <w:bCs/>
                      <w:color w:val="auto"/>
                      <w:highlight w:val="none"/>
                    </w:rPr>
                    <w:t>排放去向</w:t>
                  </w:r>
                </w:p>
              </w:tc>
            </w:tr>
            <w:tr w14:paraId="667A2B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0" w:hRule="atLeast"/>
              </w:trPr>
              <w:tc>
                <w:tcPr>
                  <w:tcW w:w="271" w:type="pct"/>
                  <w:vMerge w:val="restart"/>
                  <w:tcBorders>
                    <w:tl2br w:val="nil"/>
                    <w:tr2bl w:val="nil"/>
                  </w:tcBorders>
                  <w:vAlign w:val="center"/>
                </w:tcPr>
                <w:p w14:paraId="57C8F7B5">
                  <w:pPr>
                    <w:pStyle w:val="41"/>
                    <w:bidi w:val="0"/>
                    <w:rPr>
                      <w:rFonts w:hint="eastAsia"/>
                      <w:color w:val="auto"/>
                      <w:highlight w:val="none"/>
                      <w:lang w:val="en-US" w:eastAsia="zh-CN"/>
                    </w:rPr>
                  </w:pPr>
                  <w:r>
                    <w:rPr>
                      <w:rFonts w:hint="eastAsia"/>
                      <w:color w:val="auto"/>
                      <w:highlight w:val="none"/>
                      <w:lang w:val="en-US" w:eastAsia="zh-CN"/>
                    </w:rPr>
                    <w:t>废水</w:t>
                  </w:r>
                </w:p>
              </w:tc>
              <w:tc>
                <w:tcPr>
                  <w:tcW w:w="1102" w:type="pct"/>
                  <w:tcBorders>
                    <w:tl2br w:val="nil"/>
                    <w:tr2bl w:val="nil"/>
                  </w:tcBorders>
                  <w:shd w:val="clear" w:color="auto" w:fill="auto"/>
                  <w:vAlign w:val="center"/>
                </w:tcPr>
                <w:p w14:paraId="792F8A9D">
                  <w:pPr>
                    <w:pStyle w:val="41"/>
                    <w:bidi w:val="0"/>
                    <w:rPr>
                      <w:rFonts w:hint="default" w:eastAsia="宋体"/>
                      <w:color w:val="auto"/>
                      <w:highlight w:val="none"/>
                      <w:lang w:val="en-US" w:eastAsia="zh-CN"/>
                    </w:rPr>
                  </w:pPr>
                  <w:r>
                    <w:rPr>
                      <w:rFonts w:hint="eastAsia"/>
                      <w:color w:val="auto"/>
                      <w:highlight w:val="none"/>
                      <w:lang w:val="en-US" w:eastAsia="zh-CN"/>
                    </w:rPr>
                    <w:t>W1-1、W2-1、W3-1、W4-1、W5-1、W6-1、W7-1、W8-1、W8-3</w:t>
                  </w:r>
                </w:p>
              </w:tc>
              <w:tc>
                <w:tcPr>
                  <w:tcW w:w="926" w:type="pct"/>
                  <w:tcBorders>
                    <w:tl2br w:val="nil"/>
                    <w:tr2bl w:val="nil"/>
                  </w:tcBorders>
                  <w:shd w:val="clear" w:color="auto" w:fill="auto"/>
                  <w:vAlign w:val="center"/>
                </w:tcPr>
                <w:p w14:paraId="4989AA43">
                  <w:pPr>
                    <w:pStyle w:val="41"/>
                    <w:bidi w:val="0"/>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仪器及器皿后续清洗废水</w:t>
                  </w:r>
                </w:p>
              </w:tc>
              <w:tc>
                <w:tcPr>
                  <w:tcW w:w="1008" w:type="pct"/>
                  <w:tcBorders>
                    <w:tl2br w:val="nil"/>
                    <w:tr2bl w:val="nil"/>
                  </w:tcBorders>
                  <w:shd w:val="clear" w:color="auto" w:fill="auto"/>
                  <w:vAlign w:val="center"/>
                </w:tcPr>
                <w:p w14:paraId="531D56CF">
                  <w:pPr>
                    <w:pStyle w:val="41"/>
                    <w:bidi w:val="0"/>
                    <w:rPr>
                      <w:rFonts w:hint="eastAsia"/>
                      <w:color w:val="auto"/>
                      <w:highlight w:val="none"/>
                      <w:lang w:val="en-US" w:eastAsia="zh-CN"/>
                    </w:rPr>
                  </w:pPr>
                  <w:r>
                    <w:rPr>
                      <w:rFonts w:hint="eastAsia"/>
                      <w:color w:val="auto"/>
                      <w:highlight w:val="none"/>
                      <w:lang w:val="en-US" w:eastAsia="zh-CN"/>
                    </w:rPr>
                    <w:t>pH、</w:t>
                  </w:r>
                  <w:r>
                    <w:rPr>
                      <w:color w:val="auto"/>
                      <w:highlight w:val="none"/>
                    </w:rPr>
                    <w:t>COD、SS、NH</w:t>
                  </w:r>
                  <w:r>
                    <w:rPr>
                      <w:color w:val="auto"/>
                      <w:highlight w:val="none"/>
                      <w:vertAlign w:val="subscript"/>
                    </w:rPr>
                    <w:t>3</w:t>
                  </w:r>
                  <w:r>
                    <w:rPr>
                      <w:color w:val="auto"/>
                      <w:highlight w:val="none"/>
                    </w:rPr>
                    <w:t>-N、</w:t>
                  </w:r>
                  <w:r>
                    <w:rPr>
                      <w:rFonts w:hint="eastAsia"/>
                      <w:color w:val="auto"/>
                      <w:highlight w:val="none"/>
                    </w:rPr>
                    <w:t>TN</w:t>
                  </w:r>
                  <w:r>
                    <w:rPr>
                      <w:rFonts w:hint="eastAsia"/>
                      <w:color w:val="auto"/>
                      <w:highlight w:val="none"/>
                      <w:lang w:eastAsia="zh-CN"/>
                    </w:rPr>
                    <w:t>、</w:t>
                  </w:r>
                  <w:r>
                    <w:rPr>
                      <w:rFonts w:hint="eastAsia"/>
                      <w:color w:val="auto"/>
                      <w:highlight w:val="none"/>
                      <w:lang w:val="en-US" w:eastAsia="zh-CN"/>
                    </w:rPr>
                    <w:t>TP</w:t>
                  </w:r>
                </w:p>
              </w:tc>
              <w:tc>
                <w:tcPr>
                  <w:tcW w:w="1237" w:type="pct"/>
                  <w:vMerge w:val="restart"/>
                  <w:tcBorders>
                    <w:tl2br w:val="nil"/>
                    <w:tr2bl w:val="nil"/>
                  </w:tcBorders>
                  <w:shd w:val="clear" w:color="auto" w:fill="auto"/>
                  <w:vAlign w:val="center"/>
                </w:tcPr>
                <w:p w14:paraId="36B5D6E5">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25t/d污水处理站（1号楼）TW003，处理工艺：中和+混凝沉淀+水解酸化+AO</w:t>
                  </w:r>
                </w:p>
              </w:tc>
              <w:tc>
                <w:tcPr>
                  <w:tcW w:w="452" w:type="pct"/>
                  <w:vMerge w:val="restart"/>
                  <w:tcBorders>
                    <w:tl2br w:val="nil"/>
                    <w:tr2bl w:val="nil"/>
                  </w:tcBorders>
                  <w:vAlign w:val="center"/>
                </w:tcPr>
                <w:p w14:paraId="157B08E1">
                  <w:pPr>
                    <w:pStyle w:val="41"/>
                    <w:bidi w:val="0"/>
                    <w:rPr>
                      <w:rFonts w:hint="eastAsia"/>
                      <w:color w:val="auto"/>
                      <w:highlight w:val="none"/>
                      <w:lang w:val="en-US" w:eastAsia="zh-CN"/>
                    </w:rPr>
                  </w:pPr>
                  <w:r>
                    <w:rPr>
                      <w:rFonts w:hint="eastAsia"/>
                      <w:color w:val="auto"/>
                      <w:highlight w:val="none"/>
                      <w:lang w:val="en-US" w:eastAsia="zh-CN"/>
                    </w:rPr>
                    <w:t>接管至高新区污水处理厂</w:t>
                  </w:r>
                </w:p>
              </w:tc>
            </w:tr>
            <w:tr w14:paraId="5E55A9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5CE759EF">
                  <w:pPr>
                    <w:pStyle w:val="41"/>
                    <w:bidi w:val="0"/>
                    <w:rPr>
                      <w:rFonts w:hint="eastAsia"/>
                      <w:color w:val="auto"/>
                      <w:highlight w:val="none"/>
                      <w:lang w:val="en-US" w:eastAsia="zh-CN"/>
                    </w:rPr>
                  </w:pPr>
                </w:p>
              </w:tc>
              <w:tc>
                <w:tcPr>
                  <w:tcW w:w="1102" w:type="pct"/>
                  <w:tcBorders>
                    <w:tl2br w:val="nil"/>
                    <w:tr2bl w:val="nil"/>
                  </w:tcBorders>
                  <w:shd w:val="clear" w:color="auto" w:fill="auto"/>
                  <w:vAlign w:val="center"/>
                </w:tcPr>
                <w:p w14:paraId="7D330F7B">
                  <w:pPr>
                    <w:pStyle w:val="41"/>
                    <w:bidi w:val="0"/>
                    <w:rPr>
                      <w:rFonts w:hint="default"/>
                      <w:color w:val="auto"/>
                      <w:highlight w:val="none"/>
                      <w:lang w:val="en-US" w:eastAsia="zh-CN"/>
                    </w:rPr>
                  </w:pPr>
                  <w:r>
                    <w:rPr>
                      <w:rFonts w:hint="eastAsia"/>
                      <w:color w:val="auto"/>
                      <w:highlight w:val="none"/>
                      <w:lang w:val="en-US" w:eastAsia="zh-CN"/>
                    </w:rPr>
                    <w:t>W3-2、W4-2、W7-2、W8-2</w:t>
                  </w:r>
                </w:p>
              </w:tc>
              <w:tc>
                <w:tcPr>
                  <w:tcW w:w="926" w:type="pct"/>
                  <w:tcBorders>
                    <w:tl2br w:val="nil"/>
                    <w:tr2bl w:val="nil"/>
                  </w:tcBorders>
                  <w:shd w:val="clear" w:color="auto" w:fill="auto"/>
                  <w:vAlign w:val="center"/>
                </w:tcPr>
                <w:p w14:paraId="356EB1E4">
                  <w:pPr>
                    <w:pStyle w:val="41"/>
                    <w:bidi w:val="0"/>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实验设备废水</w:t>
                  </w:r>
                </w:p>
              </w:tc>
              <w:tc>
                <w:tcPr>
                  <w:tcW w:w="1008" w:type="pct"/>
                  <w:tcBorders>
                    <w:tl2br w:val="nil"/>
                    <w:tr2bl w:val="nil"/>
                  </w:tcBorders>
                  <w:shd w:val="clear" w:color="auto" w:fill="auto"/>
                  <w:vAlign w:val="center"/>
                </w:tcPr>
                <w:p w14:paraId="1F59C2F6">
                  <w:pPr>
                    <w:pStyle w:val="41"/>
                    <w:bidi w:val="0"/>
                    <w:jc w:val="center"/>
                    <w:rPr>
                      <w:rFonts w:hint="eastAsia"/>
                      <w:color w:val="auto"/>
                      <w:highlight w:val="none"/>
                      <w:lang w:val="en-US" w:eastAsia="zh-CN"/>
                    </w:rPr>
                  </w:pPr>
                  <w:r>
                    <w:rPr>
                      <w:color w:val="auto"/>
                      <w:highlight w:val="none"/>
                    </w:rPr>
                    <w:t>COD、SS</w:t>
                  </w:r>
                </w:p>
              </w:tc>
              <w:tc>
                <w:tcPr>
                  <w:tcW w:w="1237" w:type="pct"/>
                  <w:vMerge w:val="continue"/>
                  <w:tcBorders>
                    <w:tl2br w:val="nil"/>
                    <w:tr2bl w:val="nil"/>
                  </w:tcBorders>
                  <w:shd w:val="clear" w:color="auto" w:fill="auto"/>
                  <w:vAlign w:val="center"/>
                </w:tcPr>
                <w:p w14:paraId="5D6D8548">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p>
              </w:tc>
              <w:tc>
                <w:tcPr>
                  <w:tcW w:w="452" w:type="pct"/>
                  <w:vMerge w:val="continue"/>
                  <w:tcBorders>
                    <w:tl2br w:val="nil"/>
                    <w:tr2bl w:val="nil"/>
                  </w:tcBorders>
                  <w:vAlign w:val="center"/>
                </w:tcPr>
                <w:p w14:paraId="637E32EB">
                  <w:pPr>
                    <w:pStyle w:val="41"/>
                    <w:bidi w:val="0"/>
                    <w:rPr>
                      <w:rFonts w:hint="eastAsia"/>
                      <w:color w:val="auto"/>
                      <w:highlight w:val="none"/>
                      <w:lang w:val="en-US" w:eastAsia="zh-CN"/>
                    </w:rPr>
                  </w:pPr>
                </w:p>
              </w:tc>
            </w:tr>
            <w:tr w14:paraId="4EE8D4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2D3906F2">
                  <w:pPr>
                    <w:pStyle w:val="41"/>
                    <w:bidi w:val="0"/>
                    <w:rPr>
                      <w:rFonts w:hint="eastAsia"/>
                      <w:color w:val="auto"/>
                      <w:highlight w:val="none"/>
                      <w:lang w:val="en-US" w:eastAsia="zh-CN"/>
                    </w:rPr>
                  </w:pPr>
                </w:p>
              </w:tc>
              <w:tc>
                <w:tcPr>
                  <w:tcW w:w="1102" w:type="pct"/>
                  <w:tcBorders>
                    <w:tl2br w:val="nil"/>
                    <w:tr2bl w:val="nil"/>
                  </w:tcBorders>
                  <w:shd w:val="clear" w:color="auto" w:fill="auto"/>
                  <w:vAlign w:val="center"/>
                </w:tcPr>
                <w:p w14:paraId="66704FFE">
                  <w:pPr>
                    <w:pStyle w:val="41"/>
                    <w:bidi w:val="0"/>
                    <w:rPr>
                      <w:rFonts w:hint="default"/>
                      <w:color w:val="auto"/>
                      <w:highlight w:val="none"/>
                      <w:lang w:val="en-US" w:eastAsia="zh-CN"/>
                    </w:rPr>
                  </w:pPr>
                  <w:r>
                    <w:rPr>
                      <w:rFonts w:hint="eastAsia"/>
                      <w:color w:val="auto"/>
                      <w:highlight w:val="none"/>
                      <w:lang w:val="en-US" w:eastAsia="zh-CN"/>
                    </w:rPr>
                    <w:t>W9-1</w:t>
                  </w:r>
                </w:p>
              </w:tc>
              <w:tc>
                <w:tcPr>
                  <w:tcW w:w="926" w:type="pct"/>
                  <w:tcBorders>
                    <w:tl2br w:val="nil"/>
                    <w:tr2bl w:val="nil"/>
                  </w:tcBorders>
                  <w:shd w:val="clear" w:color="auto" w:fill="auto"/>
                  <w:vAlign w:val="center"/>
                </w:tcPr>
                <w:p w14:paraId="21747631">
                  <w:pPr>
                    <w:pStyle w:val="41"/>
                    <w:bidi w:val="0"/>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喷淋塔废水</w:t>
                  </w:r>
                </w:p>
              </w:tc>
              <w:tc>
                <w:tcPr>
                  <w:tcW w:w="1008" w:type="pct"/>
                  <w:tcBorders>
                    <w:tl2br w:val="nil"/>
                    <w:tr2bl w:val="nil"/>
                  </w:tcBorders>
                  <w:shd w:val="clear" w:color="auto" w:fill="auto"/>
                  <w:vAlign w:val="center"/>
                </w:tcPr>
                <w:p w14:paraId="73BCC14D">
                  <w:pPr>
                    <w:pStyle w:val="41"/>
                    <w:bidi w:val="0"/>
                    <w:rPr>
                      <w:rFonts w:hint="eastAsia"/>
                      <w:color w:val="auto"/>
                      <w:highlight w:val="none"/>
                      <w:lang w:val="en-US" w:eastAsia="zh-CN"/>
                    </w:rPr>
                  </w:pPr>
                  <w:r>
                    <w:rPr>
                      <w:rFonts w:hint="eastAsia"/>
                      <w:color w:val="auto"/>
                      <w:highlight w:val="none"/>
                      <w:lang w:val="en-US" w:eastAsia="zh-CN"/>
                    </w:rPr>
                    <w:t>pH、</w:t>
                  </w:r>
                  <w:r>
                    <w:rPr>
                      <w:color w:val="auto"/>
                      <w:highlight w:val="none"/>
                    </w:rPr>
                    <w:t>COD、SS、NH</w:t>
                  </w:r>
                  <w:r>
                    <w:rPr>
                      <w:color w:val="auto"/>
                      <w:highlight w:val="none"/>
                      <w:vertAlign w:val="subscript"/>
                    </w:rPr>
                    <w:t>3</w:t>
                  </w:r>
                  <w:r>
                    <w:rPr>
                      <w:color w:val="auto"/>
                      <w:highlight w:val="none"/>
                    </w:rPr>
                    <w:t>-N、</w:t>
                  </w:r>
                  <w:r>
                    <w:rPr>
                      <w:rFonts w:hint="eastAsia"/>
                      <w:color w:val="auto"/>
                      <w:highlight w:val="none"/>
                    </w:rPr>
                    <w:t>TN</w:t>
                  </w:r>
                  <w:r>
                    <w:rPr>
                      <w:rFonts w:hint="eastAsia"/>
                      <w:color w:val="auto"/>
                      <w:highlight w:val="none"/>
                      <w:lang w:eastAsia="zh-CN"/>
                    </w:rPr>
                    <w:t>、</w:t>
                  </w:r>
                  <w:r>
                    <w:rPr>
                      <w:rFonts w:hint="eastAsia"/>
                      <w:color w:val="auto"/>
                      <w:highlight w:val="none"/>
                      <w:lang w:val="en-US" w:eastAsia="zh-CN"/>
                    </w:rPr>
                    <w:t>TP</w:t>
                  </w:r>
                </w:p>
              </w:tc>
              <w:tc>
                <w:tcPr>
                  <w:tcW w:w="1237" w:type="pct"/>
                  <w:vMerge w:val="continue"/>
                  <w:tcBorders>
                    <w:tl2br w:val="nil"/>
                    <w:tr2bl w:val="nil"/>
                  </w:tcBorders>
                  <w:shd w:val="clear" w:color="auto" w:fill="auto"/>
                  <w:vAlign w:val="center"/>
                </w:tcPr>
                <w:p w14:paraId="6F03EE9D">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p>
              </w:tc>
              <w:tc>
                <w:tcPr>
                  <w:tcW w:w="452" w:type="pct"/>
                  <w:vMerge w:val="continue"/>
                  <w:tcBorders>
                    <w:tl2br w:val="nil"/>
                    <w:tr2bl w:val="nil"/>
                  </w:tcBorders>
                  <w:vAlign w:val="center"/>
                </w:tcPr>
                <w:p w14:paraId="24E9009F">
                  <w:pPr>
                    <w:pStyle w:val="41"/>
                    <w:bidi w:val="0"/>
                    <w:rPr>
                      <w:rFonts w:hint="eastAsia"/>
                      <w:color w:val="auto"/>
                      <w:highlight w:val="none"/>
                      <w:lang w:val="en-US" w:eastAsia="zh-CN"/>
                    </w:rPr>
                  </w:pPr>
                </w:p>
              </w:tc>
            </w:tr>
            <w:tr w14:paraId="19C522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706535BB">
                  <w:pPr>
                    <w:pStyle w:val="41"/>
                    <w:bidi w:val="0"/>
                    <w:rPr>
                      <w:rFonts w:hint="eastAsia"/>
                      <w:color w:val="auto"/>
                      <w:highlight w:val="none"/>
                      <w:lang w:val="en-US" w:eastAsia="zh-CN"/>
                    </w:rPr>
                  </w:pPr>
                </w:p>
              </w:tc>
              <w:tc>
                <w:tcPr>
                  <w:tcW w:w="1102" w:type="pct"/>
                  <w:tcBorders>
                    <w:tl2br w:val="nil"/>
                    <w:tr2bl w:val="nil"/>
                  </w:tcBorders>
                  <w:shd w:val="clear" w:color="auto" w:fill="auto"/>
                  <w:vAlign w:val="center"/>
                </w:tcPr>
                <w:p w14:paraId="1AAE336A">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W9-4</w:t>
                  </w:r>
                </w:p>
              </w:tc>
              <w:tc>
                <w:tcPr>
                  <w:tcW w:w="926" w:type="pct"/>
                  <w:tcBorders>
                    <w:tl2br w:val="nil"/>
                    <w:tr2bl w:val="nil"/>
                  </w:tcBorders>
                  <w:shd w:val="clear" w:color="auto" w:fill="auto"/>
                  <w:vAlign w:val="center"/>
                </w:tcPr>
                <w:p w14:paraId="491616B7">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地面清洁废水</w:t>
                  </w:r>
                </w:p>
              </w:tc>
              <w:tc>
                <w:tcPr>
                  <w:tcW w:w="1008" w:type="pct"/>
                  <w:tcBorders>
                    <w:tl2br w:val="nil"/>
                    <w:tr2bl w:val="nil"/>
                  </w:tcBorders>
                  <w:shd w:val="clear" w:color="auto" w:fill="auto"/>
                  <w:vAlign w:val="center"/>
                </w:tcPr>
                <w:p w14:paraId="2B72070C">
                  <w:pPr>
                    <w:pStyle w:val="41"/>
                    <w:bidi w:val="0"/>
                    <w:rPr>
                      <w:color w:val="auto"/>
                      <w:highlight w:val="none"/>
                    </w:rPr>
                  </w:pPr>
                  <w:r>
                    <w:rPr>
                      <w:rFonts w:hint="eastAsia"/>
                      <w:color w:val="auto"/>
                      <w:highlight w:val="none"/>
                      <w:lang w:val="en-US" w:eastAsia="zh-CN"/>
                    </w:rPr>
                    <w:t>pH、</w:t>
                  </w:r>
                  <w:r>
                    <w:rPr>
                      <w:color w:val="auto"/>
                      <w:highlight w:val="none"/>
                    </w:rPr>
                    <w:t>COD、SS、NH</w:t>
                  </w:r>
                  <w:r>
                    <w:rPr>
                      <w:color w:val="auto"/>
                      <w:highlight w:val="none"/>
                      <w:vertAlign w:val="subscript"/>
                    </w:rPr>
                    <w:t>3</w:t>
                  </w:r>
                  <w:r>
                    <w:rPr>
                      <w:color w:val="auto"/>
                      <w:highlight w:val="none"/>
                    </w:rPr>
                    <w:t>-N、</w:t>
                  </w:r>
                  <w:r>
                    <w:rPr>
                      <w:rFonts w:hint="eastAsia"/>
                      <w:color w:val="auto"/>
                      <w:highlight w:val="none"/>
                    </w:rPr>
                    <w:t>TN</w:t>
                  </w:r>
                  <w:r>
                    <w:rPr>
                      <w:rFonts w:hint="eastAsia"/>
                      <w:color w:val="auto"/>
                      <w:highlight w:val="none"/>
                      <w:lang w:eastAsia="zh-CN"/>
                    </w:rPr>
                    <w:t>、</w:t>
                  </w:r>
                  <w:r>
                    <w:rPr>
                      <w:rFonts w:hint="eastAsia"/>
                      <w:color w:val="auto"/>
                      <w:highlight w:val="none"/>
                      <w:lang w:val="en-US" w:eastAsia="zh-CN"/>
                    </w:rPr>
                    <w:t>TP</w:t>
                  </w:r>
                </w:p>
              </w:tc>
              <w:tc>
                <w:tcPr>
                  <w:tcW w:w="1237" w:type="pct"/>
                  <w:vMerge w:val="continue"/>
                  <w:tcBorders>
                    <w:tl2br w:val="nil"/>
                    <w:tr2bl w:val="nil"/>
                  </w:tcBorders>
                  <w:shd w:val="clear" w:color="auto" w:fill="auto"/>
                  <w:vAlign w:val="center"/>
                </w:tcPr>
                <w:p w14:paraId="28A26A24">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p>
              </w:tc>
              <w:tc>
                <w:tcPr>
                  <w:tcW w:w="452" w:type="pct"/>
                  <w:vMerge w:val="continue"/>
                  <w:tcBorders>
                    <w:tl2br w:val="nil"/>
                    <w:tr2bl w:val="nil"/>
                  </w:tcBorders>
                  <w:vAlign w:val="center"/>
                </w:tcPr>
                <w:p w14:paraId="7FA32116">
                  <w:pPr>
                    <w:pStyle w:val="41"/>
                    <w:bidi w:val="0"/>
                    <w:rPr>
                      <w:rFonts w:hint="eastAsia"/>
                      <w:color w:val="auto"/>
                      <w:highlight w:val="none"/>
                      <w:lang w:val="en-US" w:eastAsia="zh-CN"/>
                    </w:rPr>
                  </w:pPr>
                </w:p>
              </w:tc>
            </w:tr>
            <w:tr w14:paraId="35A53F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68F1B20A">
                  <w:pPr>
                    <w:pStyle w:val="41"/>
                    <w:bidi w:val="0"/>
                    <w:rPr>
                      <w:rFonts w:hint="eastAsia"/>
                      <w:color w:val="auto"/>
                      <w:highlight w:val="none"/>
                      <w:lang w:val="en-US" w:eastAsia="zh-CN"/>
                    </w:rPr>
                  </w:pPr>
                </w:p>
              </w:tc>
              <w:tc>
                <w:tcPr>
                  <w:tcW w:w="1102" w:type="pct"/>
                  <w:tcBorders>
                    <w:tl2br w:val="nil"/>
                    <w:tr2bl w:val="nil"/>
                  </w:tcBorders>
                  <w:shd w:val="clear" w:color="auto" w:fill="auto"/>
                  <w:vAlign w:val="center"/>
                </w:tcPr>
                <w:p w14:paraId="15032D20">
                  <w:pPr>
                    <w:pStyle w:val="41"/>
                    <w:bidi w:val="0"/>
                    <w:rPr>
                      <w:rFonts w:hint="default"/>
                      <w:color w:val="auto"/>
                      <w:highlight w:val="none"/>
                      <w:lang w:val="en-US" w:eastAsia="zh-CN"/>
                    </w:rPr>
                  </w:pPr>
                  <w:r>
                    <w:rPr>
                      <w:rFonts w:hint="eastAsia"/>
                      <w:color w:val="auto"/>
                      <w:highlight w:val="none"/>
                      <w:lang w:val="en-US" w:eastAsia="zh-CN"/>
                    </w:rPr>
                    <w:t>W9-2</w:t>
                  </w:r>
                </w:p>
              </w:tc>
              <w:tc>
                <w:tcPr>
                  <w:tcW w:w="926" w:type="pct"/>
                  <w:tcBorders>
                    <w:tl2br w:val="nil"/>
                    <w:tr2bl w:val="nil"/>
                  </w:tcBorders>
                  <w:shd w:val="clear" w:color="auto" w:fill="auto"/>
                  <w:vAlign w:val="center"/>
                </w:tcPr>
                <w:p w14:paraId="3408EA2B">
                  <w:pPr>
                    <w:pStyle w:val="41"/>
                    <w:bidi w:val="0"/>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纯水制备浓水</w:t>
                  </w:r>
                </w:p>
              </w:tc>
              <w:tc>
                <w:tcPr>
                  <w:tcW w:w="1008" w:type="pct"/>
                  <w:tcBorders>
                    <w:tl2br w:val="nil"/>
                    <w:tr2bl w:val="nil"/>
                  </w:tcBorders>
                  <w:shd w:val="clear" w:color="auto" w:fill="auto"/>
                  <w:vAlign w:val="center"/>
                </w:tcPr>
                <w:p w14:paraId="45EA948D">
                  <w:pPr>
                    <w:pStyle w:val="41"/>
                    <w:bidi w:val="0"/>
                    <w:rPr>
                      <w:rFonts w:hint="eastAsia"/>
                      <w:color w:val="auto"/>
                      <w:highlight w:val="none"/>
                      <w:lang w:val="en-US" w:eastAsia="zh-CN"/>
                    </w:rPr>
                  </w:pPr>
                  <w:r>
                    <w:rPr>
                      <w:color w:val="auto"/>
                      <w:highlight w:val="none"/>
                    </w:rPr>
                    <w:t>COD、SS</w:t>
                  </w:r>
                </w:p>
              </w:tc>
              <w:tc>
                <w:tcPr>
                  <w:tcW w:w="1237" w:type="pct"/>
                  <w:vMerge w:val="continue"/>
                  <w:tcBorders>
                    <w:tl2br w:val="nil"/>
                    <w:tr2bl w:val="nil"/>
                  </w:tcBorders>
                  <w:shd w:val="clear" w:color="auto" w:fill="auto"/>
                  <w:vAlign w:val="center"/>
                </w:tcPr>
                <w:p w14:paraId="4B513F12">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p>
              </w:tc>
              <w:tc>
                <w:tcPr>
                  <w:tcW w:w="452" w:type="pct"/>
                  <w:vMerge w:val="continue"/>
                  <w:tcBorders>
                    <w:tl2br w:val="nil"/>
                    <w:tr2bl w:val="nil"/>
                  </w:tcBorders>
                  <w:vAlign w:val="center"/>
                </w:tcPr>
                <w:p w14:paraId="4FDBE173">
                  <w:pPr>
                    <w:pStyle w:val="41"/>
                    <w:bidi w:val="0"/>
                    <w:rPr>
                      <w:rFonts w:hint="eastAsia"/>
                      <w:color w:val="auto"/>
                      <w:highlight w:val="none"/>
                      <w:lang w:val="en-US" w:eastAsia="zh-CN"/>
                    </w:rPr>
                  </w:pPr>
                </w:p>
              </w:tc>
            </w:tr>
            <w:tr w14:paraId="5426E3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2B5C00BD">
                  <w:pPr>
                    <w:pStyle w:val="41"/>
                    <w:bidi w:val="0"/>
                    <w:rPr>
                      <w:rFonts w:hint="eastAsia"/>
                      <w:color w:val="auto"/>
                      <w:highlight w:val="none"/>
                      <w:lang w:val="en-US" w:eastAsia="zh-CN"/>
                    </w:rPr>
                  </w:pPr>
                </w:p>
              </w:tc>
              <w:tc>
                <w:tcPr>
                  <w:tcW w:w="1102" w:type="pct"/>
                  <w:tcBorders>
                    <w:tl2br w:val="nil"/>
                    <w:tr2bl w:val="nil"/>
                  </w:tcBorders>
                  <w:shd w:val="clear" w:color="auto" w:fill="auto"/>
                  <w:vAlign w:val="center"/>
                </w:tcPr>
                <w:p w14:paraId="5877209E">
                  <w:pPr>
                    <w:pStyle w:val="41"/>
                    <w:bidi w:val="0"/>
                    <w:rPr>
                      <w:rFonts w:hint="default"/>
                      <w:color w:val="auto"/>
                      <w:highlight w:val="none"/>
                      <w:lang w:val="en-US" w:eastAsia="zh-CN"/>
                    </w:rPr>
                  </w:pPr>
                  <w:r>
                    <w:rPr>
                      <w:rFonts w:hint="eastAsia"/>
                      <w:color w:val="auto"/>
                      <w:highlight w:val="none"/>
                      <w:lang w:val="en-US" w:eastAsia="zh-CN"/>
                    </w:rPr>
                    <w:t>W9-3</w:t>
                  </w:r>
                </w:p>
              </w:tc>
              <w:tc>
                <w:tcPr>
                  <w:tcW w:w="926" w:type="pct"/>
                  <w:tcBorders>
                    <w:tl2br w:val="nil"/>
                    <w:tr2bl w:val="nil"/>
                  </w:tcBorders>
                  <w:shd w:val="clear" w:color="auto" w:fill="auto"/>
                  <w:vAlign w:val="center"/>
                </w:tcPr>
                <w:p w14:paraId="5EC332CB">
                  <w:pPr>
                    <w:pStyle w:val="41"/>
                    <w:bidi w:val="0"/>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生活污水</w:t>
                  </w:r>
                </w:p>
              </w:tc>
              <w:tc>
                <w:tcPr>
                  <w:tcW w:w="1008" w:type="pct"/>
                  <w:tcBorders>
                    <w:tl2br w:val="nil"/>
                    <w:tr2bl w:val="nil"/>
                  </w:tcBorders>
                  <w:shd w:val="clear" w:color="auto" w:fill="auto"/>
                  <w:vAlign w:val="center"/>
                </w:tcPr>
                <w:p w14:paraId="021DD4F9">
                  <w:pPr>
                    <w:pStyle w:val="41"/>
                    <w:bidi w:val="0"/>
                    <w:rPr>
                      <w:rFonts w:hint="eastAsia"/>
                      <w:color w:val="auto"/>
                      <w:highlight w:val="none"/>
                      <w:lang w:val="en-US" w:eastAsia="zh-CN"/>
                    </w:rPr>
                  </w:pPr>
                  <w:r>
                    <w:rPr>
                      <w:rFonts w:hint="eastAsia"/>
                      <w:color w:val="auto"/>
                      <w:highlight w:val="none"/>
                      <w:lang w:val="en-US" w:eastAsia="zh-CN"/>
                    </w:rPr>
                    <w:t>pH、</w:t>
                  </w:r>
                  <w:r>
                    <w:rPr>
                      <w:color w:val="auto"/>
                      <w:highlight w:val="none"/>
                    </w:rPr>
                    <w:t>COD、SS、NH</w:t>
                  </w:r>
                  <w:r>
                    <w:rPr>
                      <w:color w:val="auto"/>
                      <w:highlight w:val="none"/>
                      <w:vertAlign w:val="subscript"/>
                    </w:rPr>
                    <w:t>3</w:t>
                  </w:r>
                  <w:r>
                    <w:rPr>
                      <w:color w:val="auto"/>
                      <w:highlight w:val="none"/>
                    </w:rPr>
                    <w:t>-N、</w:t>
                  </w:r>
                  <w:r>
                    <w:rPr>
                      <w:rFonts w:hint="eastAsia"/>
                      <w:color w:val="auto"/>
                      <w:highlight w:val="none"/>
                    </w:rPr>
                    <w:t>TN</w:t>
                  </w:r>
                  <w:r>
                    <w:rPr>
                      <w:rFonts w:hint="eastAsia"/>
                      <w:color w:val="auto"/>
                      <w:highlight w:val="none"/>
                      <w:lang w:eastAsia="zh-CN"/>
                    </w:rPr>
                    <w:t>、</w:t>
                  </w:r>
                  <w:r>
                    <w:rPr>
                      <w:rFonts w:hint="eastAsia"/>
                      <w:color w:val="auto"/>
                      <w:highlight w:val="none"/>
                      <w:lang w:val="en-US" w:eastAsia="zh-CN"/>
                    </w:rPr>
                    <w:t>TP</w:t>
                  </w:r>
                </w:p>
              </w:tc>
              <w:tc>
                <w:tcPr>
                  <w:tcW w:w="1237" w:type="pct"/>
                  <w:tcBorders>
                    <w:tl2br w:val="nil"/>
                    <w:tr2bl w:val="nil"/>
                  </w:tcBorders>
                  <w:shd w:val="clear" w:color="auto" w:fill="auto"/>
                  <w:vAlign w:val="center"/>
                </w:tcPr>
                <w:p w14:paraId="104A359C">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30m</w:t>
                  </w:r>
                  <w:r>
                    <w:rPr>
                      <w:rFonts w:hint="eastAsia"/>
                      <w:color w:val="auto"/>
                      <w:highlight w:val="none"/>
                      <w:vertAlign w:val="superscript"/>
                      <w:lang w:val="en-US" w:eastAsia="zh-CN"/>
                    </w:rPr>
                    <w:t>3</w:t>
                  </w:r>
                  <w:r>
                    <w:rPr>
                      <w:rFonts w:hint="eastAsia"/>
                      <w:color w:val="auto"/>
                      <w:highlight w:val="none"/>
                      <w:lang w:val="en-US" w:eastAsia="zh-CN"/>
                    </w:rPr>
                    <w:t>化粪池TW001</w:t>
                  </w:r>
                </w:p>
              </w:tc>
              <w:tc>
                <w:tcPr>
                  <w:tcW w:w="452" w:type="pct"/>
                  <w:vMerge w:val="continue"/>
                  <w:tcBorders>
                    <w:tl2br w:val="nil"/>
                    <w:tr2bl w:val="nil"/>
                  </w:tcBorders>
                  <w:vAlign w:val="center"/>
                </w:tcPr>
                <w:p w14:paraId="363632E0">
                  <w:pPr>
                    <w:pStyle w:val="41"/>
                    <w:bidi w:val="0"/>
                    <w:rPr>
                      <w:rFonts w:hint="eastAsia"/>
                      <w:color w:val="auto"/>
                      <w:highlight w:val="none"/>
                      <w:lang w:val="en-US" w:eastAsia="zh-CN"/>
                    </w:rPr>
                  </w:pPr>
                </w:p>
              </w:tc>
            </w:tr>
            <w:tr w14:paraId="02D988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restart"/>
                  <w:tcBorders>
                    <w:tl2br w:val="nil"/>
                    <w:tr2bl w:val="nil"/>
                  </w:tcBorders>
                  <w:vAlign w:val="center"/>
                </w:tcPr>
                <w:p w14:paraId="3CC7CDE1">
                  <w:pPr>
                    <w:pStyle w:val="41"/>
                    <w:bidi w:val="0"/>
                    <w:rPr>
                      <w:color w:val="auto"/>
                      <w:highlight w:val="none"/>
                    </w:rPr>
                  </w:pPr>
                  <w:r>
                    <w:rPr>
                      <w:color w:val="auto"/>
                      <w:highlight w:val="none"/>
                    </w:rPr>
                    <w:t>废气</w:t>
                  </w:r>
                </w:p>
              </w:tc>
              <w:tc>
                <w:tcPr>
                  <w:tcW w:w="1102" w:type="pct"/>
                  <w:tcBorders>
                    <w:tl2br w:val="nil"/>
                    <w:tr2bl w:val="nil"/>
                  </w:tcBorders>
                  <w:vAlign w:val="center"/>
                </w:tcPr>
                <w:p w14:paraId="4A0503E0">
                  <w:pPr>
                    <w:pStyle w:val="41"/>
                    <w:bidi w:val="0"/>
                    <w:rPr>
                      <w:rFonts w:hint="default"/>
                      <w:color w:val="auto"/>
                      <w:highlight w:val="none"/>
                      <w:lang w:val="en-US" w:eastAsia="zh-CN"/>
                    </w:rPr>
                  </w:pPr>
                  <w:r>
                    <w:rPr>
                      <w:rFonts w:hint="eastAsia"/>
                      <w:color w:val="auto"/>
                      <w:highlight w:val="none"/>
                    </w:rPr>
                    <w:t>G1</w:t>
                  </w:r>
                  <w:r>
                    <w:rPr>
                      <w:rFonts w:hint="eastAsia"/>
                      <w:color w:val="auto"/>
                      <w:highlight w:val="none"/>
                      <w:lang w:val="en-US" w:eastAsia="zh-CN"/>
                    </w:rPr>
                    <w:t>-1、G2-1</w:t>
                  </w:r>
                </w:p>
              </w:tc>
              <w:tc>
                <w:tcPr>
                  <w:tcW w:w="926" w:type="pct"/>
                  <w:tcBorders>
                    <w:tl2br w:val="nil"/>
                    <w:tr2bl w:val="nil"/>
                  </w:tcBorders>
                  <w:vAlign w:val="center"/>
                </w:tcPr>
                <w:p w14:paraId="35D88385">
                  <w:pPr>
                    <w:pStyle w:val="41"/>
                    <w:bidi w:val="0"/>
                    <w:rPr>
                      <w:rFonts w:hint="default" w:eastAsia="宋体"/>
                      <w:color w:val="auto"/>
                      <w:highlight w:val="none"/>
                      <w:lang w:val="en-US" w:eastAsia="zh-CN"/>
                    </w:rPr>
                  </w:pPr>
                  <w:r>
                    <w:rPr>
                      <w:rFonts w:hint="eastAsia"/>
                      <w:color w:val="auto"/>
                      <w:highlight w:val="none"/>
                      <w:lang w:val="en-US" w:eastAsia="zh-CN"/>
                    </w:rPr>
                    <w:t>生物安全柜废气</w:t>
                  </w:r>
                </w:p>
              </w:tc>
              <w:tc>
                <w:tcPr>
                  <w:tcW w:w="1008" w:type="pct"/>
                  <w:tcBorders>
                    <w:tl2br w:val="nil"/>
                    <w:tr2bl w:val="nil"/>
                  </w:tcBorders>
                  <w:vAlign w:val="center"/>
                </w:tcPr>
                <w:p w14:paraId="756E7BB9">
                  <w:pPr>
                    <w:pStyle w:val="41"/>
                    <w:bidi w:val="0"/>
                    <w:rPr>
                      <w:rFonts w:hint="default"/>
                      <w:color w:val="auto"/>
                      <w:highlight w:val="none"/>
                      <w:lang w:val="en-US"/>
                    </w:rPr>
                  </w:pPr>
                  <w:r>
                    <w:rPr>
                      <w:rFonts w:hint="default" w:ascii="Times New Roman" w:hAnsi="Times New Roman" w:eastAsia="宋体"/>
                      <w:color w:val="auto"/>
                      <w:sz w:val="21"/>
                      <w:szCs w:val="21"/>
                      <w:highlight w:val="none"/>
                    </w:rPr>
                    <w:t>NH</w:t>
                  </w:r>
                  <w:r>
                    <w:rPr>
                      <w:rFonts w:hint="default"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臭气浓度</w:t>
                  </w:r>
                  <w:r>
                    <w:rPr>
                      <w:rFonts w:hint="eastAsia"/>
                      <w:color w:val="auto"/>
                      <w:sz w:val="21"/>
                      <w:szCs w:val="21"/>
                      <w:highlight w:val="none"/>
                      <w:lang w:val="en-US" w:eastAsia="zh-CN"/>
                    </w:rPr>
                    <w:t>、气溶胶</w:t>
                  </w:r>
                </w:p>
              </w:tc>
              <w:tc>
                <w:tcPr>
                  <w:tcW w:w="1237" w:type="pct"/>
                  <w:tcBorders>
                    <w:tl2br w:val="nil"/>
                    <w:tr2bl w:val="nil"/>
                  </w:tcBorders>
                  <w:vAlign w:val="center"/>
                </w:tcPr>
                <w:p w14:paraId="08606FFA">
                  <w:pPr>
                    <w:pStyle w:val="41"/>
                    <w:bidi w:val="0"/>
                    <w:rPr>
                      <w:rFonts w:hint="default"/>
                      <w:color w:val="auto"/>
                      <w:highlight w:val="none"/>
                      <w:lang w:val="en-US" w:eastAsia="zh-CN"/>
                    </w:rPr>
                  </w:pPr>
                  <w:r>
                    <w:rPr>
                      <w:rFonts w:hint="eastAsia" w:ascii="Times New Roman" w:hAnsi="Times New Roman" w:eastAsia="宋体"/>
                      <w:color w:val="auto"/>
                      <w:sz w:val="21"/>
                      <w:szCs w:val="21"/>
                      <w:highlight w:val="none"/>
                      <w:lang w:val="en-US" w:eastAsia="zh-CN"/>
                    </w:rPr>
                    <w:t>生物安全柜</w:t>
                  </w:r>
                  <w:r>
                    <w:rPr>
                      <w:rFonts w:hint="eastAsia"/>
                      <w:color w:val="auto"/>
                      <w:sz w:val="21"/>
                      <w:szCs w:val="21"/>
                      <w:highlight w:val="none"/>
                      <w:lang w:val="en-US" w:eastAsia="zh-CN"/>
                    </w:rPr>
                    <w:t>自带的</w:t>
                  </w:r>
                  <w:r>
                    <w:rPr>
                      <w:rFonts w:hint="eastAsia" w:ascii="Times New Roman" w:hAnsi="Times New Roman" w:eastAsia="宋体"/>
                      <w:color w:val="auto"/>
                      <w:sz w:val="21"/>
                      <w:szCs w:val="21"/>
                      <w:highlight w:val="none"/>
                      <w:lang w:eastAsia="zh-CN"/>
                    </w:rPr>
                    <w:t>ULPA过滤器</w:t>
                  </w:r>
                  <w:r>
                    <w:rPr>
                      <w:rFonts w:hint="eastAsia"/>
                      <w:color w:val="auto"/>
                      <w:sz w:val="21"/>
                      <w:szCs w:val="21"/>
                      <w:highlight w:val="none"/>
                      <w:lang w:val="en-US" w:eastAsia="zh-CN"/>
                    </w:rPr>
                    <w:t>处理后无组织排放</w:t>
                  </w:r>
                </w:p>
              </w:tc>
              <w:tc>
                <w:tcPr>
                  <w:tcW w:w="452" w:type="pct"/>
                  <w:vMerge w:val="restart"/>
                  <w:tcBorders>
                    <w:tl2br w:val="nil"/>
                    <w:tr2bl w:val="nil"/>
                  </w:tcBorders>
                  <w:vAlign w:val="center"/>
                </w:tcPr>
                <w:p w14:paraId="10B36776">
                  <w:pPr>
                    <w:pStyle w:val="41"/>
                    <w:bidi w:val="0"/>
                    <w:rPr>
                      <w:color w:val="auto"/>
                      <w:highlight w:val="none"/>
                    </w:rPr>
                  </w:pPr>
                  <w:r>
                    <w:rPr>
                      <w:rFonts w:hint="eastAsia"/>
                      <w:color w:val="auto"/>
                      <w:highlight w:val="none"/>
                    </w:rPr>
                    <w:t>大气</w:t>
                  </w:r>
                </w:p>
              </w:tc>
            </w:tr>
            <w:tr w14:paraId="38F5DB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39223987">
                  <w:pPr>
                    <w:pStyle w:val="41"/>
                    <w:bidi w:val="0"/>
                    <w:rPr>
                      <w:color w:val="auto"/>
                      <w:highlight w:val="none"/>
                    </w:rPr>
                  </w:pPr>
                </w:p>
              </w:tc>
              <w:tc>
                <w:tcPr>
                  <w:tcW w:w="1102" w:type="pct"/>
                  <w:tcBorders>
                    <w:tl2br w:val="nil"/>
                    <w:tr2bl w:val="nil"/>
                  </w:tcBorders>
                  <w:vAlign w:val="center"/>
                </w:tcPr>
                <w:p w14:paraId="0FA8EC20">
                  <w:pPr>
                    <w:pStyle w:val="41"/>
                    <w:bidi w:val="0"/>
                    <w:rPr>
                      <w:rFonts w:hint="default" w:eastAsia="宋体"/>
                      <w:color w:val="auto"/>
                      <w:highlight w:val="none"/>
                      <w:lang w:val="en-US" w:eastAsia="zh-CN"/>
                    </w:rPr>
                  </w:pPr>
                  <w:r>
                    <w:rPr>
                      <w:rFonts w:hint="eastAsia"/>
                      <w:color w:val="auto"/>
                      <w:highlight w:val="none"/>
                    </w:rPr>
                    <w:t>G</w:t>
                  </w:r>
                  <w:r>
                    <w:rPr>
                      <w:rFonts w:hint="eastAsia"/>
                      <w:color w:val="auto"/>
                      <w:highlight w:val="none"/>
                      <w:lang w:val="en-US" w:eastAsia="zh-CN"/>
                    </w:rPr>
                    <w:t>1-</w:t>
                  </w:r>
                  <w:r>
                    <w:rPr>
                      <w:rFonts w:hint="eastAsia"/>
                      <w:color w:val="auto"/>
                      <w:highlight w:val="none"/>
                    </w:rPr>
                    <w:t>2</w:t>
                  </w:r>
                  <w:r>
                    <w:rPr>
                      <w:rFonts w:hint="eastAsia"/>
                      <w:color w:val="auto"/>
                      <w:highlight w:val="none"/>
                      <w:lang w:eastAsia="zh-CN"/>
                    </w:rPr>
                    <w:t>、</w:t>
                  </w:r>
                  <w:r>
                    <w:rPr>
                      <w:rFonts w:hint="eastAsia"/>
                      <w:color w:val="auto"/>
                      <w:highlight w:val="none"/>
                      <w:lang w:val="en-US" w:eastAsia="zh-CN"/>
                    </w:rPr>
                    <w:t>G2-2、G3-1、G4-2、G5-1、G6-1、G7-1、G8-1、G8-2</w:t>
                  </w:r>
                </w:p>
              </w:tc>
              <w:tc>
                <w:tcPr>
                  <w:tcW w:w="926" w:type="pct"/>
                  <w:tcBorders>
                    <w:tl2br w:val="nil"/>
                    <w:tr2bl w:val="nil"/>
                  </w:tcBorders>
                  <w:vAlign w:val="center"/>
                </w:tcPr>
                <w:p w14:paraId="767095FB">
                  <w:pPr>
                    <w:pStyle w:val="41"/>
                    <w:bidi w:val="0"/>
                    <w:rPr>
                      <w:rFonts w:hint="default"/>
                      <w:color w:val="auto"/>
                      <w:highlight w:val="none"/>
                      <w:lang w:val="en-US"/>
                    </w:rPr>
                  </w:pPr>
                  <w:r>
                    <w:rPr>
                      <w:rFonts w:hint="eastAsia"/>
                      <w:color w:val="auto"/>
                      <w:highlight w:val="none"/>
                      <w:lang w:val="en-US" w:eastAsia="zh-CN"/>
                    </w:rPr>
                    <w:t>试剂挥发废气</w:t>
                  </w:r>
                </w:p>
              </w:tc>
              <w:tc>
                <w:tcPr>
                  <w:tcW w:w="1008" w:type="pct"/>
                  <w:tcBorders>
                    <w:tl2br w:val="nil"/>
                    <w:tr2bl w:val="nil"/>
                  </w:tcBorders>
                  <w:vAlign w:val="center"/>
                </w:tcPr>
                <w:p w14:paraId="33241953">
                  <w:pPr>
                    <w:pStyle w:val="41"/>
                    <w:bidi w:val="0"/>
                    <w:rPr>
                      <w:color w:val="auto"/>
                      <w:highlight w:val="none"/>
                    </w:rPr>
                  </w:pPr>
                  <w:r>
                    <w:rPr>
                      <w:rFonts w:hint="eastAsia"/>
                      <w:color w:val="auto"/>
                      <w:highlight w:val="none"/>
                    </w:rPr>
                    <w:t>非甲烷总烃、乙酸乙酯、甲醇、二氯甲烷、乙腈</w:t>
                  </w:r>
                </w:p>
              </w:tc>
              <w:tc>
                <w:tcPr>
                  <w:tcW w:w="1237" w:type="pct"/>
                  <w:vMerge w:val="restart"/>
                  <w:tcBorders>
                    <w:tl2br w:val="nil"/>
                    <w:tr2bl w:val="nil"/>
                  </w:tcBorders>
                  <w:vAlign w:val="center"/>
                </w:tcPr>
                <w:p w14:paraId="329CB0AB">
                  <w:pPr>
                    <w:pStyle w:val="41"/>
                    <w:bidi w:val="0"/>
                    <w:rPr>
                      <w:rFonts w:hint="default"/>
                      <w:color w:val="auto"/>
                      <w:highlight w:val="none"/>
                      <w:lang w:val="en-US" w:eastAsia="zh-CN"/>
                    </w:rPr>
                  </w:pPr>
                  <w:r>
                    <w:rPr>
                      <w:rFonts w:hint="eastAsia"/>
                      <w:color w:val="auto"/>
                      <w:highlight w:val="none"/>
                      <w:lang w:val="en-US" w:eastAsia="zh-CN"/>
                    </w:rPr>
                    <w:t>2套二级活性炭吸附装置（TA005-TA006）+2根楼顶70m排气筒（DA005-DA006）</w:t>
                  </w:r>
                </w:p>
              </w:tc>
              <w:tc>
                <w:tcPr>
                  <w:tcW w:w="452" w:type="pct"/>
                  <w:vMerge w:val="continue"/>
                  <w:tcBorders>
                    <w:tl2br w:val="nil"/>
                    <w:tr2bl w:val="nil"/>
                  </w:tcBorders>
                  <w:vAlign w:val="center"/>
                </w:tcPr>
                <w:p w14:paraId="5B63CB9F">
                  <w:pPr>
                    <w:pStyle w:val="41"/>
                    <w:bidi w:val="0"/>
                    <w:rPr>
                      <w:color w:val="auto"/>
                      <w:highlight w:val="none"/>
                    </w:rPr>
                  </w:pPr>
                </w:p>
              </w:tc>
            </w:tr>
            <w:tr w14:paraId="139115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0DDFDEF9">
                  <w:pPr>
                    <w:pStyle w:val="41"/>
                    <w:bidi w:val="0"/>
                    <w:rPr>
                      <w:color w:val="auto"/>
                      <w:highlight w:val="none"/>
                    </w:rPr>
                  </w:pPr>
                </w:p>
              </w:tc>
              <w:tc>
                <w:tcPr>
                  <w:tcW w:w="1102" w:type="pct"/>
                  <w:tcBorders>
                    <w:tl2br w:val="nil"/>
                    <w:tr2bl w:val="nil"/>
                  </w:tcBorders>
                  <w:shd w:val="clear" w:color="auto" w:fill="auto"/>
                  <w:vAlign w:val="center"/>
                </w:tcPr>
                <w:p w14:paraId="440D65F5">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G</w:t>
                  </w:r>
                  <w:r>
                    <w:rPr>
                      <w:rFonts w:hint="eastAsia"/>
                      <w:color w:val="auto"/>
                      <w:highlight w:val="none"/>
                      <w:lang w:val="en-US" w:eastAsia="zh-CN"/>
                    </w:rPr>
                    <w:t>9-1</w:t>
                  </w:r>
                </w:p>
              </w:tc>
              <w:tc>
                <w:tcPr>
                  <w:tcW w:w="926" w:type="pct"/>
                  <w:tcBorders>
                    <w:tl2br w:val="nil"/>
                    <w:tr2bl w:val="nil"/>
                  </w:tcBorders>
                  <w:shd w:val="clear" w:color="auto" w:fill="auto"/>
                  <w:vAlign w:val="center"/>
                </w:tcPr>
                <w:p w14:paraId="3E918287">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危化品库废气</w:t>
                  </w:r>
                </w:p>
              </w:tc>
              <w:tc>
                <w:tcPr>
                  <w:tcW w:w="1008" w:type="pct"/>
                  <w:tcBorders>
                    <w:tl2br w:val="nil"/>
                    <w:tr2bl w:val="nil"/>
                  </w:tcBorders>
                  <w:shd w:val="clear" w:color="auto" w:fill="auto"/>
                  <w:vAlign w:val="center"/>
                </w:tcPr>
                <w:p w14:paraId="505439EA">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非甲烷总烃、乙酸乙酯、甲醇、二氯甲烷、乙腈</w:t>
                  </w:r>
                </w:p>
              </w:tc>
              <w:tc>
                <w:tcPr>
                  <w:tcW w:w="1237" w:type="pct"/>
                  <w:vMerge w:val="continue"/>
                  <w:tcBorders>
                    <w:tl2br w:val="nil"/>
                    <w:tr2bl w:val="nil"/>
                  </w:tcBorders>
                  <w:vAlign w:val="center"/>
                </w:tcPr>
                <w:p w14:paraId="3F070E31">
                  <w:pPr>
                    <w:pStyle w:val="41"/>
                    <w:bidi w:val="0"/>
                    <w:rPr>
                      <w:rFonts w:hint="eastAsia"/>
                      <w:color w:val="auto"/>
                      <w:highlight w:val="none"/>
                      <w:lang w:val="en-US" w:eastAsia="zh-CN"/>
                    </w:rPr>
                  </w:pPr>
                </w:p>
              </w:tc>
              <w:tc>
                <w:tcPr>
                  <w:tcW w:w="452" w:type="pct"/>
                  <w:vMerge w:val="continue"/>
                  <w:tcBorders>
                    <w:tl2br w:val="nil"/>
                    <w:tr2bl w:val="nil"/>
                  </w:tcBorders>
                  <w:vAlign w:val="center"/>
                </w:tcPr>
                <w:p w14:paraId="43358961">
                  <w:pPr>
                    <w:pStyle w:val="41"/>
                    <w:bidi w:val="0"/>
                    <w:rPr>
                      <w:color w:val="auto"/>
                      <w:highlight w:val="none"/>
                    </w:rPr>
                  </w:pPr>
                </w:p>
              </w:tc>
            </w:tr>
            <w:tr w14:paraId="277990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66DF4FEC">
                  <w:pPr>
                    <w:pStyle w:val="41"/>
                    <w:bidi w:val="0"/>
                    <w:rPr>
                      <w:color w:val="auto"/>
                      <w:highlight w:val="none"/>
                    </w:rPr>
                  </w:pPr>
                </w:p>
              </w:tc>
              <w:tc>
                <w:tcPr>
                  <w:tcW w:w="1102" w:type="pct"/>
                  <w:tcBorders>
                    <w:tl2br w:val="nil"/>
                    <w:tr2bl w:val="nil"/>
                  </w:tcBorders>
                  <w:vAlign w:val="center"/>
                </w:tcPr>
                <w:p w14:paraId="2D75B61D">
                  <w:pPr>
                    <w:pStyle w:val="41"/>
                    <w:bidi w:val="0"/>
                    <w:rPr>
                      <w:rFonts w:hint="default" w:eastAsia="宋体"/>
                      <w:color w:val="auto"/>
                      <w:highlight w:val="none"/>
                      <w:lang w:val="en-US" w:eastAsia="zh-CN"/>
                    </w:rPr>
                  </w:pPr>
                  <w:r>
                    <w:rPr>
                      <w:rFonts w:hint="eastAsia"/>
                      <w:color w:val="auto"/>
                      <w:highlight w:val="none"/>
                      <w:lang w:val="en-US" w:eastAsia="zh-CN"/>
                    </w:rPr>
                    <w:t>G4-1</w:t>
                  </w:r>
                </w:p>
              </w:tc>
              <w:tc>
                <w:tcPr>
                  <w:tcW w:w="926" w:type="pct"/>
                  <w:tcBorders>
                    <w:tl2br w:val="nil"/>
                    <w:tr2bl w:val="nil"/>
                  </w:tcBorders>
                  <w:vAlign w:val="center"/>
                </w:tcPr>
                <w:p w14:paraId="2D75A05E">
                  <w:pPr>
                    <w:pStyle w:val="41"/>
                    <w:bidi w:val="0"/>
                    <w:rPr>
                      <w:rFonts w:hint="default"/>
                      <w:color w:val="auto"/>
                      <w:highlight w:val="none"/>
                      <w:lang w:val="en-US" w:eastAsia="zh-CN"/>
                    </w:rPr>
                  </w:pPr>
                  <w:r>
                    <w:rPr>
                      <w:rFonts w:hint="eastAsia"/>
                      <w:color w:val="auto"/>
                      <w:highlight w:val="none"/>
                      <w:lang w:val="en-US" w:eastAsia="zh-CN"/>
                    </w:rPr>
                    <w:t>粉碎废气</w:t>
                  </w:r>
                </w:p>
              </w:tc>
              <w:tc>
                <w:tcPr>
                  <w:tcW w:w="1008" w:type="pct"/>
                  <w:tcBorders>
                    <w:tl2br w:val="nil"/>
                    <w:tr2bl w:val="nil"/>
                  </w:tcBorders>
                  <w:vAlign w:val="center"/>
                </w:tcPr>
                <w:p w14:paraId="22266812">
                  <w:pPr>
                    <w:pStyle w:val="41"/>
                    <w:bidi w:val="0"/>
                    <w:rPr>
                      <w:rFonts w:hint="eastAsia" w:eastAsia="宋体"/>
                      <w:color w:val="auto"/>
                      <w:highlight w:val="none"/>
                      <w:lang w:val="en-US" w:eastAsia="zh-CN"/>
                    </w:rPr>
                  </w:pPr>
                  <w:r>
                    <w:rPr>
                      <w:rFonts w:hint="eastAsia"/>
                      <w:color w:val="auto"/>
                      <w:highlight w:val="none"/>
                      <w:lang w:val="en-US" w:eastAsia="zh-CN"/>
                    </w:rPr>
                    <w:t>颗粒物</w:t>
                  </w:r>
                </w:p>
              </w:tc>
              <w:tc>
                <w:tcPr>
                  <w:tcW w:w="1237" w:type="pct"/>
                  <w:tcBorders>
                    <w:tl2br w:val="nil"/>
                    <w:tr2bl w:val="nil"/>
                  </w:tcBorders>
                  <w:vAlign w:val="center"/>
                </w:tcPr>
                <w:p w14:paraId="5AE663AB">
                  <w:pPr>
                    <w:pStyle w:val="41"/>
                    <w:bidi w:val="0"/>
                    <w:rPr>
                      <w:rFonts w:hint="default"/>
                      <w:color w:val="auto"/>
                      <w:highlight w:val="none"/>
                      <w:lang w:val="en-US" w:eastAsia="zh-CN"/>
                    </w:rPr>
                  </w:pPr>
                  <w:r>
                    <w:rPr>
                      <w:rFonts w:hint="eastAsia"/>
                      <w:color w:val="auto"/>
                      <w:highlight w:val="none"/>
                      <w:lang w:val="en-US" w:eastAsia="zh-CN"/>
                    </w:rPr>
                    <w:t>无组织排放</w:t>
                  </w:r>
                </w:p>
              </w:tc>
              <w:tc>
                <w:tcPr>
                  <w:tcW w:w="452" w:type="pct"/>
                  <w:vMerge w:val="continue"/>
                  <w:tcBorders>
                    <w:tl2br w:val="nil"/>
                    <w:tr2bl w:val="nil"/>
                  </w:tcBorders>
                  <w:vAlign w:val="center"/>
                </w:tcPr>
                <w:p w14:paraId="7B63C0FD">
                  <w:pPr>
                    <w:pStyle w:val="41"/>
                    <w:bidi w:val="0"/>
                    <w:rPr>
                      <w:color w:val="auto"/>
                      <w:highlight w:val="none"/>
                    </w:rPr>
                  </w:pPr>
                </w:p>
              </w:tc>
            </w:tr>
            <w:tr w14:paraId="2A4F0D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713DE0A1">
                  <w:pPr>
                    <w:pStyle w:val="41"/>
                    <w:bidi w:val="0"/>
                    <w:rPr>
                      <w:color w:val="auto"/>
                      <w:highlight w:val="none"/>
                    </w:rPr>
                  </w:pPr>
                </w:p>
              </w:tc>
              <w:tc>
                <w:tcPr>
                  <w:tcW w:w="1102" w:type="pct"/>
                  <w:tcBorders>
                    <w:tl2br w:val="nil"/>
                    <w:tr2bl w:val="nil"/>
                  </w:tcBorders>
                  <w:vAlign w:val="center"/>
                </w:tcPr>
                <w:p w14:paraId="0C0C2C58">
                  <w:pPr>
                    <w:pStyle w:val="41"/>
                    <w:bidi w:val="0"/>
                    <w:rPr>
                      <w:rFonts w:hint="default"/>
                      <w:color w:val="auto"/>
                      <w:highlight w:val="none"/>
                      <w:lang w:val="en-US" w:eastAsia="zh-CN"/>
                    </w:rPr>
                  </w:pPr>
                  <w:r>
                    <w:rPr>
                      <w:rFonts w:hint="eastAsia"/>
                      <w:color w:val="auto"/>
                      <w:highlight w:val="none"/>
                      <w:lang w:val="en-US" w:eastAsia="zh-CN"/>
                    </w:rPr>
                    <w:t>G8-3</w:t>
                  </w:r>
                </w:p>
              </w:tc>
              <w:tc>
                <w:tcPr>
                  <w:tcW w:w="926" w:type="pct"/>
                  <w:tcBorders>
                    <w:tl2br w:val="nil"/>
                    <w:tr2bl w:val="nil"/>
                  </w:tcBorders>
                  <w:vAlign w:val="center"/>
                </w:tcPr>
                <w:p w14:paraId="70097766">
                  <w:pPr>
                    <w:pStyle w:val="41"/>
                    <w:bidi w:val="0"/>
                    <w:rPr>
                      <w:rFonts w:hint="default"/>
                      <w:color w:val="auto"/>
                      <w:highlight w:val="none"/>
                      <w:lang w:val="en-US" w:eastAsia="zh-CN"/>
                    </w:rPr>
                  </w:pPr>
                  <w:r>
                    <w:rPr>
                      <w:rFonts w:hint="eastAsia"/>
                      <w:color w:val="auto"/>
                      <w:highlight w:val="none"/>
                      <w:lang w:val="en-US" w:eastAsia="zh-CN"/>
                    </w:rPr>
                    <w:t>制粒废气</w:t>
                  </w:r>
                </w:p>
              </w:tc>
              <w:tc>
                <w:tcPr>
                  <w:tcW w:w="1008" w:type="pct"/>
                  <w:tcBorders>
                    <w:tl2br w:val="nil"/>
                    <w:tr2bl w:val="nil"/>
                  </w:tcBorders>
                  <w:vAlign w:val="center"/>
                </w:tcPr>
                <w:p w14:paraId="5EDB33B1">
                  <w:pPr>
                    <w:pStyle w:val="41"/>
                    <w:bidi w:val="0"/>
                    <w:rPr>
                      <w:rFonts w:hint="eastAsia" w:eastAsia="宋体"/>
                      <w:color w:val="auto"/>
                      <w:highlight w:val="none"/>
                      <w:lang w:val="en-US" w:eastAsia="zh-CN"/>
                    </w:rPr>
                  </w:pPr>
                  <w:r>
                    <w:rPr>
                      <w:rFonts w:hint="eastAsia"/>
                      <w:color w:val="auto"/>
                      <w:highlight w:val="none"/>
                      <w:lang w:val="en-US" w:eastAsia="zh-CN"/>
                    </w:rPr>
                    <w:t>颗粒物</w:t>
                  </w:r>
                </w:p>
              </w:tc>
              <w:tc>
                <w:tcPr>
                  <w:tcW w:w="1237" w:type="pct"/>
                  <w:tcBorders>
                    <w:tl2br w:val="nil"/>
                    <w:tr2bl w:val="nil"/>
                  </w:tcBorders>
                  <w:vAlign w:val="center"/>
                </w:tcPr>
                <w:p w14:paraId="67A6ABFD">
                  <w:pPr>
                    <w:pStyle w:val="41"/>
                    <w:bidi w:val="0"/>
                    <w:rPr>
                      <w:rFonts w:hint="eastAsia"/>
                      <w:color w:val="auto"/>
                      <w:highlight w:val="none"/>
                      <w:lang w:val="en-US" w:eastAsia="zh-CN"/>
                    </w:rPr>
                  </w:pPr>
                  <w:r>
                    <w:rPr>
                      <w:rFonts w:hint="eastAsia"/>
                      <w:color w:val="auto"/>
                      <w:highlight w:val="none"/>
                      <w:lang w:val="en-US" w:eastAsia="zh-CN"/>
                    </w:rPr>
                    <w:t>无组织排放</w:t>
                  </w:r>
                </w:p>
              </w:tc>
              <w:tc>
                <w:tcPr>
                  <w:tcW w:w="452" w:type="pct"/>
                  <w:vMerge w:val="continue"/>
                  <w:tcBorders>
                    <w:tl2br w:val="nil"/>
                    <w:tr2bl w:val="nil"/>
                  </w:tcBorders>
                  <w:vAlign w:val="center"/>
                </w:tcPr>
                <w:p w14:paraId="73B4D0A4">
                  <w:pPr>
                    <w:pStyle w:val="41"/>
                    <w:bidi w:val="0"/>
                    <w:rPr>
                      <w:color w:val="auto"/>
                      <w:highlight w:val="none"/>
                    </w:rPr>
                  </w:pPr>
                </w:p>
              </w:tc>
            </w:tr>
            <w:tr w14:paraId="13EF75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1" w:type="pct"/>
                  <w:vMerge w:val="continue"/>
                  <w:tcBorders>
                    <w:tl2br w:val="nil"/>
                    <w:tr2bl w:val="nil"/>
                  </w:tcBorders>
                  <w:vAlign w:val="center"/>
                </w:tcPr>
                <w:p w14:paraId="131525FA">
                  <w:pPr>
                    <w:pStyle w:val="41"/>
                    <w:bidi w:val="0"/>
                    <w:rPr>
                      <w:color w:val="auto"/>
                      <w:highlight w:val="none"/>
                    </w:rPr>
                  </w:pPr>
                </w:p>
              </w:tc>
              <w:tc>
                <w:tcPr>
                  <w:tcW w:w="1102" w:type="pct"/>
                  <w:tcBorders>
                    <w:tl2br w:val="nil"/>
                    <w:tr2bl w:val="nil"/>
                  </w:tcBorders>
                  <w:shd w:val="clear" w:color="auto" w:fill="auto"/>
                  <w:vAlign w:val="center"/>
                </w:tcPr>
                <w:p w14:paraId="60E792D9">
                  <w:pPr>
                    <w:pStyle w:val="41"/>
                    <w:bidi w:val="0"/>
                    <w:rPr>
                      <w:rFonts w:hint="default" w:eastAsia="宋体"/>
                      <w:color w:val="auto"/>
                      <w:highlight w:val="none"/>
                      <w:lang w:val="en-US" w:eastAsia="zh-CN"/>
                    </w:rPr>
                  </w:pPr>
                  <w:r>
                    <w:rPr>
                      <w:rFonts w:hint="eastAsia"/>
                      <w:color w:val="auto"/>
                      <w:highlight w:val="none"/>
                      <w:lang w:val="en-US" w:eastAsia="zh-CN"/>
                    </w:rPr>
                    <w:t>G9-2</w:t>
                  </w:r>
                </w:p>
              </w:tc>
              <w:tc>
                <w:tcPr>
                  <w:tcW w:w="926" w:type="pct"/>
                  <w:tcBorders>
                    <w:tl2br w:val="nil"/>
                    <w:tr2bl w:val="nil"/>
                  </w:tcBorders>
                  <w:shd w:val="clear" w:color="auto" w:fill="auto"/>
                  <w:vAlign w:val="center"/>
                </w:tcPr>
                <w:p w14:paraId="378F2499">
                  <w:pPr>
                    <w:pStyle w:val="41"/>
                    <w:bidi w:val="0"/>
                    <w:rPr>
                      <w:rFonts w:hint="default"/>
                      <w:color w:val="auto"/>
                      <w:highlight w:val="none"/>
                      <w:lang w:val="en-US" w:eastAsia="zh-CN"/>
                    </w:rPr>
                  </w:pPr>
                  <w:r>
                    <w:rPr>
                      <w:rFonts w:hint="eastAsia"/>
                      <w:color w:val="auto"/>
                      <w:highlight w:val="none"/>
                      <w:lang w:val="en-US" w:eastAsia="zh-CN"/>
                    </w:rPr>
                    <w:t>危废贮存废气</w:t>
                  </w:r>
                </w:p>
              </w:tc>
              <w:tc>
                <w:tcPr>
                  <w:tcW w:w="1008" w:type="pct"/>
                  <w:tcBorders>
                    <w:tl2br w:val="nil"/>
                    <w:tr2bl w:val="nil"/>
                  </w:tcBorders>
                  <w:shd w:val="clear" w:color="auto" w:fill="auto"/>
                  <w:vAlign w:val="center"/>
                </w:tcPr>
                <w:p w14:paraId="0E04E2A7">
                  <w:pPr>
                    <w:pStyle w:val="41"/>
                    <w:bidi w:val="0"/>
                    <w:rPr>
                      <w:rFonts w:hint="eastAsia"/>
                      <w:color w:val="auto"/>
                      <w:highlight w:val="none"/>
                    </w:rPr>
                  </w:pPr>
                  <w:r>
                    <w:rPr>
                      <w:rFonts w:hint="eastAsia"/>
                      <w:color w:val="auto"/>
                      <w:highlight w:val="none"/>
                    </w:rPr>
                    <w:t>NMHC</w:t>
                  </w:r>
                </w:p>
              </w:tc>
              <w:tc>
                <w:tcPr>
                  <w:tcW w:w="1237" w:type="pct"/>
                  <w:tcBorders>
                    <w:tl2br w:val="nil"/>
                    <w:tr2bl w:val="nil"/>
                  </w:tcBorders>
                  <w:shd w:val="clear" w:color="auto" w:fill="auto"/>
                  <w:vAlign w:val="center"/>
                </w:tcPr>
                <w:p w14:paraId="083CE90F">
                  <w:pPr>
                    <w:pStyle w:val="41"/>
                    <w:bidi w:val="0"/>
                    <w:rPr>
                      <w:rFonts w:hint="eastAsia"/>
                      <w:color w:val="auto"/>
                      <w:highlight w:val="none"/>
                      <w:lang w:val="en-US" w:eastAsia="zh-CN"/>
                    </w:rPr>
                  </w:pPr>
                  <w:r>
                    <w:rPr>
                      <w:rFonts w:hint="eastAsia"/>
                      <w:color w:val="auto"/>
                      <w:highlight w:val="none"/>
                      <w:lang w:val="en-US" w:eastAsia="zh-CN"/>
                    </w:rPr>
                    <w:t>无组织排放</w:t>
                  </w:r>
                </w:p>
              </w:tc>
              <w:tc>
                <w:tcPr>
                  <w:tcW w:w="452" w:type="pct"/>
                  <w:vMerge w:val="continue"/>
                  <w:tcBorders>
                    <w:tl2br w:val="nil"/>
                    <w:tr2bl w:val="nil"/>
                  </w:tcBorders>
                  <w:vAlign w:val="center"/>
                </w:tcPr>
                <w:p w14:paraId="6C316A3B">
                  <w:pPr>
                    <w:pStyle w:val="41"/>
                    <w:bidi w:val="0"/>
                    <w:rPr>
                      <w:color w:val="auto"/>
                      <w:highlight w:val="none"/>
                    </w:rPr>
                  </w:pPr>
                </w:p>
              </w:tc>
            </w:tr>
            <w:tr w14:paraId="2F77CE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1" w:type="pct"/>
                  <w:vMerge w:val="continue"/>
                  <w:tcBorders>
                    <w:tl2br w:val="nil"/>
                    <w:tr2bl w:val="nil"/>
                  </w:tcBorders>
                  <w:vAlign w:val="center"/>
                </w:tcPr>
                <w:p w14:paraId="6C228A90">
                  <w:pPr>
                    <w:pStyle w:val="41"/>
                    <w:bidi w:val="0"/>
                    <w:rPr>
                      <w:color w:val="auto"/>
                      <w:highlight w:val="none"/>
                    </w:rPr>
                  </w:pPr>
                </w:p>
              </w:tc>
              <w:tc>
                <w:tcPr>
                  <w:tcW w:w="1102" w:type="pct"/>
                  <w:tcBorders>
                    <w:tl2br w:val="nil"/>
                    <w:tr2bl w:val="nil"/>
                  </w:tcBorders>
                  <w:shd w:val="clear" w:color="auto" w:fill="auto"/>
                  <w:vAlign w:val="center"/>
                </w:tcPr>
                <w:p w14:paraId="497EB96D">
                  <w:pPr>
                    <w:pStyle w:val="41"/>
                    <w:bidi w:val="0"/>
                    <w:rPr>
                      <w:rFonts w:hint="default" w:eastAsia="宋体"/>
                      <w:color w:val="auto"/>
                      <w:highlight w:val="none"/>
                      <w:lang w:val="en-US" w:eastAsia="zh-CN"/>
                    </w:rPr>
                  </w:pPr>
                  <w:r>
                    <w:rPr>
                      <w:rFonts w:hint="eastAsia"/>
                      <w:color w:val="auto"/>
                      <w:highlight w:val="none"/>
                      <w:lang w:val="en-US" w:eastAsia="zh-CN"/>
                    </w:rPr>
                    <w:t>G9-3</w:t>
                  </w:r>
                </w:p>
              </w:tc>
              <w:tc>
                <w:tcPr>
                  <w:tcW w:w="926" w:type="pct"/>
                  <w:tcBorders>
                    <w:tl2br w:val="nil"/>
                    <w:tr2bl w:val="nil"/>
                  </w:tcBorders>
                  <w:shd w:val="clear" w:color="auto" w:fill="auto"/>
                  <w:vAlign w:val="center"/>
                </w:tcPr>
                <w:p w14:paraId="46BA803F">
                  <w:pPr>
                    <w:pStyle w:val="41"/>
                    <w:bidi w:val="0"/>
                    <w:rPr>
                      <w:rFonts w:hint="default"/>
                      <w:color w:val="auto"/>
                      <w:highlight w:val="none"/>
                      <w:lang w:val="en-US" w:eastAsia="zh-CN"/>
                    </w:rPr>
                  </w:pPr>
                  <w:r>
                    <w:rPr>
                      <w:rFonts w:hint="eastAsia"/>
                      <w:color w:val="auto"/>
                      <w:highlight w:val="none"/>
                      <w:lang w:val="en-US" w:eastAsia="zh-CN"/>
                    </w:rPr>
                    <w:t>污水站废气</w:t>
                  </w:r>
                </w:p>
              </w:tc>
              <w:tc>
                <w:tcPr>
                  <w:tcW w:w="1008" w:type="pct"/>
                  <w:tcBorders>
                    <w:tl2br w:val="nil"/>
                    <w:tr2bl w:val="nil"/>
                  </w:tcBorders>
                  <w:shd w:val="clear" w:color="auto" w:fill="auto"/>
                  <w:vAlign w:val="center"/>
                </w:tcPr>
                <w:p w14:paraId="00EEC544">
                  <w:pPr>
                    <w:pStyle w:val="41"/>
                    <w:bidi w:val="0"/>
                    <w:rPr>
                      <w:rFonts w:hint="default" w:eastAsia="宋体"/>
                      <w:color w:val="auto"/>
                      <w:highlight w:val="none"/>
                      <w:lang w:val="en-US" w:eastAsia="zh-CN"/>
                    </w:rPr>
                  </w:pPr>
                  <w:r>
                    <w:rPr>
                      <w:rFonts w:hint="eastAsia"/>
                      <w:color w:val="auto"/>
                      <w:highlight w:val="none"/>
                      <w:lang w:val="en-US" w:eastAsia="zh-CN"/>
                    </w:rPr>
                    <w:t>氨、硫化氢、臭气浓度</w:t>
                  </w:r>
                </w:p>
              </w:tc>
              <w:tc>
                <w:tcPr>
                  <w:tcW w:w="1237" w:type="pct"/>
                  <w:tcBorders>
                    <w:tl2br w:val="nil"/>
                    <w:tr2bl w:val="nil"/>
                  </w:tcBorders>
                  <w:shd w:val="clear" w:color="auto" w:fill="auto"/>
                  <w:vAlign w:val="center"/>
                </w:tcPr>
                <w:p w14:paraId="19980E3C">
                  <w:pPr>
                    <w:pStyle w:val="41"/>
                    <w:bidi w:val="0"/>
                    <w:rPr>
                      <w:rFonts w:hint="eastAsia"/>
                      <w:color w:val="auto"/>
                      <w:highlight w:val="none"/>
                      <w:lang w:val="en-US" w:eastAsia="zh-CN"/>
                    </w:rPr>
                  </w:pPr>
                  <w:r>
                    <w:rPr>
                      <w:rFonts w:hint="eastAsia"/>
                      <w:lang w:val="en-US" w:eastAsia="zh-CN"/>
                    </w:rPr>
                    <w:t>水喷淋+除雾+活性炭吸附TA007+15m排气筒DA007</w:t>
                  </w:r>
                </w:p>
              </w:tc>
              <w:tc>
                <w:tcPr>
                  <w:tcW w:w="452" w:type="pct"/>
                  <w:vMerge w:val="continue"/>
                  <w:tcBorders>
                    <w:tl2br w:val="nil"/>
                    <w:tr2bl w:val="nil"/>
                  </w:tcBorders>
                  <w:vAlign w:val="center"/>
                </w:tcPr>
                <w:p w14:paraId="61BC48B3">
                  <w:pPr>
                    <w:pStyle w:val="41"/>
                    <w:bidi w:val="0"/>
                    <w:rPr>
                      <w:color w:val="auto"/>
                      <w:highlight w:val="none"/>
                    </w:rPr>
                  </w:pPr>
                </w:p>
              </w:tc>
            </w:tr>
            <w:tr w14:paraId="452165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9" w:hRule="atLeast"/>
              </w:trPr>
              <w:tc>
                <w:tcPr>
                  <w:tcW w:w="271" w:type="pct"/>
                  <w:vMerge w:val="restart"/>
                  <w:tcBorders>
                    <w:tl2br w:val="nil"/>
                    <w:tr2bl w:val="nil"/>
                  </w:tcBorders>
                  <w:vAlign w:val="center"/>
                </w:tcPr>
                <w:p w14:paraId="12F612BF">
                  <w:pPr>
                    <w:pStyle w:val="41"/>
                    <w:bidi w:val="0"/>
                    <w:rPr>
                      <w:color w:val="auto"/>
                      <w:highlight w:val="none"/>
                    </w:rPr>
                  </w:pPr>
                  <w:r>
                    <w:rPr>
                      <w:color w:val="auto"/>
                      <w:highlight w:val="none"/>
                    </w:rPr>
                    <w:t>固体</w:t>
                  </w:r>
                </w:p>
                <w:p w14:paraId="72E9B517">
                  <w:pPr>
                    <w:pStyle w:val="41"/>
                    <w:bidi w:val="0"/>
                    <w:rPr>
                      <w:color w:val="auto"/>
                      <w:highlight w:val="none"/>
                    </w:rPr>
                  </w:pPr>
                  <w:r>
                    <w:rPr>
                      <w:color w:val="auto"/>
                      <w:highlight w:val="none"/>
                    </w:rPr>
                    <w:t>废物</w:t>
                  </w:r>
                </w:p>
              </w:tc>
              <w:tc>
                <w:tcPr>
                  <w:tcW w:w="1102" w:type="pct"/>
                  <w:tcBorders>
                    <w:tl2br w:val="nil"/>
                    <w:tr2bl w:val="nil"/>
                  </w:tcBorders>
                  <w:shd w:val="clear" w:color="auto" w:fill="auto"/>
                  <w:vAlign w:val="center"/>
                </w:tcPr>
                <w:p w14:paraId="5566D6DD">
                  <w:pPr>
                    <w:pStyle w:val="41"/>
                    <w:bidi w:val="0"/>
                    <w:rPr>
                      <w:rFonts w:hint="default"/>
                      <w:lang w:val="en-US" w:eastAsia="zh-CN"/>
                    </w:rPr>
                  </w:pPr>
                  <w:r>
                    <w:rPr>
                      <w:rFonts w:hint="eastAsia"/>
                      <w:lang w:val="en-US" w:eastAsia="zh-CN"/>
                    </w:rPr>
                    <w:t>S1-1、S2-1、S2-2、S3-1、S4-1、S5-1、S6-1、S7-1、S8-1、S8-3</w:t>
                  </w:r>
                </w:p>
              </w:tc>
              <w:tc>
                <w:tcPr>
                  <w:tcW w:w="926" w:type="pct"/>
                  <w:tcBorders>
                    <w:tl2br w:val="nil"/>
                    <w:tr2bl w:val="nil"/>
                  </w:tcBorders>
                  <w:shd w:val="clear" w:color="auto" w:fill="auto"/>
                  <w:vAlign w:val="center"/>
                </w:tcPr>
                <w:p w14:paraId="1FCF923B">
                  <w:pPr>
                    <w:pStyle w:val="41"/>
                    <w:bidi w:val="0"/>
                    <w:rPr>
                      <w:rFonts w:hint="default"/>
                      <w:lang w:val="en-US" w:eastAsia="zh-CN"/>
                    </w:rPr>
                  </w:pPr>
                  <w:r>
                    <w:rPr>
                      <w:rFonts w:hint="eastAsia"/>
                      <w:lang w:val="en-US" w:eastAsia="zh-CN"/>
                    </w:rPr>
                    <w:t>实验研发</w:t>
                  </w:r>
                </w:p>
              </w:tc>
              <w:tc>
                <w:tcPr>
                  <w:tcW w:w="1008" w:type="pct"/>
                  <w:tcBorders>
                    <w:tl2br w:val="nil"/>
                    <w:tr2bl w:val="nil"/>
                  </w:tcBorders>
                  <w:shd w:val="clear" w:color="auto" w:fill="auto"/>
                  <w:vAlign w:val="center"/>
                </w:tcPr>
                <w:p w14:paraId="2FF1AD06">
                  <w:pPr>
                    <w:pStyle w:val="41"/>
                    <w:bidi w:val="0"/>
                    <w:rPr>
                      <w:rFonts w:hint="eastAsia"/>
                      <w:lang w:val="en-US" w:eastAsia="zh-CN"/>
                    </w:rPr>
                  </w:pPr>
                  <w:r>
                    <w:rPr>
                      <w:rFonts w:hint="eastAsia"/>
                      <w:lang w:eastAsia="zh-CN"/>
                    </w:rPr>
                    <w:t>废液及废料</w:t>
                  </w:r>
                </w:p>
              </w:tc>
              <w:tc>
                <w:tcPr>
                  <w:tcW w:w="1237" w:type="pct"/>
                  <w:vMerge w:val="restart"/>
                  <w:tcBorders>
                    <w:tl2br w:val="nil"/>
                    <w:tr2bl w:val="nil"/>
                  </w:tcBorders>
                  <w:vAlign w:val="center"/>
                </w:tcPr>
                <w:p w14:paraId="3AAE3D3D">
                  <w:pPr>
                    <w:pStyle w:val="41"/>
                    <w:bidi w:val="0"/>
                    <w:rPr>
                      <w:rFonts w:hint="default" w:eastAsia="宋体"/>
                      <w:color w:val="auto"/>
                      <w:highlight w:val="none"/>
                      <w:lang w:val="en-US" w:eastAsia="zh-CN"/>
                    </w:rPr>
                  </w:pPr>
                  <w:r>
                    <w:rPr>
                      <w:rFonts w:hint="eastAsia"/>
                      <w:color w:val="auto"/>
                      <w:highlight w:val="none"/>
                    </w:rPr>
                    <w:t>收集后</w:t>
                  </w:r>
                  <w:r>
                    <w:rPr>
                      <w:rFonts w:hint="eastAsia"/>
                      <w:color w:val="auto"/>
                      <w:highlight w:val="none"/>
                      <w:lang w:eastAsia="zh-CN"/>
                    </w:rPr>
                    <w:t>暂存于</w:t>
                  </w:r>
                  <w:r>
                    <w:rPr>
                      <w:rFonts w:hint="eastAsia"/>
                      <w:color w:val="auto"/>
                      <w:highlight w:val="none"/>
                      <w:lang w:val="en-US" w:eastAsia="zh-CN"/>
                    </w:rPr>
                    <w:t>各实验室危废贮存点，定期委托有资质单位处置</w:t>
                  </w:r>
                </w:p>
              </w:tc>
              <w:tc>
                <w:tcPr>
                  <w:tcW w:w="452" w:type="pct"/>
                  <w:vMerge w:val="restart"/>
                  <w:tcBorders>
                    <w:tl2br w:val="nil"/>
                    <w:tr2bl w:val="nil"/>
                  </w:tcBorders>
                  <w:vAlign w:val="center"/>
                </w:tcPr>
                <w:p w14:paraId="7C335DEE">
                  <w:pPr>
                    <w:pStyle w:val="41"/>
                    <w:bidi w:val="0"/>
                    <w:rPr>
                      <w:color w:val="auto"/>
                      <w:highlight w:val="none"/>
                    </w:rPr>
                  </w:pPr>
                  <w:r>
                    <w:rPr>
                      <w:rFonts w:hint="eastAsia"/>
                      <w:color w:val="auto"/>
                      <w:highlight w:val="none"/>
                    </w:rPr>
                    <w:t>合理处置</w:t>
                  </w:r>
                </w:p>
              </w:tc>
            </w:tr>
            <w:tr w14:paraId="29553B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346131E6">
                  <w:pPr>
                    <w:pStyle w:val="41"/>
                    <w:bidi w:val="0"/>
                    <w:rPr>
                      <w:color w:val="auto"/>
                      <w:highlight w:val="none"/>
                    </w:rPr>
                  </w:pPr>
                </w:p>
              </w:tc>
              <w:tc>
                <w:tcPr>
                  <w:tcW w:w="1102" w:type="pct"/>
                  <w:tcBorders>
                    <w:tl2br w:val="nil"/>
                    <w:tr2bl w:val="nil"/>
                  </w:tcBorders>
                  <w:shd w:val="clear" w:color="auto" w:fill="auto"/>
                  <w:vAlign w:val="center"/>
                </w:tcPr>
                <w:p w14:paraId="4A2ACE5D">
                  <w:pPr>
                    <w:pStyle w:val="41"/>
                    <w:bidi w:val="0"/>
                    <w:rPr>
                      <w:rFonts w:hint="default"/>
                      <w:lang w:val="en-US" w:eastAsia="zh-CN"/>
                    </w:rPr>
                  </w:pPr>
                  <w:r>
                    <w:rPr>
                      <w:rFonts w:hint="eastAsia"/>
                      <w:lang w:val="en-US" w:eastAsia="zh-CN"/>
                    </w:rPr>
                    <w:t>S1-2、S2-3、S3-2、S4-2、S5-2、S6-2、S7-2、S8-2、S8-4</w:t>
                  </w:r>
                </w:p>
              </w:tc>
              <w:tc>
                <w:tcPr>
                  <w:tcW w:w="926" w:type="pct"/>
                  <w:tcBorders>
                    <w:tl2br w:val="nil"/>
                    <w:tr2bl w:val="nil"/>
                  </w:tcBorders>
                  <w:shd w:val="clear" w:color="auto" w:fill="auto"/>
                  <w:vAlign w:val="center"/>
                </w:tcPr>
                <w:p w14:paraId="37F2DB49">
                  <w:pPr>
                    <w:pStyle w:val="41"/>
                    <w:bidi w:val="0"/>
                    <w:rPr>
                      <w:rFonts w:hint="default"/>
                      <w:lang w:val="en-US" w:eastAsia="zh-CN"/>
                    </w:rPr>
                  </w:pPr>
                  <w:r>
                    <w:rPr>
                      <w:rFonts w:hint="eastAsia"/>
                      <w:lang w:val="en-US" w:eastAsia="zh-CN"/>
                    </w:rPr>
                    <w:t>实验研发</w:t>
                  </w:r>
                </w:p>
              </w:tc>
              <w:tc>
                <w:tcPr>
                  <w:tcW w:w="1008" w:type="pct"/>
                  <w:tcBorders>
                    <w:tl2br w:val="nil"/>
                    <w:tr2bl w:val="nil"/>
                  </w:tcBorders>
                  <w:shd w:val="clear" w:color="auto" w:fill="auto"/>
                  <w:vAlign w:val="center"/>
                </w:tcPr>
                <w:p w14:paraId="46F7D19A">
                  <w:pPr>
                    <w:pStyle w:val="41"/>
                    <w:bidi w:val="0"/>
                    <w:rPr>
                      <w:rFonts w:hint="eastAsia"/>
                      <w:lang w:val="en-US" w:eastAsia="zh-CN"/>
                    </w:rPr>
                  </w:pPr>
                  <w:r>
                    <w:rPr>
                      <w:rFonts w:hint="eastAsia"/>
                      <w:lang w:val="en-US" w:eastAsia="zh-CN"/>
                    </w:rPr>
                    <w:t>废实验用品</w:t>
                  </w:r>
                </w:p>
              </w:tc>
              <w:tc>
                <w:tcPr>
                  <w:tcW w:w="1237" w:type="pct"/>
                  <w:vMerge w:val="continue"/>
                  <w:tcBorders>
                    <w:tl2br w:val="nil"/>
                    <w:tr2bl w:val="nil"/>
                  </w:tcBorders>
                  <w:vAlign w:val="center"/>
                </w:tcPr>
                <w:p w14:paraId="69683818">
                  <w:pPr>
                    <w:pStyle w:val="41"/>
                    <w:bidi w:val="0"/>
                    <w:rPr>
                      <w:color w:val="auto"/>
                      <w:highlight w:val="none"/>
                    </w:rPr>
                  </w:pPr>
                </w:p>
              </w:tc>
              <w:tc>
                <w:tcPr>
                  <w:tcW w:w="452" w:type="pct"/>
                  <w:vMerge w:val="continue"/>
                  <w:tcBorders>
                    <w:tl2br w:val="nil"/>
                    <w:tr2bl w:val="nil"/>
                  </w:tcBorders>
                  <w:vAlign w:val="center"/>
                </w:tcPr>
                <w:p w14:paraId="520C8417">
                  <w:pPr>
                    <w:pStyle w:val="41"/>
                    <w:bidi w:val="0"/>
                    <w:rPr>
                      <w:color w:val="auto"/>
                      <w:highlight w:val="none"/>
                    </w:rPr>
                  </w:pPr>
                </w:p>
              </w:tc>
            </w:tr>
            <w:tr w14:paraId="06BE55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11326EC7">
                  <w:pPr>
                    <w:pStyle w:val="41"/>
                    <w:bidi w:val="0"/>
                    <w:rPr>
                      <w:color w:val="auto"/>
                      <w:highlight w:val="none"/>
                    </w:rPr>
                  </w:pPr>
                </w:p>
              </w:tc>
              <w:tc>
                <w:tcPr>
                  <w:tcW w:w="1102" w:type="pct"/>
                  <w:tcBorders>
                    <w:tl2br w:val="nil"/>
                    <w:tr2bl w:val="nil"/>
                  </w:tcBorders>
                  <w:shd w:val="clear" w:color="auto" w:fill="auto"/>
                  <w:vAlign w:val="center"/>
                </w:tcPr>
                <w:p w14:paraId="3DA0575A">
                  <w:pPr>
                    <w:pStyle w:val="41"/>
                    <w:bidi w:val="0"/>
                    <w:rPr>
                      <w:rFonts w:hint="default"/>
                      <w:lang w:val="en-US" w:eastAsia="zh-CN"/>
                    </w:rPr>
                  </w:pPr>
                  <w:r>
                    <w:rPr>
                      <w:rFonts w:hint="eastAsia"/>
                      <w:lang w:val="en-US" w:eastAsia="zh-CN"/>
                    </w:rPr>
                    <w:t>S9-1</w:t>
                  </w:r>
                </w:p>
              </w:tc>
              <w:tc>
                <w:tcPr>
                  <w:tcW w:w="926" w:type="pct"/>
                  <w:tcBorders>
                    <w:tl2br w:val="nil"/>
                    <w:tr2bl w:val="nil"/>
                  </w:tcBorders>
                  <w:shd w:val="clear" w:color="auto" w:fill="auto"/>
                  <w:vAlign w:val="center"/>
                </w:tcPr>
                <w:p w14:paraId="49207E10">
                  <w:pPr>
                    <w:pStyle w:val="41"/>
                    <w:bidi w:val="0"/>
                    <w:rPr>
                      <w:rFonts w:hint="eastAsia"/>
                      <w:lang w:val="en-US" w:eastAsia="zh-CN"/>
                    </w:rPr>
                  </w:pPr>
                  <w:r>
                    <w:rPr>
                      <w:rFonts w:hint="eastAsia"/>
                      <w:lang w:val="en-US" w:eastAsia="zh-CN"/>
                    </w:rPr>
                    <w:t>生物安全柜</w:t>
                  </w:r>
                </w:p>
              </w:tc>
              <w:tc>
                <w:tcPr>
                  <w:tcW w:w="1008" w:type="pct"/>
                  <w:tcBorders>
                    <w:tl2br w:val="nil"/>
                    <w:tr2bl w:val="nil"/>
                  </w:tcBorders>
                  <w:shd w:val="clear" w:color="auto" w:fill="auto"/>
                  <w:vAlign w:val="center"/>
                </w:tcPr>
                <w:p w14:paraId="36A6819E">
                  <w:pPr>
                    <w:pStyle w:val="41"/>
                    <w:bidi w:val="0"/>
                    <w:rPr>
                      <w:rFonts w:hint="eastAsia"/>
                      <w:lang w:val="en-US" w:eastAsia="zh-CN"/>
                    </w:rPr>
                  </w:pPr>
                  <w:r>
                    <w:rPr>
                      <w:rFonts w:hint="eastAsia"/>
                      <w:lang w:val="en-US" w:eastAsia="zh-CN"/>
                    </w:rPr>
                    <w:t>废过滤器</w:t>
                  </w:r>
                </w:p>
              </w:tc>
              <w:tc>
                <w:tcPr>
                  <w:tcW w:w="1237" w:type="pct"/>
                  <w:vMerge w:val="continue"/>
                  <w:tcBorders>
                    <w:tl2br w:val="nil"/>
                    <w:tr2bl w:val="nil"/>
                  </w:tcBorders>
                  <w:vAlign w:val="center"/>
                </w:tcPr>
                <w:p w14:paraId="5E71D6FD">
                  <w:pPr>
                    <w:pStyle w:val="41"/>
                    <w:bidi w:val="0"/>
                    <w:rPr>
                      <w:color w:val="auto"/>
                      <w:highlight w:val="none"/>
                    </w:rPr>
                  </w:pPr>
                </w:p>
              </w:tc>
              <w:tc>
                <w:tcPr>
                  <w:tcW w:w="452" w:type="pct"/>
                  <w:vMerge w:val="continue"/>
                  <w:tcBorders>
                    <w:tl2br w:val="nil"/>
                    <w:tr2bl w:val="nil"/>
                  </w:tcBorders>
                  <w:vAlign w:val="center"/>
                </w:tcPr>
                <w:p w14:paraId="296BF172">
                  <w:pPr>
                    <w:pStyle w:val="41"/>
                    <w:bidi w:val="0"/>
                    <w:rPr>
                      <w:color w:val="auto"/>
                      <w:highlight w:val="none"/>
                    </w:rPr>
                  </w:pPr>
                </w:p>
              </w:tc>
            </w:tr>
            <w:tr w14:paraId="4C4FE2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4DEB0C0E">
                  <w:pPr>
                    <w:pStyle w:val="41"/>
                    <w:bidi w:val="0"/>
                    <w:rPr>
                      <w:color w:val="auto"/>
                      <w:highlight w:val="none"/>
                    </w:rPr>
                  </w:pPr>
                </w:p>
              </w:tc>
              <w:tc>
                <w:tcPr>
                  <w:tcW w:w="1102" w:type="pct"/>
                  <w:tcBorders>
                    <w:tl2br w:val="nil"/>
                    <w:tr2bl w:val="nil"/>
                  </w:tcBorders>
                  <w:shd w:val="clear" w:color="auto" w:fill="auto"/>
                  <w:vAlign w:val="center"/>
                </w:tcPr>
                <w:p w14:paraId="59CA7FEA">
                  <w:pPr>
                    <w:pStyle w:val="41"/>
                    <w:bidi w:val="0"/>
                    <w:rPr>
                      <w:rFonts w:hint="default"/>
                      <w:lang w:val="en-US" w:eastAsia="zh-CN"/>
                    </w:rPr>
                  </w:pPr>
                  <w:r>
                    <w:rPr>
                      <w:rFonts w:hint="eastAsia"/>
                      <w:lang w:val="en-US" w:eastAsia="zh-CN"/>
                    </w:rPr>
                    <w:t>S9-2、S9-3</w:t>
                  </w:r>
                </w:p>
              </w:tc>
              <w:tc>
                <w:tcPr>
                  <w:tcW w:w="926" w:type="pct"/>
                  <w:tcBorders>
                    <w:tl2br w:val="nil"/>
                    <w:tr2bl w:val="nil"/>
                  </w:tcBorders>
                  <w:shd w:val="clear" w:color="auto" w:fill="auto"/>
                  <w:vAlign w:val="center"/>
                </w:tcPr>
                <w:p w14:paraId="40780ABC">
                  <w:pPr>
                    <w:pStyle w:val="41"/>
                    <w:bidi w:val="0"/>
                    <w:rPr>
                      <w:rFonts w:hint="default"/>
                      <w:lang w:val="en-US" w:eastAsia="zh-CN"/>
                    </w:rPr>
                  </w:pPr>
                  <w:r>
                    <w:rPr>
                      <w:rFonts w:hint="eastAsia"/>
                      <w:lang w:val="en-US" w:eastAsia="zh-CN"/>
                    </w:rPr>
                    <w:t>废气处理</w:t>
                  </w:r>
                </w:p>
              </w:tc>
              <w:tc>
                <w:tcPr>
                  <w:tcW w:w="1008" w:type="pct"/>
                  <w:tcBorders>
                    <w:tl2br w:val="nil"/>
                    <w:tr2bl w:val="nil"/>
                  </w:tcBorders>
                  <w:shd w:val="clear" w:color="auto" w:fill="auto"/>
                  <w:vAlign w:val="center"/>
                </w:tcPr>
                <w:p w14:paraId="46F7C273">
                  <w:pPr>
                    <w:pStyle w:val="41"/>
                    <w:bidi w:val="0"/>
                    <w:rPr>
                      <w:rFonts w:hint="default"/>
                      <w:lang w:val="en-US" w:eastAsia="zh-CN"/>
                    </w:rPr>
                  </w:pPr>
                  <w:r>
                    <w:rPr>
                      <w:rFonts w:hint="eastAsia"/>
                      <w:lang w:val="en-US" w:eastAsia="zh-CN"/>
                    </w:rPr>
                    <w:t>废活性炭</w:t>
                  </w:r>
                </w:p>
              </w:tc>
              <w:tc>
                <w:tcPr>
                  <w:tcW w:w="1237" w:type="pct"/>
                  <w:vMerge w:val="continue"/>
                  <w:tcBorders>
                    <w:tl2br w:val="nil"/>
                    <w:tr2bl w:val="nil"/>
                  </w:tcBorders>
                  <w:vAlign w:val="center"/>
                </w:tcPr>
                <w:p w14:paraId="39775D81">
                  <w:pPr>
                    <w:pStyle w:val="41"/>
                    <w:bidi w:val="0"/>
                    <w:rPr>
                      <w:color w:val="auto"/>
                      <w:highlight w:val="none"/>
                    </w:rPr>
                  </w:pPr>
                </w:p>
              </w:tc>
              <w:tc>
                <w:tcPr>
                  <w:tcW w:w="452" w:type="pct"/>
                  <w:vMerge w:val="continue"/>
                  <w:tcBorders>
                    <w:tl2br w:val="nil"/>
                    <w:tr2bl w:val="nil"/>
                  </w:tcBorders>
                  <w:vAlign w:val="center"/>
                </w:tcPr>
                <w:p w14:paraId="7F364F2A">
                  <w:pPr>
                    <w:pStyle w:val="41"/>
                    <w:bidi w:val="0"/>
                    <w:rPr>
                      <w:color w:val="auto"/>
                      <w:highlight w:val="none"/>
                    </w:rPr>
                  </w:pPr>
                </w:p>
              </w:tc>
            </w:tr>
            <w:tr w14:paraId="675851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520A8CF3">
                  <w:pPr>
                    <w:pStyle w:val="41"/>
                    <w:bidi w:val="0"/>
                    <w:rPr>
                      <w:color w:val="auto"/>
                      <w:highlight w:val="none"/>
                    </w:rPr>
                  </w:pPr>
                </w:p>
              </w:tc>
              <w:tc>
                <w:tcPr>
                  <w:tcW w:w="1102" w:type="pct"/>
                  <w:tcBorders>
                    <w:tl2br w:val="nil"/>
                    <w:tr2bl w:val="nil"/>
                  </w:tcBorders>
                  <w:shd w:val="clear" w:color="auto" w:fill="auto"/>
                  <w:vAlign w:val="center"/>
                </w:tcPr>
                <w:p w14:paraId="38D37DB7">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S9-11</w:t>
                  </w:r>
                </w:p>
              </w:tc>
              <w:tc>
                <w:tcPr>
                  <w:tcW w:w="926" w:type="pct"/>
                  <w:tcBorders>
                    <w:tl2br w:val="nil"/>
                    <w:tr2bl w:val="nil"/>
                  </w:tcBorders>
                  <w:shd w:val="clear" w:color="auto" w:fill="auto"/>
                  <w:vAlign w:val="center"/>
                </w:tcPr>
                <w:p w14:paraId="21CB5818">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原料使用</w:t>
                  </w:r>
                </w:p>
              </w:tc>
              <w:tc>
                <w:tcPr>
                  <w:tcW w:w="1008" w:type="pct"/>
                  <w:tcBorders>
                    <w:tl2br w:val="nil"/>
                    <w:tr2bl w:val="nil"/>
                  </w:tcBorders>
                  <w:shd w:val="clear" w:color="auto" w:fill="auto"/>
                  <w:vAlign w:val="center"/>
                </w:tcPr>
                <w:p w14:paraId="09007472">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废试剂包装</w:t>
                  </w:r>
                </w:p>
              </w:tc>
              <w:tc>
                <w:tcPr>
                  <w:tcW w:w="1237" w:type="pct"/>
                  <w:vMerge w:val="continue"/>
                  <w:tcBorders>
                    <w:tl2br w:val="nil"/>
                    <w:tr2bl w:val="nil"/>
                  </w:tcBorders>
                  <w:vAlign w:val="center"/>
                </w:tcPr>
                <w:p w14:paraId="0B485CA0">
                  <w:pPr>
                    <w:pStyle w:val="41"/>
                    <w:bidi w:val="0"/>
                    <w:rPr>
                      <w:color w:val="auto"/>
                      <w:highlight w:val="none"/>
                    </w:rPr>
                  </w:pPr>
                </w:p>
              </w:tc>
              <w:tc>
                <w:tcPr>
                  <w:tcW w:w="452" w:type="pct"/>
                  <w:vMerge w:val="continue"/>
                  <w:tcBorders>
                    <w:tl2br w:val="nil"/>
                    <w:tr2bl w:val="nil"/>
                  </w:tcBorders>
                  <w:vAlign w:val="center"/>
                </w:tcPr>
                <w:p w14:paraId="32F56D45">
                  <w:pPr>
                    <w:pStyle w:val="41"/>
                    <w:bidi w:val="0"/>
                    <w:rPr>
                      <w:color w:val="auto"/>
                      <w:highlight w:val="none"/>
                    </w:rPr>
                  </w:pPr>
                </w:p>
              </w:tc>
            </w:tr>
            <w:tr w14:paraId="735B3F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634ECCAD">
                  <w:pPr>
                    <w:pStyle w:val="41"/>
                    <w:bidi w:val="0"/>
                    <w:rPr>
                      <w:color w:val="auto"/>
                      <w:highlight w:val="none"/>
                    </w:rPr>
                  </w:pPr>
                </w:p>
              </w:tc>
              <w:tc>
                <w:tcPr>
                  <w:tcW w:w="1102" w:type="pct"/>
                  <w:tcBorders>
                    <w:tl2br w:val="nil"/>
                    <w:tr2bl w:val="nil"/>
                  </w:tcBorders>
                  <w:shd w:val="clear" w:color="auto" w:fill="auto"/>
                  <w:vAlign w:val="center"/>
                </w:tcPr>
                <w:p w14:paraId="01F53821">
                  <w:pPr>
                    <w:pStyle w:val="41"/>
                    <w:bidi w:val="0"/>
                    <w:rPr>
                      <w:rFonts w:hint="default"/>
                      <w:lang w:val="en-US" w:eastAsia="zh-CN"/>
                    </w:rPr>
                  </w:pPr>
                  <w:r>
                    <w:rPr>
                      <w:rFonts w:hint="eastAsia"/>
                      <w:lang w:val="en-US" w:eastAsia="zh-CN"/>
                    </w:rPr>
                    <w:t>S9-7</w:t>
                  </w:r>
                </w:p>
              </w:tc>
              <w:tc>
                <w:tcPr>
                  <w:tcW w:w="926" w:type="pct"/>
                  <w:tcBorders>
                    <w:tl2br w:val="nil"/>
                    <w:tr2bl w:val="nil"/>
                  </w:tcBorders>
                  <w:shd w:val="clear" w:color="auto" w:fill="auto"/>
                  <w:vAlign w:val="center"/>
                </w:tcPr>
                <w:p w14:paraId="69C6006E">
                  <w:pPr>
                    <w:pStyle w:val="41"/>
                    <w:bidi w:val="0"/>
                    <w:rPr>
                      <w:rFonts w:hint="default"/>
                      <w:lang w:val="en-US" w:eastAsia="zh-CN"/>
                    </w:rPr>
                  </w:pPr>
                  <w:r>
                    <w:rPr>
                      <w:rFonts w:hint="eastAsia"/>
                      <w:lang w:val="en-US" w:eastAsia="zh-CN"/>
                    </w:rPr>
                    <w:t>污水处理</w:t>
                  </w:r>
                </w:p>
              </w:tc>
              <w:tc>
                <w:tcPr>
                  <w:tcW w:w="1008" w:type="pct"/>
                  <w:tcBorders>
                    <w:tl2br w:val="nil"/>
                    <w:tr2bl w:val="nil"/>
                  </w:tcBorders>
                  <w:shd w:val="clear" w:color="auto" w:fill="auto"/>
                  <w:vAlign w:val="center"/>
                </w:tcPr>
                <w:p w14:paraId="20DE9FE3">
                  <w:pPr>
                    <w:pStyle w:val="41"/>
                    <w:bidi w:val="0"/>
                    <w:rPr>
                      <w:rFonts w:hint="default"/>
                      <w:lang w:val="en-US" w:eastAsia="zh-CN"/>
                    </w:rPr>
                  </w:pPr>
                  <w:r>
                    <w:rPr>
                      <w:rFonts w:hint="eastAsia"/>
                      <w:lang w:val="en-US" w:eastAsia="zh-CN"/>
                    </w:rPr>
                    <w:t>污水站污泥</w:t>
                  </w:r>
                </w:p>
              </w:tc>
              <w:tc>
                <w:tcPr>
                  <w:tcW w:w="1237" w:type="pct"/>
                  <w:vMerge w:val="continue"/>
                  <w:tcBorders>
                    <w:tl2br w:val="nil"/>
                    <w:tr2bl w:val="nil"/>
                  </w:tcBorders>
                  <w:vAlign w:val="center"/>
                </w:tcPr>
                <w:p w14:paraId="7E1C1E88">
                  <w:pPr>
                    <w:pStyle w:val="41"/>
                    <w:bidi w:val="0"/>
                    <w:rPr>
                      <w:rFonts w:hint="default" w:eastAsia="宋体"/>
                      <w:color w:val="auto"/>
                      <w:highlight w:val="none"/>
                      <w:lang w:val="en-US" w:eastAsia="zh-CN"/>
                    </w:rPr>
                  </w:pPr>
                </w:p>
              </w:tc>
              <w:tc>
                <w:tcPr>
                  <w:tcW w:w="452" w:type="pct"/>
                  <w:vMerge w:val="continue"/>
                  <w:tcBorders>
                    <w:tl2br w:val="nil"/>
                    <w:tr2bl w:val="nil"/>
                  </w:tcBorders>
                  <w:vAlign w:val="center"/>
                </w:tcPr>
                <w:p w14:paraId="0DF3D61D">
                  <w:pPr>
                    <w:pStyle w:val="41"/>
                    <w:bidi w:val="0"/>
                    <w:rPr>
                      <w:color w:val="auto"/>
                      <w:highlight w:val="none"/>
                    </w:rPr>
                  </w:pPr>
                </w:p>
              </w:tc>
            </w:tr>
            <w:tr w14:paraId="3911DB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3A3C2673">
                  <w:pPr>
                    <w:pStyle w:val="41"/>
                    <w:bidi w:val="0"/>
                    <w:rPr>
                      <w:color w:val="auto"/>
                      <w:highlight w:val="none"/>
                    </w:rPr>
                  </w:pPr>
                </w:p>
              </w:tc>
              <w:tc>
                <w:tcPr>
                  <w:tcW w:w="1102" w:type="pct"/>
                  <w:tcBorders>
                    <w:tl2br w:val="nil"/>
                    <w:tr2bl w:val="nil"/>
                  </w:tcBorders>
                  <w:shd w:val="clear" w:color="auto" w:fill="auto"/>
                  <w:vAlign w:val="center"/>
                </w:tcPr>
                <w:p w14:paraId="73DF2008">
                  <w:pPr>
                    <w:pStyle w:val="41"/>
                    <w:bidi w:val="0"/>
                    <w:rPr>
                      <w:rFonts w:hint="default"/>
                      <w:lang w:val="en-US" w:eastAsia="zh-CN"/>
                    </w:rPr>
                  </w:pPr>
                  <w:r>
                    <w:rPr>
                      <w:rFonts w:hint="eastAsia"/>
                      <w:lang w:val="en-US" w:eastAsia="zh-CN"/>
                    </w:rPr>
                    <w:t>S9-8</w:t>
                  </w:r>
                </w:p>
              </w:tc>
              <w:tc>
                <w:tcPr>
                  <w:tcW w:w="926" w:type="pct"/>
                  <w:tcBorders>
                    <w:tl2br w:val="nil"/>
                    <w:tr2bl w:val="nil"/>
                  </w:tcBorders>
                  <w:shd w:val="clear" w:color="auto" w:fill="auto"/>
                  <w:vAlign w:val="center"/>
                </w:tcPr>
                <w:p w14:paraId="318C8970">
                  <w:pPr>
                    <w:pStyle w:val="41"/>
                    <w:bidi w:val="0"/>
                    <w:rPr>
                      <w:rFonts w:hint="default"/>
                      <w:lang w:val="en-US" w:eastAsia="zh-CN"/>
                    </w:rPr>
                  </w:pPr>
                  <w:r>
                    <w:rPr>
                      <w:rFonts w:hint="eastAsia"/>
                      <w:lang w:val="en-US" w:eastAsia="zh-CN"/>
                    </w:rPr>
                    <w:t>污水处理</w:t>
                  </w:r>
                </w:p>
              </w:tc>
              <w:tc>
                <w:tcPr>
                  <w:tcW w:w="1008" w:type="pct"/>
                  <w:tcBorders>
                    <w:tl2br w:val="nil"/>
                    <w:tr2bl w:val="nil"/>
                  </w:tcBorders>
                  <w:shd w:val="clear" w:color="auto" w:fill="auto"/>
                  <w:vAlign w:val="center"/>
                </w:tcPr>
                <w:p w14:paraId="5DEB64EC">
                  <w:pPr>
                    <w:pStyle w:val="41"/>
                    <w:bidi w:val="0"/>
                    <w:rPr>
                      <w:rFonts w:hint="default"/>
                      <w:lang w:val="en-US" w:eastAsia="zh-CN"/>
                    </w:rPr>
                  </w:pPr>
                  <w:r>
                    <w:rPr>
                      <w:rFonts w:hint="eastAsia"/>
                      <w:lang w:val="en-US" w:eastAsia="zh-CN"/>
                    </w:rPr>
                    <w:t>化粪池污泥</w:t>
                  </w:r>
                </w:p>
              </w:tc>
              <w:tc>
                <w:tcPr>
                  <w:tcW w:w="1237" w:type="pct"/>
                  <w:tcBorders>
                    <w:tl2br w:val="nil"/>
                    <w:tr2bl w:val="nil"/>
                  </w:tcBorders>
                  <w:vAlign w:val="center"/>
                </w:tcPr>
                <w:p w14:paraId="008A9D89">
                  <w:pPr>
                    <w:pStyle w:val="41"/>
                    <w:bidi w:val="0"/>
                    <w:rPr>
                      <w:color w:val="auto"/>
                      <w:highlight w:val="none"/>
                    </w:rPr>
                  </w:pPr>
                  <w:r>
                    <w:rPr>
                      <w:rFonts w:hint="eastAsia"/>
                      <w:color w:val="auto"/>
                      <w:highlight w:val="none"/>
                      <w:lang w:val="en-US" w:eastAsia="zh-CN"/>
                    </w:rPr>
                    <w:t>委托专业单位处理</w:t>
                  </w:r>
                </w:p>
              </w:tc>
              <w:tc>
                <w:tcPr>
                  <w:tcW w:w="452" w:type="pct"/>
                  <w:vMerge w:val="continue"/>
                  <w:tcBorders>
                    <w:tl2br w:val="nil"/>
                    <w:tr2bl w:val="nil"/>
                  </w:tcBorders>
                  <w:vAlign w:val="center"/>
                </w:tcPr>
                <w:p w14:paraId="44895CD7">
                  <w:pPr>
                    <w:pStyle w:val="41"/>
                    <w:bidi w:val="0"/>
                    <w:rPr>
                      <w:color w:val="auto"/>
                      <w:highlight w:val="none"/>
                    </w:rPr>
                  </w:pPr>
                </w:p>
              </w:tc>
            </w:tr>
            <w:tr w14:paraId="1FCACB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6CD430FB">
                  <w:pPr>
                    <w:pStyle w:val="41"/>
                    <w:bidi w:val="0"/>
                    <w:rPr>
                      <w:color w:val="auto"/>
                      <w:highlight w:val="none"/>
                    </w:rPr>
                  </w:pPr>
                </w:p>
              </w:tc>
              <w:tc>
                <w:tcPr>
                  <w:tcW w:w="1102" w:type="pct"/>
                  <w:tcBorders>
                    <w:tl2br w:val="nil"/>
                    <w:tr2bl w:val="nil"/>
                  </w:tcBorders>
                  <w:shd w:val="clear" w:color="auto" w:fill="auto"/>
                  <w:vAlign w:val="center"/>
                </w:tcPr>
                <w:p w14:paraId="70531924">
                  <w:pPr>
                    <w:pStyle w:val="41"/>
                    <w:bidi w:val="0"/>
                    <w:rPr>
                      <w:rFonts w:hint="default"/>
                      <w:lang w:val="en-US" w:eastAsia="zh-CN"/>
                    </w:rPr>
                  </w:pPr>
                  <w:r>
                    <w:rPr>
                      <w:rFonts w:hint="eastAsia"/>
                      <w:lang w:val="en-US" w:eastAsia="zh-CN"/>
                    </w:rPr>
                    <w:t>S9-9</w:t>
                  </w:r>
                </w:p>
              </w:tc>
              <w:tc>
                <w:tcPr>
                  <w:tcW w:w="926" w:type="pct"/>
                  <w:tcBorders>
                    <w:tl2br w:val="nil"/>
                    <w:tr2bl w:val="nil"/>
                  </w:tcBorders>
                  <w:shd w:val="clear" w:color="auto" w:fill="auto"/>
                  <w:vAlign w:val="center"/>
                </w:tcPr>
                <w:p w14:paraId="606F3318">
                  <w:pPr>
                    <w:pStyle w:val="41"/>
                    <w:bidi w:val="0"/>
                    <w:rPr>
                      <w:rFonts w:hint="default"/>
                      <w:lang w:val="en-US" w:eastAsia="zh-CN"/>
                    </w:rPr>
                  </w:pPr>
                  <w:r>
                    <w:rPr>
                      <w:rFonts w:hint="eastAsia"/>
                      <w:lang w:val="en-US" w:eastAsia="zh-CN"/>
                    </w:rPr>
                    <w:t>纯水制备</w:t>
                  </w:r>
                </w:p>
              </w:tc>
              <w:tc>
                <w:tcPr>
                  <w:tcW w:w="1008" w:type="pct"/>
                  <w:tcBorders>
                    <w:tl2br w:val="nil"/>
                    <w:tr2bl w:val="nil"/>
                  </w:tcBorders>
                  <w:shd w:val="clear" w:color="auto" w:fill="auto"/>
                  <w:vAlign w:val="center"/>
                </w:tcPr>
                <w:p w14:paraId="36881C7C">
                  <w:pPr>
                    <w:pStyle w:val="41"/>
                    <w:bidi w:val="0"/>
                    <w:rPr>
                      <w:rFonts w:hint="default"/>
                      <w:lang w:val="en-US" w:eastAsia="zh-CN"/>
                    </w:rPr>
                  </w:pPr>
                  <w:r>
                    <w:rPr>
                      <w:rFonts w:hint="eastAsia"/>
                      <w:lang w:val="en-US" w:eastAsia="zh-CN"/>
                    </w:rPr>
                    <w:t>纯水制备滤芯</w:t>
                  </w:r>
                </w:p>
              </w:tc>
              <w:tc>
                <w:tcPr>
                  <w:tcW w:w="1237" w:type="pct"/>
                  <w:vMerge w:val="restart"/>
                  <w:tcBorders>
                    <w:tl2br w:val="nil"/>
                    <w:tr2bl w:val="nil"/>
                  </w:tcBorders>
                  <w:vAlign w:val="center"/>
                </w:tcPr>
                <w:p w14:paraId="45457F97">
                  <w:pPr>
                    <w:pStyle w:val="41"/>
                    <w:bidi w:val="0"/>
                    <w:rPr>
                      <w:rFonts w:hint="eastAsia" w:eastAsia="宋体"/>
                      <w:color w:val="auto"/>
                      <w:highlight w:val="none"/>
                      <w:lang w:val="en-US" w:eastAsia="zh-CN"/>
                    </w:rPr>
                  </w:pPr>
                  <w:r>
                    <w:rPr>
                      <w:rFonts w:hint="eastAsia"/>
                      <w:color w:val="auto"/>
                      <w:highlight w:val="none"/>
                      <w:lang w:val="en-US" w:eastAsia="zh-CN"/>
                    </w:rPr>
                    <w:t>外售</w:t>
                  </w:r>
                </w:p>
              </w:tc>
              <w:tc>
                <w:tcPr>
                  <w:tcW w:w="452" w:type="pct"/>
                  <w:vMerge w:val="continue"/>
                  <w:tcBorders>
                    <w:tl2br w:val="nil"/>
                    <w:tr2bl w:val="nil"/>
                  </w:tcBorders>
                  <w:vAlign w:val="center"/>
                </w:tcPr>
                <w:p w14:paraId="406BC5D7">
                  <w:pPr>
                    <w:pStyle w:val="41"/>
                    <w:bidi w:val="0"/>
                    <w:rPr>
                      <w:color w:val="auto"/>
                      <w:highlight w:val="none"/>
                    </w:rPr>
                  </w:pPr>
                </w:p>
              </w:tc>
            </w:tr>
            <w:tr w14:paraId="130790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7116F67E">
                  <w:pPr>
                    <w:pStyle w:val="41"/>
                    <w:bidi w:val="0"/>
                    <w:rPr>
                      <w:color w:val="auto"/>
                      <w:highlight w:val="none"/>
                    </w:rPr>
                  </w:pPr>
                </w:p>
              </w:tc>
              <w:tc>
                <w:tcPr>
                  <w:tcW w:w="1102" w:type="pct"/>
                  <w:tcBorders>
                    <w:tl2br w:val="nil"/>
                    <w:tr2bl w:val="nil"/>
                  </w:tcBorders>
                  <w:shd w:val="clear" w:color="auto" w:fill="auto"/>
                  <w:vAlign w:val="center"/>
                </w:tcPr>
                <w:p w14:paraId="23F2C31E">
                  <w:pPr>
                    <w:pStyle w:val="41"/>
                    <w:bidi w:val="0"/>
                    <w:rPr>
                      <w:rFonts w:hint="default"/>
                      <w:lang w:val="en-US" w:eastAsia="zh-CN"/>
                    </w:rPr>
                  </w:pPr>
                  <w:r>
                    <w:rPr>
                      <w:rFonts w:hint="eastAsia"/>
                      <w:lang w:val="en-US" w:eastAsia="zh-CN"/>
                    </w:rPr>
                    <w:t>S9-10</w:t>
                  </w:r>
                </w:p>
              </w:tc>
              <w:tc>
                <w:tcPr>
                  <w:tcW w:w="926" w:type="pct"/>
                  <w:tcBorders>
                    <w:tl2br w:val="nil"/>
                    <w:tr2bl w:val="nil"/>
                  </w:tcBorders>
                  <w:shd w:val="clear" w:color="auto" w:fill="auto"/>
                  <w:vAlign w:val="center"/>
                </w:tcPr>
                <w:p w14:paraId="49980162">
                  <w:pPr>
                    <w:pStyle w:val="41"/>
                    <w:bidi w:val="0"/>
                    <w:rPr>
                      <w:rFonts w:hint="default"/>
                      <w:lang w:val="en-US" w:eastAsia="zh-CN"/>
                    </w:rPr>
                  </w:pPr>
                  <w:r>
                    <w:rPr>
                      <w:rFonts w:hint="eastAsia"/>
                      <w:lang w:val="en-US" w:eastAsia="zh-CN"/>
                    </w:rPr>
                    <w:t>原料使用</w:t>
                  </w:r>
                </w:p>
              </w:tc>
              <w:tc>
                <w:tcPr>
                  <w:tcW w:w="1008" w:type="pct"/>
                  <w:tcBorders>
                    <w:tl2br w:val="nil"/>
                    <w:tr2bl w:val="nil"/>
                  </w:tcBorders>
                  <w:shd w:val="clear" w:color="auto" w:fill="auto"/>
                  <w:vAlign w:val="center"/>
                </w:tcPr>
                <w:p w14:paraId="249E6C8F">
                  <w:pPr>
                    <w:pStyle w:val="41"/>
                    <w:bidi w:val="0"/>
                    <w:rPr>
                      <w:rFonts w:hint="default"/>
                      <w:lang w:val="en-US" w:eastAsia="zh-CN"/>
                    </w:rPr>
                  </w:pPr>
                  <w:r>
                    <w:rPr>
                      <w:rFonts w:hint="eastAsia"/>
                      <w:lang w:val="en-US" w:eastAsia="zh-CN"/>
                    </w:rPr>
                    <w:t>废外包装材料</w:t>
                  </w:r>
                </w:p>
              </w:tc>
              <w:tc>
                <w:tcPr>
                  <w:tcW w:w="1237" w:type="pct"/>
                  <w:vMerge w:val="continue"/>
                  <w:tcBorders>
                    <w:tl2br w:val="nil"/>
                    <w:tr2bl w:val="nil"/>
                  </w:tcBorders>
                  <w:vAlign w:val="center"/>
                </w:tcPr>
                <w:p w14:paraId="07E57237">
                  <w:pPr>
                    <w:pStyle w:val="41"/>
                    <w:bidi w:val="0"/>
                    <w:rPr>
                      <w:color w:val="auto"/>
                      <w:highlight w:val="none"/>
                    </w:rPr>
                  </w:pPr>
                </w:p>
              </w:tc>
              <w:tc>
                <w:tcPr>
                  <w:tcW w:w="452" w:type="pct"/>
                  <w:vMerge w:val="continue"/>
                  <w:tcBorders>
                    <w:tl2br w:val="nil"/>
                    <w:tr2bl w:val="nil"/>
                  </w:tcBorders>
                  <w:vAlign w:val="center"/>
                </w:tcPr>
                <w:p w14:paraId="0A3A67B5">
                  <w:pPr>
                    <w:pStyle w:val="41"/>
                    <w:bidi w:val="0"/>
                    <w:rPr>
                      <w:color w:val="auto"/>
                      <w:highlight w:val="none"/>
                    </w:rPr>
                  </w:pPr>
                </w:p>
              </w:tc>
            </w:tr>
            <w:tr w14:paraId="10D030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1" w:type="pct"/>
                  <w:vMerge w:val="continue"/>
                  <w:tcBorders>
                    <w:tl2br w:val="nil"/>
                    <w:tr2bl w:val="nil"/>
                  </w:tcBorders>
                  <w:vAlign w:val="center"/>
                </w:tcPr>
                <w:p w14:paraId="40C0CB66">
                  <w:pPr>
                    <w:pStyle w:val="41"/>
                    <w:bidi w:val="0"/>
                    <w:rPr>
                      <w:color w:val="auto"/>
                      <w:highlight w:val="none"/>
                    </w:rPr>
                  </w:pPr>
                </w:p>
              </w:tc>
              <w:tc>
                <w:tcPr>
                  <w:tcW w:w="1102" w:type="pct"/>
                  <w:tcBorders>
                    <w:tl2br w:val="nil"/>
                    <w:tr2bl w:val="nil"/>
                  </w:tcBorders>
                  <w:shd w:val="clear" w:color="auto" w:fill="auto"/>
                  <w:vAlign w:val="center"/>
                </w:tcPr>
                <w:p w14:paraId="33DF25C5">
                  <w:pPr>
                    <w:pStyle w:val="41"/>
                    <w:bidi w:val="0"/>
                    <w:rPr>
                      <w:rFonts w:hint="default"/>
                      <w:lang w:val="en-US" w:eastAsia="zh-CN"/>
                    </w:rPr>
                  </w:pPr>
                  <w:r>
                    <w:rPr>
                      <w:rFonts w:hint="eastAsia"/>
                      <w:lang w:val="en-US" w:eastAsia="zh-CN"/>
                    </w:rPr>
                    <w:t>S9-12</w:t>
                  </w:r>
                </w:p>
              </w:tc>
              <w:tc>
                <w:tcPr>
                  <w:tcW w:w="926" w:type="pct"/>
                  <w:tcBorders>
                    <w:tl2br w:val="nil"/>
                    <w:tr2bl w:val="nil"/>
                  </w:tcBorders>
                  <w:shd w:val="clear" w:color="auto" w:fill="auto"/>
                  <w:vAlign w:val="center"/>
                </w:tcPr>
                <w:p w14:paraId="641806DD">
                  <w:pPr>
                    <w:pStyle w:val="41"/>
                    <w:bidi w:val="0"/>
                    <w:rPr>
                      <w:rFonts w:hint="default"/>
                      <w:lang w:val="en-US" w:eastAsia="zh-CN"/>
                    </w:rPr>
                  </w:pPr>
                  <w:r>
                    <w:rPr>
                      <w:rFonts w:hint="eastAsia"/>
                      <w:lang w:val="en-US" w:eastAsia="zh-CN"/>
                    </w:rPr>
                    <w:t>职工办公</w:t>
                  </w:r>
                </w:p>
              </w:tc>
              <w:tc>
                <w:tcPr>
                  <w:tcW w:w="1008" w:type="pct"/>
                  <w:tcBorders>
                    <w:tl2br w:val="nil"/>
                    <w:tr2bl w:val="nil"/>
                  </w:tcBorders>
                  <w:shd w:val="clear" w:color="auto" w:fill="auto"/>
                  <w:vAlign w:val="center"/>
                </w:tcPr>
                <w:p w14:paraId="5A518927">
                  <w:pPr>
                    <w:pStyle w:val="41"/>
                    <w:bidi w:val="0"/>
                    <w:rPr>
                      <w:rFonts w:hint="default"/>
                      <w:lang w:val="en-US" w:eastAsia="zh-CN"/>
                    </w:rPr>
                  </w:pPr>
                  <w:r>
                    <w:rPr>
                      <w:rFonts w:hint="eastAsia"/>
                      <w:lang w:val="en-US" w:eastAsia="zh-CN"/>
                    </w:rPr>
                    <w:t>生活垃圾</w:t>
                  </w:r>
                </w:p>
              </w:tc>
              <w:tc>
                <w:tcPr>
                  <w:tcW w:w="1237" w:type="pct"/>
                  <w:tcBorders>
                    <w:tl2br w:val="nil"/>
                    <w:tr2bl w:val="nil"/>
                  </w:tcBorders>
                  <w:vAlign w:val="center"/>
                </w:tcPr>
                <w:p w14:paraId="46BBD026">
                  <w:pPr>
                    <w:pStyle w:val="41"/>
                    <w:bidi w:val="0"/>
                    <w:rPr>
                      <w:rFonts w:hint="default" w:eastAsia="宋体"/>
                      <w:color w:val="auto"/>
                      <w:highlight w:val="none"/>
                      <w:lang w:val="en-US" w:eastAsia="zh-CN"/>
                    </w:rPr>
                  </w:pPr>
                  <w:r>
                    <w:rPr>
                      <w:rFonts w:hint="eastAsia"/>
                      <w:color w:val="auto"/>
                      <w:highlight w:val="none"/>
                      <w:lang w:val="en-US" w:eastAsia="zh-CN"/>
                    </w:rPr>
                    <w:t>环卫清运</w:t>
                  </w:r>
                </w:p>
              </w:tc>
              <w:tc>
                <w:tcPr>
                  <w:tcW w:w="452" w:type="pct"/>
                  <w:vMerge w:val="continue"/>
                  <w:tcBorders>
                    <w:tl2br w:val="nil"/>
                    <w:tr2bl w:val="nil"/>
                  </w:tcBorders>
                  <w:vAlign w:val="center"/>
                </w:tcPr>
                <w:p w14:paraId="3723576D">
                  <w:pPr>
                    <w:pStyle w:val="41"/>
                    <w:bidi w:val="0"/>
                    <w:rPr>
                      <w:color w:val="auto"/>
                      <w:highlight w:val="none"/>
                    </w:rPr>
                  </w:pPr>
                </w:p>
              </w:tc>
            </w:tr>
          </w:tbl>
          <w:p w14:paraId="547447A9">
            <w:pPr>
              <w:pStyle w:val="41"/>
              <w:bidi w:val="0"/>
              <w:rPr>
                <w:rFonts w:hint="default"/>
                <w:color w:val="auto"/>
                <w:highlight w:val="none"/>
                <w:lang w:val="en-US" w:eastAsia="zh-CN"/>
              </w:rPr>
            </w:pPr>
          </w:p>
        </w:tc>
      </w:tr>
      <w:tr w14:paraId="2F94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3" w:hRule="atLeast"/>
        </w:trPr>
        <w:tc>
          <w:tcPr>
            <w:tcW w:w="292" w:type="pct"/>
            <w:vAlign w:val="center"/>
          </w:tcPr>
          <w:p w14:paraId="6226E5C5">
            <w:pPr>
              <w:pStyle w:val="27"/>
              <w:adjustRightInd w:val="0"/>
              <w:snapToGrid w:val="0"/>
              <w:spacing w:before="0" w:beforeAutospacing="0" w:after="0" w:afterAutospacing="0" w:line="240" w:lineRule="auto"/>
              <w:jc w:val="center"/>
              <w:rPr>
                <w:rFonts w:ascii="Times New Roman" w:hAnsi="Times New Roman"/>
                <w:color w:val="auto"/>
                <w:sz w:val="21"/>
                <w:szCs w:val="21"/>
                <w:highlight w:val="none"/>
              </w:rPr>
            </w:pPr>
            <w:r>
              <w:rPr>
                <w:rFonts w:ascii="Times New Roman" w:hAnsi="Times New Roman"/>
                <w:b/>
                <w:color w:val="auto"/>
                <w:kern w:val="2"/>
                <w:szCs w:val="24"/>
                <w:highlight w:val="none"/>
              </w:rPr>
              <w:t>与项目有关的原有环境污染问题</w:t>
            </w:r>
          </w:p>
        </w:tc>
        <w:tc>
          <w:tcPr>
            <w:tcW w:w="4707" w:type="pct"/>
            <w:vAlign w:val="center"/>
          </w:tcPr>
          <w:p w14:paraId="17589D71">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b/>
                <w:bCs/>
              </w:rPr>
              <w:t>1、</w:t>
            </w:r>
            <w:r>
              <w:rPr>
                <w:rFonts w:hint="eastAsia"/>
                <w:b/>
                <w:bCs/>
                <w:lang w:val="en-US" w:eastAsia="zh-CN"/>
              </w:rPr>
              <w:t>往期项目</w:t>
            </w:r>
            <w:r>
              <w:rPr>
                <w:rFonts w:hint="eastAsia"/>
                <w:b/>
                <w:bCs/>
              </w:rPr>
              <w:t>环保手续履行情况</w:t>
            </w:r>
          </w:p>
          <w:p w14:paraId="12E620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eastAsia="zh-CN"/>
              </w:rPr>
              <w:t>江苏康缘医药科技发展有限责任公司（以下简称“企业”）位于</w:t>
            </w:r>
            <w:r>
              <w:rPr>
                <w:rFonts w:hint="eastAsia"/>
                <w:lang w:val="en-US" w:eastAsia="zh-CN"/>
              </w:rPr>
              <w:t>南京市江宁区龙眠大道578号的康缘医药科技园，企业主要进行医药研发，往期项目环保手续履行情况见下表。</w:t>
            </w:r>
            <w:r>
              <w:rPr>
                <w:rFonts w:hint="eastAsia"/>
              </w:rPr>
              <w:t>企业已取得固定污染源排污登记回执</w:t>
            </w:r>
            <w:r>
              <w:rPr>
                <w:rFonts w:hint="eastAsia"/>
                <w:lang w:eastAsia="zh-CN"/>
              </w:rPr>
              <w:t>（附件</w:t>
            </w:r>
            <w:r>
              <w:rPr>
                <w:rFonts w:hint="eastAsia"/>
                <w:lang w:val="en-US" w:eastAsia="zh-CN"/>
              </w:rPr>
              <w:t>7</w:t>
            </w:r>
            <w:r>
              <w:rPr>
                <w:rFonts w:hint="eastAsia"/>
                <w:lang w:eastAsia="zh-CN"/>
              </w:rPr>
              <w:t>）</w:t>
            </w:r>
            <w:r>
              <w:rPr>
                <w:rFonts w:hint="eastAsia"/>
              </w:rPr>
              <w:t>，登记编号91320000588435135Q001Z。</w:t>
            </w:r>
          </w:p>
          <w:p w14:paraId="63F0B647">
            <w:pPr>
              <w:pStyle w:val="44"/>
              <w:bidi w:val="0"/>
            </w:pPr>
            <w:r>
              <w:rPr>
                <w:rFonts w:hint="eastAsia"/>
              </w:rPr>
              <w:t>企业</w:t>
            </w:r>
            <w:r>
              <w:rPr>
                <w:rFonts w:hint="eastAsia"/>
                <w:lang w:val="en-US" w:eastAsia="zh-CN"/>
              </w:rPr>
              <w:t>往期项目</w:t>
            </w:r>
            <w:r>
              <w:rPr>
                <w:rFonts w:hint="eastAsia"/>
              </w:rPr>
              <w:t>环保手续履行情况一览表</w:t>
            </w:r>
          </w:p>
          <w:tbl>
            <w:tblPr>
              <w:tblStyle w:val="3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0" w:type="dxa"/>
                <w:bottom w:w="0" w:type="dxa"/>
                <w:right w:w="0" w:type="dxa"/>
              </w:tblCellMar>
            </w:tblPr>
            <w:tblGrid>
              <w:gridCol w:w="260"/>
              <w:gridCol w:w="824"/>
              <w:gridCol w:w="538"/>
              <w:gridCol w:w="1711"/>
              <w:gridCol w:w="1377"/>
              <w:gridCol w:w="1490"/>
              <w:gridCol w:w="1254"/>
              <w:gridCol w:w="353"/>
            </w:tblGrid>
            <w:tr w14:paraId="0BDC861F">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72" w:hRule="atLeast"/>
              </w:trPr>
              <w:tc>
                <w:tcPr>
                  <w:tcW w:w="167" w:type="pct"/>
                  <w:tcBorders>
                    <w:tl2br w:val="nil"/>
                    <w:tr2bl w:val="nil"/>
                  </w:tcBorders>
                  <w:vAlign w:val="center"/>
                </w:tcPr>
                <w:p w14:paraId="6EB6E496">
                  <w:pPr>
                    <w:pStyle w:val="41"/>
                    <w:bidi w:val="0"/>
                    <w:jc w:val="center"/>
                    <w:rPr>
                      <w:rFonts w:hint="default"/>
                      <w:b/>
                      <w:bCs/>
                    </w:rPr>
                  </w:pPr>
                  <w:r>
                    <w:rPr>
                      <w:rFonts w:hint="default"/>
                      <w:b/>
                      <w:bCs/>
                    </w:rPr>
                    <w:t>序号</w:t>
                  </w:r>
                </w:p>
              </w:tc>
              <w:tc>
                <w:tcPr>
                  <w:tcW w:w="527" w:type="pct"/>
                  <w:tcBorders>
                    <w:tl2br w:val="nil"/>
                    <w:tr2bl w:val="nil"/>
                  </w:tcBorders>
                  <w:vAlign w:val="center"/>
                </w:tcPr>
                <w:p w14:paraId="791542E9">
                  <w:pPr>
                    <w:pStyle w:val="41"/>
                    <w:bidi w:val="0"/>
                    <w:jc w:val="center"/>
                    <w:rPr>
                      <w:rFonts w:hint="default"/>
                      <w:b/>
                      <w:bCs/>
                    </w:rPr>
                  </w:pPr>
                  <w:r>
                    <w:rPr>
                      <w:rFonts w:hint="default"/>
                      <w:b/>
                      <w:bCs/>
                    </w:rPr>
                    <w:t>项目名称</w:t>
                  </w:r>
                </w:p>
              </w:tc>
              <w:tc>
                <w:tcPr>
                  <w:tcW w:w="344" w:type="pct"/>
                  <w:tcBorders>
                    <w:tl2br w:val="nil"/>
                    <w:tr2bl w:val="nil"/>
                  </w:tcBorders>
                  <w:vAlign w:val="center"/>
                </w:tcPr>
                <w:p w14:paraId="2A3DF603">
                  <w:pPr>
                    <w:pStyle w:val="41"/>
                    <w:bidi w:val="0"/>
                    <w:jc w:val="center"/>
                    <w:rPr>
                      <w:rFonts w:hint="default"/>
                      <w:b/>
                      <w:bCs/>
                    </w:rPr>
                  </w:pPr>
                  <w:r>
                    <w:rPr>
                      <w:rFonts w:hint="default"/>
                      <w:b/>
                      <w:bCs/>
                    </w:rPr>
                    <w:t>报告形式</w:t>
                  </w:r>
                </w:p>
              </w:tc>
              <w:tc>
                <w:tcPr>
                  <w:tcW w:w="1095" w:type="pct"/>
                  <w:tcBorders>
                    <w:tl2br w:val="nil"/>
                    <w:tr2bl w:val="nil"/>
                  </w:tcBorders>
                  <w:vAlign w:val="center"/>
                </w:tcPr>
                <w:p w14:paraId="45019A77">
                  <w:pPr>
                    <w:pStyle w:val="41"/>
                    <w:bidi w:val="0"/>
                    <w:jc w:val="center"/>
                    <w:rPr>
                      <w:rFonts w:hint="default"/>
                      <w:b/>
                      <w:bCs/>
                      <w:lang w:val="en-US" w:eastAsia="zh-CN"/>
                    </w:rPr>
                  </w:pPr>
                  <w:r>
                    <w:rPr>
                      <w:rFonts w:hint="eastAsia"/>
                      <w:b/>
                      <w:bCs/>
                      <w:lang w:val="en-US" w:eastAsia="zh-CN"/>
                    </w:rPr>
                    <w:t>项目内容</w:t>
                  </w:r>
                </w:p>
              </w:tc>
              <w:tc>
                <w:tcPr>
                  <w:tcW w:w="881" w:type="pct"/>
                  <w:tcBorders>
                    <w:tl2br w:val="nil"/>
                    <w:tr2bl w:val="nil"/>
                  </w:tcBorders>
                  <w:vAlign w:val="center"/>
                </w:tcPr>
                <w:p w14:paraId="015F1DC2">
                  <w:pPr>
                    <w:pStyle w:val="41"/>
                    <w:bidi w:val="0"/>
                    <w:jc w:val="center"/>
                    <w:rPr>
                      <w:rFonts w:hint="default"/>
                      <w:b/>
                      <w:bCs/>
                      <w:lang w:val="en-US" w:eastAsia="zh-CN"/>
                    </w:rPr>
                  </w:pPr>
                  <w:r>
                    <w:rPr>
                      <w:rFonts w:hint="eastAsia"/>
                      <w:b/>
                      <w:bCs/>
                      <w:lang w:eastAsia="zh-CN"/>
                    </w:rPr>
                    <w:t>环评</w:t>
                  </w:r>
                  <w:r>
                    <w:rPr>
                      <w:rFonts w:hint="default"/>
                      <w:b/>
                      <w:bCs/>
                    </w:rPr>
                    <w:t>审批时间</w:t>
                  </w:r>
                  <w:r>
                    <w:rPr>
                      <w:rFonts w:hint="eastAsia"/>
                      <w:b/>
                      <w:bCs/>
                      <w:lang w:val="en-US" w:eastAsia="zh-CN"/>
                    </w:rPr>
                    <w:t>及审批部门</w:t>
                  </w:r>
                </w:p>
              </w:tc>
              <w:tc>
                <w:tcPr>
                  <w:tcW w:w="953" w:type="pct"/>
                  <w:tcBorders>
                    <w:tl2br w:val="nil"/>
                    <w:tr2bl w:val="nil"/>
                  </w:tcBorders>
                  <w:vAlign w:val="center"/>
                </w:tcPr>
                <w:p w14:paraId="3ED5750F">
                  <w:pPr>
                    <w:pStyle w:val="41"/>
                    <w:bidi w:val="0"/>
                    <w:jc w:val="center"/>
                    <w:rPr>
                      <w:rFonts w:hint="default"/>
                      <w:b/>
                      <w:bCs/>
                      <w:lang w:val="en-US" w:eastAsia="zh-CN"/>
                    </w:rPr>
                  </w:pPr>
                  <w:r>
                    <w:rPr>
                      <w:rFonts w:hint="eastAsia"/>
                      <w:b/>
                      <w:bCs/>
                      <w:lang w:val="en-US" w:eastAsia="zh-CN"/>
                    </w:rPr>
                    <w:t>验收内容</w:t>
                  </w:r>
                </w:p>
              </w:tc>
              <w:tc>
                <w:tcPr>
                  <w:tcW w:w="802" w:type="pct"/>
                  <w:tcBorders>
                    <w:tl2br w:val="nil"/>
                    <w:tr2bl w:val="nil"/>
                  </w:tcBorders>
                  <w:vAlign w:val="center"/>
                </w:tcPr>
                <w:p w14:paraId="1445D0EF">
                  <w:pPr>
                    <w:pStyle w:val="41"/>
                    <w:bidi w:val="0"/>
                    <w:jc w:val="center"/>
                    <w:rPr>
                      <w:rFonts w:hint="default"/>
                      <w:b/>
                      <w:bCs/>
                      <w:lang w:val="en-US" w:eastAsia="zh-CN"/>
                    </w:rPr>
                  </w:pPr>
                  <w:r>
                    <w:rPr>
                      <w:rFonts w:hint="default"/>
                      <w:b/>
                      <w:bCs/>
                    </w:rPr>
                    <w:t>验收时间</w:t>
                  </w:r>
                  <w:r>
                    <w:rPr>
                      <w:rFonts w:hint="eastAsia"/>
                      <w:b/>
                      <w:bCs/>
                      <w:lang w:val="en-US" w:eastAsia="zh-CN"/>
                    </w:rPr>
                    <w:t>及验收部门</w:t>
                  </w:r>
                </w:p>
              </w:tc>
              <w:tc>
                <w:tcPr>
                  <w:tcW w:w="226" w:type="pct"/>
                  <w:tcBorders>
                    <w:tl2br w:val="nil"/>
                    <w:tr2bl w:val="nil"/>
                  </w:tcBorders>
                  <w:vAlign w:val="center"/>
                </w:tcPr>
                <w:p w14:paraId="6DE97308">
                  <w:pPr>
                    <w:pStyle w:val="41"/>
                    <w:bidi w:val="0"/>
                    <w:jc w:val="center"/>
                    <w:rPr>
                      <w:rFonts w:hint="eastAsia"/>
                      <w:b/>
                      <w:bCs/>
                      <w:lang w:val="en-US" w:eastAsia="zh-CN"/>
                    </w:rPr>
                  </w:pPr>
                  <w:r>
                    <w:rPr>
                      <w:rFonts w:hint="eastAsia"/>
                      <w:b/>
                      <w:bCs/>
                      <w:lang w:val="en-US" w:eastAsia="zh-CN"/>
                    </w:rPr>
                    <w:t>备注</w:t>
                  </w:r>
                </w:p>
              </w:tc>
            </w:tr>
            <w:tr w14:paraId="6DCCFBAB">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46" w:hRule="atLeast"/>
              </w:trPr>
              <w:tc>
                <w:tcPr>
                  <w:tcW w:w="167" w:type="pct"/>
                  <w:tcBorders>
                    <w:tl2br w:val="nil"/>
                    <w:tr2bl w:val="nil"/>
                  </w:tcBorders>
                  <w:vAlign w:val="center"/>
                </w:tcPr>
                <w:p w14:paraId="75BFF803">
                  <w:pPr>
                    <w:pStyle w:val="41"/>
                    <w:bidi w:val="0"/>
                    <w:jc w:val="center"/>
                    <w:rPr>
                      <w:rFonts w:hint="default"/>
                    </w:rPr>
                  </w:pPr>
                  <w:r>
                    <w:rPr>
                      <w:rFonts w:hint="default"/>
                    </w:rPr>
                    <w:t>1</w:t>
                  </w:r>
                </w:p>
              </w:tc>
              <w:tc>
                <w:tcPr>
                  <w:tcW w:w="527" w:type="pct"/>
                  <w:tcBorders>
                    <w:tl2br w:val="nil"/>
                    <w:tr2bl w:val="nil"/>
                  </w:tcBorders>
                  <w:vAlign w:val="center"/>
                </w:tcPr>
                <w:p w14:paraId="55CB742F">
                  <w:pPr>
                    <w:pStyle w:val="41"/>
                    <w:bidi w:val="0"/>
                    <w:jc w:val="center"/>
                    <w:rPr>
                      <w:rFonts w:hint="default"/>
                      <w:lang w:val="en-US"/>
                    </w:rPr>
                  </w:pPr>
                  <w:r>
                    <w:rPr>
                      <w:rFonts w:hint="eastAsia"/>
                      <w:lang w:val="en-US" w:eastAsia="zh-CN"/>
                    </w:rPr>
                    <w:t>康缘医药科技园厂房建设项目</w:t>
                  </w:r>
                </w:p>
              </w:tc>
              <w:tc>
                <w:tcPr>
                  <w:tcW w:w="344" w:type="pct"/>
                  <w:tcBorders>
                    <w:tl2br w:val="nil"/>
                    <w:tr2bl w:val="nil"/>
                  </w:tcBorders>
                  <w:vAlign w:val="center"/>
                </w:tcPr>
                <w:p w14:paraId="75399245">
                  <w:pPr>
                    <w:pStyle w:val="41"/>
                    <w:bidi w:val="0"/>
                    <w:jc w:val="center"/>
                    <w:rPr>
                      <w:rFonts w:hint="eastAsia"/>
                      <w:lang w:eastAsia="zh-CN"/>
                    </w:rPr>
                  </w:pPr>
                  <w:r>
                    <w:rPr>
                      <w:rFonts w:hint="default"/>
                    </w:rPr>
                    <w:t>报告</w:t>
                  </w:r>
                  <w:r>
                    <w:rPr>
                      <w:rFonts w:hint="eastAsia"/>
                      <w:lang w:eastAsia="zh-CN"/>
                    </w:rPr>
                    <w:t>表</w:t>
                  </w:r>
                </w:p>
              </w:tc>
              <w:tc>
                <w:tcPr>
                  <w:tcW w:w="1095" w:type="pct"/>
                  <w:tcBorders>
                    <w:tl2br w:val="nil"/>
                    <w:tr2bl w:val="nil"/>
                  </w:tcBorders>
                  <w:vAlign w:val="center"/>
                </w:tcPr>
                <w:p w14:paraId="432531B8">
                  <w:pPr>
                    <w:pStyle w:val="41"/>
                    <w:bidi w:val="0"/>
                    <w:jc w:val="center"/>
                    <w:rPr>
                      <w:rFonts w:hint="default"/>
                      <w:lang w:val="en-US" w:eastAsia="zh-CN"/>
                    </w:rPr>
                  </w:pPr>
                  <w:r>
                    <w:rPr>
                      <w:rFonts w:hint="eastAsia"/>
                      <w:lang w:val="en-US" w:eastAsia="zh-CN"/>
                    </w:rPr>
                    <w:t>建设5栋多功能厂房及1栋总部大楼</w:t>
                  </w:r>
                </w:p>
              </w:tc>
              <w:tc>
                <w:tcPr>
                  <w:tcW w:w="881" w:type="pct"/>
                  <w:tcBorders>
                    <w:tl2br w:val="nil"/>
                    <w:tr2bl w:val="nil"/>
                  </w:tcBorders>
                  <w:vAlign w:val="center"/>
                </w:tcPr>
                <w:p w14:paraId="76034253">
                  <w:pPr>
                    <w:pStyle w:val="41"/>
                    <w:bidi w:val="0"/>
                    <w:jc w:val="center"/>
                    <w:rPr>
                      <w:rFonts w:hint="eastAsia"/>
                      <w:lang w:val="en-US" w:eastAsia="zh-CN"/>
                    </w:rPr>
                  </w:pPr>
                  <w:r>
                    <w:rPr>
                      <w:rFonts w:hint="eastAsia"/>
                      <w:lang w:val="en-US" w:eastAsia="zh-CN"/>
                    </w:rPr>
                    <w:t>2014.04.25</w:t>
                  </w:r>
                </w:p>
                <w:p w14:paraId="10F23C53">
                  <w:pPr>
                    <w:pStyle w:val="41"/>
                    <w:bidi w:val="0"/>
                    <w:jc w:val="center"/>
                    <w:rPr>
                      <w:rFonts w:hint="default"/>
                      <w:lang w:val="en-US" w:eastAsia="zh-CN"/>
                    </w:rPr>
                  </w:pPr>
                  <w:r>
                    <w:rPr>
                      <w:rFonts w:hint="eastAsia"/>
                      <w:lang w:val="en-US" w:eastAsia="zh-CN"/>
                    </w:rPr>
                    <w:t>南京市江宁区环境保护局</w:t>
                  </w:r>
                </w:p>
              </w:tc>
              <w:tc>
                <w:tcPr>
                  <w:tcW w:w="953" w:type="pct"/>
                  <w:tcBorders>
                    <w:tl2br w:val="nil"/>
                    <w:tr2bl w:val="nil"/>
                  </w:tcBorders>
                  <w:vAlign w:val="center"/>
                </w:tcPr>
                <w:p w14:paraId="4A3B717F">
                  <w:pPr>
                    <w:pStyle w:val="41"/>
                    <w:bidi w:val="0"/>
                    <w:jc w:val="center"/>
                    <w:rPr>
                      <w:rFonts w:hint="default"/>
                      <w:lang w:val="en-US" w:eastAsia="zh-CN"/>
                    </w:rPr>
                  </w:pPr>
                  <w:r>
                    <w:rPr>
                      <w:rFonts w:hint="eastAsia"/>
                      <w:lang w:val="en-US" w:eastAsia="zh-CN"/>
                    </w:rPr>
                    <w:t>5栋多功能厂房已建成，1栋总部大楼暂未建设</w:t>
                  </w:r>
                </w:p>
              </w:tc>
              <w:tc>
                <w:tcPr>
                  <w:tcW w:w="802" w:type="pct"/>
                  <w:tcBorders>
                    <w:tl2br w:val="nil"/>
                    <w:tr2bl w:val="nil"/>
                  </w:tcBorders>
                  <w:vAlign w:val="center"/>
                </w:tcPr>
                <w:p w14:paraId="42864DF0">
                  <w:pPr>
                    <w:pStyle w:val="41"/>
                    <w:bidi w:val="0"/>
                    <w:jc w:val="center"/>
                    <w:rPr>
                      <w:rFonts w:hint="eastAsia"/>
                      <w:lang w:val="en-US" w:eastAsia="zh-CN"/>
                    </w:rPr>
                  </w:pPr>
                  <w:r>
                    <w:rPr>
                      <w:rFonts w:hint="eastAsia"/>
                      <w:lang w:val="en-US" w:eastAsia="zh-CN"/>
                    </w:rPr>
                    <w:t>2015.06.04</w:t>
                  </w:r>
                </w:p>
                <w:p w14:paraId="0A2B7E13">
                  <w:pPr>
                    <w:pStyle w:val="41"/>
                    <w:bidi w:val="0"/>
                    <w:jc w:val="center"/>
                    <w:rPr>
                      <w:rFonts w:hint="default"/>
                      <w:lang w:val="en-US" w:eastAsia="zh-CN"/>
                    </w:rPr>
                  </w:pPr>
                  <w:r>
                    <w:rPr>
                      <w:rFonts w:hint="eastAsia"/>
                      <w:lang w:val="en-US" w:eastAsia="zh-CN"/>
                    </w:rPr>
                    <w:t>南京市江宁区环境保护局</w:t>
                  </w:r>
                </w:p>
              </w:tc>
              <w:tc>
                <w:tcPr>
                  <w:tcW w:w="226" w:type="pct"/>
                  <w:tcBorders>
                    <w:tl2br w:val="nil"/>
                    <w:tr2bl w:val="nil"/>
                  </w:tcBorders>
                  <w:vAlign w:val="center"/>
                </w:tcPr>
                <w:p w14:paraId="4236E3CE">
                  <w:pPr>
                    <w:pStyle w:val="41"/>
                    <w:bidi w:val="0"/>
                    <w:jc w:val="center"/>
                    <w:rPr>
                      <w:rFonts w:hint="default"/>
                      <w:lang w:val="en-US" w:eastAsia="zh-CN"/>
                    </w:rPr>
                  </w:pPr>
                  <w:r>
                    <w:rPr>
                      <w:rFonts w:hint="eastAsia"/>
                      <w:lang w:val="en-US" w:eastAsia="zh-CN"/>
                    </w:rPr>
                    <w:t>现有项目</w:t>
                  </w:r>
                </w:p>
              </w:tc>
            </w:tr>
            <w:tr w14:paraId="3FC00DDB">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46" w:hRule="atLeast"/>
              </w:trPr>
              <w:tc>
                <w:tcPr>
                  <w:tcW w:w="167" w:type="pct"/>
                  <w:tcBorders>
                    <w:tl2br w:val="nil"/>
                    <w:tr2bl w:val="nil"/>
                  </w:tcBorders>
                  <w:vAlign w:val="center"/>
                </w:tcPr>
                <w:p w14:paraId="2B2CDEAD">
                  <w:pPr>
                    <w:pStyle w:val="41"/>
                    <w:bidi w:val="0"/>
                    <w:jc w:val="center"/>
                    <w:rPr>
                      <w:rFonts w:hint="eastAsia"/>
                      <w:lang w:val="en-US" w:eastAsia="zh-CN"/>
                    </w:rPr>
                  </w:pPr>
                  <w:r>
                    <w:rPr>
                      <w:rFonts w:hint="eastAsia"/>
                      <w:lang w:val="en-US" w:eastAsia="zh-CN"/>
                    </w:rPr>
                    <w:t>2</w:t>
                  </w:r>
                </w:p>
              </w:tc>
              <w:tc>
                <w:tcPr>
                  <w:tcW w:w="527" w:type="pct"/>
                  <w:tcBorders>
                    <w:tl2br w:val="nil"/>
                    <w:tr2bl w:val="nil"/>
                  </w:tcBorders>
                  <w:vAlign w:val="center"/>
                </w:tcPr>
                <w:p w14:paraId="7D2E7C70">
                  <w:pPr>
                    <w:pStyle w:val="41"/>
                    <w:bidi w:val="0"/>
                    <w:jc w:val="center"/>
                    <w:rPr>
                      <w:rFonts w:hint="eastAsia"/>
                      <w:lang w:eastAsia="zh-CN"/>
                    </w:rPr>
                  </w:pPr>
                  <w:r>
                    <w:rPr>
                      <w:rFonts w:hint="eastAsia"/>
                      <w:lang w:val="en-US" w:eastAsia="zh-CN"/>
                    </w:rPr>
                    <w:t>康缘医药科技园项目</w:t>
                  </w:r>
                </w:p>
              </w:tc>
              <w:tc>
                <w:tcPr>
                  <w:tcW w:w="344" w:type="pct"/>
                  <w:tcBorders>
                    <w:tl2br w:val="nil"/>
                    <w:tr2bl w:val="nil"/>
                  </w:tcBorders>
                  <w:vAlign w:val="center"/>
                </w:tcPr>
                <w:p w14:paraId="49E33DBC">
                  <w:pPr>
                    <w:pStyle w:val="41"/>
                    <w:bidi w:val="0"/>
                    <w:jc w:val="center"/>
                    <w:rPr>
                      <w:rFonts w:hint="default"/>
                      <w:lang w:val="en-US" w:eastAsia="zh-CN"/>
                    </w:rPr>
                  </w:pPr>
                  <w:r>
                    <w:rPr>
                      <w:rFonts w:hint="eastAsia"/>
                      <w:lang w:val="en-US" w:eastAsia="zh-CN"/>
                    </w:rPr>
                    <w:t>报告表</w:t>
                  </w:r>
                </w:p>
              </w:tc>
              <w:tc>
                <w:tcPr>
                  <w:tcW w:w="1095" w:type="pct"/>
                  <w:tcBorders>
                    <w:tl2br w:val="nil"/>
                    <w:tr2bl w:val="nil"/>
                  </w:tcBorders>
                  <w:vAlign w:val="center"/>
                </w:tcPr>
                <w:p w14:paraId="1CE4F80B">
                  <w:pPr>
                    <w:pStyle w:val="41"/>
                    <w:bidi w:val="0"/>
                    <w:jc w:val="center"/>
                    <w:rPr>
                      <w:rFonts w:hint="eastAsia"/>
                      <w:lang w:val="en-US" w:eastAsia="zh-CN"/>
                    </w:rPr>
                  </w:pPr>
                  <w:r>
                    <w:rPr>
                      <w:rFonts w:hint="eastAsia"/>
                      <w:lang w:val="en-US" w:eastAsia="zh-CN"/>
                    </w:rPr>
                    <w:t>5号楼改造为中药、天然药物研发实验楼，7号楼改造为重组蛋白药物实验楼</w:t>
                  </w:r>
                </w:p>
              </w:tc>
              <w:tc>
                <w:tcPr>
                  <w:tcW w:w="881" w:type="pct"/>
                  <w:tcBorders>
                    <w:tl2br w:val="nil"/>
                    <w:tr2bl w:val="nil"/>
                  </w:tcBorders>
                  <w:vAlign w:val="center"/>
                </w:tcPr>
                <w:p w14:paraId="6B46B50D">
                  <w:pPr>
                    <w:pStyle w:val="41"/>
                    <w:bidi w:val="0"/>
                    <w:jc w:val="center"/>
                    <w:rPr>
                      <w:rFonts w:hint="eastAsia"/>
                      <w:lang w:val="en-US" w:eastAsia="zh-CN"/>
                    </w:rPr>
                  </w:pPr>
                  <w:r>
                    <w:rPr>
                      <w:rFonts w:hint="eastAsia"/>
                      <w:lang w:val="en-US" w:eastAsia="zh-CN"/>
                    </w:rPr>
                    <w:t>2016.12.18</w:t>
                  </w:r>
                </w:p>
                <w:p w14:paraId="1A79BBE3">
                  <w:pPr>
                    <w:pStyle w:val="41"/>
                    <w:bidi w:val="0"/>
                    <w:jc w:val="center"/>
                    <w:rPr>
                      <w:rFonts w:hint="default"/>
                      <w:lang w:val="en-US" w:eastAsia="zh-CN"/>
                    </w:rPr>
                  </w:pPr>
                  <w:r>
                    <w:rPr>
                      <w:rFonts w:hint="eastAsia"/>
                      <w:lang w:val="en-US" w:eastAsia="zh-CN"/>
                    </w:rPr>
                    <w:t>南京市江宁区环境保护局</w:t>
                  </w:r>
                </w:p>
              </w:tc>
              <w:tc>
                <w:tcPr>
                  <w:tcW w:w="953" w:type="pct"/>
                  <w:tcBorders>
                    <w:tl2br w:val="nil"/>
                    <w:tr2bl w:val="nil"/>
                  </w:tcBorders>
                  <w:vAlign w:val="center"/>
                </w:tcPr>
                <w:p w14:paraId="35FDBC99">
                  <w:pPr>
                    <w:pStyle w:val="41"/>
                    <w:bidi w:val="0"/>
                    <w:jc w:val="center"/>
                    <w:rPr>
                      <w:rFonts w:hint="default"/>
                      <w:lang w:val="en-US" w:eastAsia="zh-CN"/>
                    </w:rPr>
                  </w:pPr>
                  <w:r>
                    <w:rPr>
                      <w:rFonts w:hint="eastAsia"/>
                      <w:lang w:val="en-US" w:eastAsia="zh-CN"/>
                    </w:rPr>
                    <w:t>5号楼中药、天然药物研发实验楼，7号楼重组蛋白药物实验楼</w:t>
                  </w:r>
                </w:p>
              </w:tc>
              <w:tc>
                <w:tcPr>
                  <w:tcW w:w="802" w:type="pct"/>
                  <w:tcBorders>
                    <w:tl2br w:val="nil"/>
                    <w:tr2bl w:val="nil"/>
                  </w:tcBorders>
                  <w:vAlign w:val="center"/>
                </w:tcPr>
                <w:p w14:paraId="2599226A">
                  <w:pPr>
                    <w:pStyle w:val="41"/>
                    <w:bidi w:val="0"/>
                    <w:jc w:val="center"/>
                    <w:rPr>
                      <w:rFonts w:hint="eastAsia"/>
                      <w:lang w:val="en-US" w:eastAsia="zh-CN"/>
                    </w:rPr>
                  </w:pPr>
                  <w:r>
                    <w:rPr>
                      <w:rFonts w:hint="eastAsia"/>
                      <w:lang w:val="en-US" w:eastAsia="zh-CN"/>
                    </w:rPr>
                    <w:t>2019.02.25</w:t>
                  </w:r>
                </w:p>
                <w:p w14:paraId="1DD0D102">
                  <w:pPr>
                    <w:pStyle w:val="41"/>
                    <w:bidi w:val="0"/>
                    <w:jc w:val="center"/>
                    <w:rPr>
                      <w:rFonts w:hint="default"/>
                      <w:lang w:val="en-US" w:eastAsia="zh-CN"/>
                    </w:rPr>
                  </w:pPr>
                  <w:r>
                    <w:rPr>
                      <w:rFonts w:hint="eastAsia"/>
                      <w:lang w:val="en-US" w:eastAsia="zh-CN"/>
                    </w:rPr>
                    <w:t>企业自主验收</w:t>
                  </w:r>
                </w:p>
              </w:tc>
              <w:tc>
                <w:tcPr>
                  <w:tcW w:w="226" w:type="pct"/>
                  <w:tcBorders>
                    <w:tl2br w:val="nil"/>
                    <w:tr2bl w:val="nil"/>
                  </w:tcBorders>
                  <w:vAlign w:val="center"/>
                </w:tcPr>
                <w:p w14:paraId="42319299">
                  <w:pPr>
                    <w:pStyle w:val="41"/>
                    <w:bidi w:val="0"/>
                    <w:jc w:val="center"/>
                    <w:rPr>
                      <w:rFonts w:hint="default"/>
                      <w:lang w:val="en-US" w:eastAsia="zh-CN"/>
                    </w:rPr>
                  </w:pPr>
                  <w:r>
                    <w:rPr>
                      <w:rFonts w:hint="eastAsia"/>
                      <w:lang w:val="en-US" w:eastAsia="zh-CN"/>
                    </w:rPr>
                    <w:t>现有项目</w:t>
                  </w:r>
                </w:p>
              </w:tc>
            </w:tr>
            <w:tr w14:paraId="2B0A78F1">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46" w:hRule="atLeast"/>
              </w:trPr>
              <w:tc>
                <w:tcPr>
                  <w:tcW w:w="167" w:type="pct"/>
                  <w:tcBorders>
                    <w:tl2br w:val="nil"/>
                    <w:tr2bl w:val="nil"/>
                  </w:tcBorders>
                  <w:vAlign w:val="center"/>
                </w:tcPr>
                <w:p w14:paraId="1A3D1793">
                  <w:pPr>
                    <w:pStyle w:val="41"/>
                    <w:bidi w:val="0"/>
                    <w:jc w:val="center"/>
                    <w:rPr>
                      <w:rFonts w:hint="default"/>
                      <w:lang w:val="en-US" w:eastAsia="zh-CN"/>
                    </w:rPr>
                  </w:pPr>
                  <w:r>
                    <w:rPr>
                      <w:rFonts w:hint="eastAsia"/>
                      <w:lang w:val="en-US" w:eastAsia="zh-CN"/>
                    </w:rPr>
                    <w:t>3</w:t>
                  </w:r>
                </w:p>
              </w:tc>
              <w:tc>
                <w:tcPr>
                  <w:tcW w:w="527" w:type="pct"/>
                  <w:tcBorders>
                    <w:tl2br w:val="nil"/>
                    <w:tr2bl w:val="nil"/>
                  </w:tcBorders>
                  <w:vAlign w:val="center"/>
                </w:tcPr>
                <w:p w14:paraId="733E725F">
                  <w:pPr>
                    <w:pStyle w:val="41"/>
                    <w:bidi w:val="0"/>
                    <w:jc w:val="center"/>
                    <w:rPr>
                      <w:rFonts w:hint="eastAsia"/>
                      <w:lang w:val="en-US" w:eastAsia="zh-CN"/>
                    </w:rPr>
                  </w:pPr>
                  <w:r>
                    <w:rPr>
                      <w:rFonts w:hint="eastAsia"/>
                      <w:lang w:val="en-US" w:eastAsia="zh-CN"/>
                    </w:rPr>
                    <w:t>康缘医药科技园6号楼改建项目</w:t>
                  </w:r>
                </w:p>
              </w:tc>
              <w:tc>
                <w:tcPr>
                  <w:tcW w:w="344" w:type="pct"/>
                  <w:tcBorders>
                    <w:tl2br w:val="nil"/>
                    <w:tr2bl w:val="nil"/>
                  </w:tcBorders>
                  <w:vAlign w:val="center"/>
                </w:tcPr>
                <w:p w14:paraId="182A2A92">
                  <w:pPr>
                    <w:pStyle w:val="41"/>
                    <w:bidi w:val="0"/>
                    <w:jc w:val="center"/>
                    <w:rPr>
                      <w:rFonts w:hint="default"/>
                      <w:lang w:val="en-US" w:eastAsia="zh-CN"/>
                    </w:rPr>
                  </w:pPr>
                  <w:r>
                    <w:rPr>
                      <w:rFonts w:hint="eastAsia"/>
                      <w:lang w:val="en-US" w:eastAsia="zh-CN"/>
                    </w:rPr>
                    <w:t>报告表</w:t>
                  </w:r>
                </w:p>
              </w:tc>
              <w:tc>
                <w:tcPr>
                  <w:tcW w:w="1095" w:type="pct"/>
                  <w:tcBorders>
                    <w:tl2br w:val="nil"/>
                    <w:tr2bl w:val="nil"/>
                  </w:tcBorders>
                  <w:vAlign w:val="center"/>
                </w:tcPr>
                <w:p w14:paraId="0FA1D228">
                  <w:pPr>
                    <w:pStyle w:val="41"/>
                    <w:bidi w:val="0"/>
                    <w:jc w:val="center"/>
                    <w:rPr>
                      <w:rFonts w:hint="eastAsia"/>
                      <w:lang w:val="en-US" w:eastAsia="zh-CN"/>
                    </w:rPr>
                  </w:pPr>
                  <w:r>
                    <w:rPr>
                      <w:rFonts w:hint="eastAsia"/>
                      <w:lang w:val="en-US" w:eastAsia="zh-CN"/>
                    </w:rPr>
                    <w:t>6号楼改造为重组蛋白药物及微生物诊断试剂研发实验楼</w:t>
                  </w:r>
                </w:p>
              </w:tc>
              <w:tc>
                <w:tcPr>
                  <w:tcW w:w="881" w:type="pct"/>
                  <w:tcBorders>
                    <w:tl2br w:val="nil"/>
                    <w:tr2bl w:val="nil"/>
                  </w:tcBorders>
                  <w:vAlign w:val="center"/>
                </w:tcPr>
                <w:p w14:paraId="0B96ABA4">
                  <w:pPr>
                    <w:pStyle w:val="41"/>
                    <w:bidi w:val="0"/>
                    <w:jc w:val="center"/>
                    <w:rPr>
                      <w:rFonts w:hint="eastAsia"/>
                      <w:lang w:val="en-US" w:eastAsia="zh-CN"/>
                    </w:rPr>
                  </w:pPr>
                  <w:r>
                    <w:rPr>
                      <w:rFonts w:hint="eastAsia"/>
                      <w:lang w:val="en-US" w:eastAsia="zh-CN"/>
                    </w:rPr>
                    <w:t>2021.12.28</w:t>
                  </w:r>
                </w:p>
                <w:p w14:paraId="71413A5D">
                  <w:pPr>
                    <w:pStyle w:val="41"/>
                    <w:bidi w:val="0"/>
                    <w:jc w:val="center"/>
                    <w:rPr>
                      <w:rFonts w:hint="default"/>
                      <w:lang w:val="en-US" w:eastAsia="zh-CN"/>
                    </w:rPr>
                  </w:pPr>
                  <w:r>
                    <w:rPr>
                      <w:rFonts w:hint="eastAsia"/>
                      <w:lang w:val="en-US" w:eastAsia="zh-CN"/>
                    </w:rPr>
                    <w:t>南京市生态环境局</w:t>
                  </w:r>
                </w:p>
              </w:tc>
              <w:tc>
                <w:tcPr>
                  <w:tcW w:w="953" w:type="pct"/>
                  <w:tcBorders>
                    <w:tl2br w:val="nil"/>
                    <w:tr2bl w:val="nil"/>
                  </w:tcBorders>
                  <w:vAlign w:val="center"/>
                </w:tcPr>
                <w:p w14:paraId="03D4C80C">
                  <w:pPr>
                    <w:pStyle w:val="41"/>
                    <w:bidi w:val="0"/>
                    <w:jc w:val="center"/>
                    <w:rPr>
                      <w:rFonts w:hint="default"/>
                      <w:lang w:val="en-US" w:eastAsia="zh-CN"/>
                    </w:rPr>
                  </w:pPr>
                  <w:r>
                    <w:rPr>
                      <w:rFonts w:hint="eastAsia"/>
                      <w:lang w:val="en-US" w:eastAsia="zh-CN"/>
                    </w:rPr>
                    <w:t>建设中，暂未验收</w:t>
                  </w:r>
                </w:p>
              </w:tc>
              <w:tc>
                <w:tcPr>
                  <w:tcW w:w="802" w:type="pct"/>
                  <w:tcBorders>
                    <w:tl2br w:val="nil"/>
                    <w:tr2bl w:val="nil"/>
                  </w:tcBorders>
                  <w:vAlign w:val="center"/>
                </w:tcPr>
                <w:p w14:paraId="05291BA3">
                  <w:pPr>
                    <w:pStyle w:val="41"/>
                    <w:bidi w:val="0"/>
                    <w:jc w:val="center"/>
                    <w:rPr>
                      <w:rFonts w:hint="default"/>
                      <w:lang w:val="en-US" w:eastAsia="zh-CN"/>
                    </w:rPr>
                  </w:pPr>
                  <w:r>
                    <w:rPr>
                      <w:rFonts w:hint="eastAsia"/>
                      <w:lang w:val="en-US" w:eastAsia="zh-CN"/>
                    </w:rPr>
                    <w:t>/</w:t>
                  </w:r>
                </w:p>
              </w:tc>
              <w:tc>
                <w:tcPr>
                  <w:tcW w:w="226" w:type="pct"/>
                  <w:tcBorders>
                    <w:tl2br w:val="nil"/>
                    <w:tr2bl w:val="nil"/>
                  </w:tcBorders>
                  <w:vAlign w:val="center"/>
                </w:tcPr>
                <w:p w14:paraId="0A72381D">
                  <w:pPr>
                    <w:pStyle w:val="41"/>
                    <w:bidi w:val="0"/>
                    <w:jc w:val="center"/>
                    <w:rPr>
                      <w:rFonts w:hint="default"/>
                      <w:lang w:val="en-US" w:eastAsia="zh-CN"/>
                    </w:rPr>
                  </w:pPr>
                  <w:r>
                    <w:rPr>
                      <w:rFonts w:hint="eastAsia"/>
                      <w:lang w:val="en-US" w:eastAsia="zh-CN"/>
                    </w:rPr>
                    <w:t>在建项目</w:t>
                  </w:r>
                </w:p>
              </w:tc>
            </w:tr>
            <w:tr w14:paraId="352355D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46" w:hRule="atLeast"/>
              </w:trPr>
              <w:tc>
                <w:tcPr>
                  <w:tcW w:w="167" w:type="pct"/>
                  <w:tcBorders>
                    <w:tl2br w:val="nil"/>
                    <w:tr2bl w:val="nil"/>
                  </w:tcBorders>
                  <w:vAlign w:val="center"/>
                </w:tcPr>
                <w:p w14:paraId="53408268">
                  <w:pPr>
                    <w:pStyle w:val="41"/>
                    <w:bidi w:val="0"/>
                    <w:jc w:val="center"/>
                    <w:rPr>
                      <w:rFonts w:hint="default"/>
                      <w:lang w:val="en-US" w:eastAsia="zh-CN"/>
                    </w:rPr>
                  </w:pPr>
                  <w:r>
                    <w:rPr>
                      <w:rFonts w:hint="eastAsia"/>
                      <w:lang w:val="en-US" w:eastAsia="zh-CN"/>
                    </w:rPr>
                    <w:t>4</w:t>
                  </w:r>
                </w:p>
              </w:tc>
              <w:tc>
                <w:tcPr>
                  <w:tcW w:w="527" w:type="pct"/>
                  <w:tcBorders>
                    <w:tl2br w:val="nil"/>
                    <w:tr2bl w:val="nil"/>
                  </w:tcBorders>
                  <w:vAlign w:val="center"/>
                </w:tcPr>
                <w:p w14:paraId="5B22E316">
                  <w:pPr>
                    <w:pStyle w:val="41"/>
                    <w:bidi w:val="0"/>
                    <w:jc w:val="center"/>
                    <w:rPr>
                      <w:rFonts w:hint="eastAsia"/>
                      <w:lang w:val="en-US" w:eastAsia="zh-CN"/>
                    </w:rPr>
                  </w:pPr>
                  <w:r>
                    <w:rPr>
                      <w:rFonts w:hint="eastAsia"/>
                      <w:lang w:val="en-US" w:eastAsia="zh-CN"/>
                    </w:rPr>
                    <w:t>创新中药人工智能及多组学研究平台项目</w:t>
                  </w:r>
                </w:p>
              </w:tc>
              <w:tc>
                <w:tcPr>
                  <w:tcW w:w="344" w:type="pct"/>
                  <w:tcBorders>
                    <w:tl2br w:val="nil"/>
                    <w:tr2bl w:val="nil"/>
                  </w:tcBorders>
                  <w:vAlign w:val="center"/>
                </w:tcPr>
                <w:p w14:paraId="4F968DA6">
                  <w:pPr>
                    <w:pStyle w:val="41"/>
                    <w:bidi w:val="0"/>
                    <w:jc w:val="center"/>
                    <w:rPr>
                      <w:rFonts w:hint="default"/>
                      <w:lang w:val="en-US" w:eastAsia="zh-CN"/>
                    </w:rPr>
                  </w:pPr>
                  <w:r>
                    <w:rPr>
                      <w:rFonts w:hint="eastAsia"/>
                      <w:lang w:val="en-US" w:eastAsia="zh-CN"/>
                    </w:rPr>
                    <w:t>报告表</w:t>
                  </w:r>
                </w:p>
              </w:tc>
              <w:tc>
                <w:tcPr>
                  <w:tcW w:w="1095" w:type="pct"/>
                  <w:tcBorders>
                    <w:tl2br w:val="nil"/>
                    <w:tr2bl w:val="nil"/>
                  </w:tcBorders>
                  <w:vAlign w:val="center"/>
                </w:tcPr>
                <w:p w14:paraId="23A49D87">
                  <w:pPr>
                    <w:pStyle w:val="41"/>
                    <w:bidi w:val="0"/>
                    <w:jc w:val="center"/>
                    <w:rPr>
                      <w:rFonts w:hint="default"/>
                      <w:lang w:val="en-US" w:eastAsia="zh-CN"/>
                    </w:rPr>
                  </w:pPr>
                  <w:r>
                    <w:rPr>
                      <w:rFonts w:hint="eastAsia"/>
                      <w:lang w:val="en-US" w:eastAsia="zh-CN"/>
                    </w:rPr>
                    <w:t>3号楼改造为中药研发实验楼</w:t>
                  </w:r>
                </w:p>
              </w:tc>
              <w:tc>
                <w:tcPr>
                  <w:tcW w:w="881" w:type="pct"/>
                  <w:tcBorders>
                    <w:tl2br w:val="nil"/>
                    <w:tr2bl w:val="nil"/>
                  </w:tcBorders>
                  <w:vAlign w:val="center"/>
                </w:tcPr>
                <w:p w14:paraId="6D235869">
                  <w:pPr>
                    <w:pStyle w:val="41"/>
                    <w:bidi w:val="0"/>
                    <w:jc w:val="center"/>
                    <w:rPr>
                      <w:rFonts w:hint="eastAsia"/>
                      <w:lang w:val="en-US" w:eastAsia="zh-CN"/>
                    </w:rPr>
                  </w:pPr>
                  <w:r>
                    <w:rPr>
                      <w:rFonts w:hint="eastAsia"/>
                      <w:lang w:val="en-US" w:eastAsia="zh-CN"/>
                    </w:rPr>
                    <w:t>2023.03.07</w:t>
                  </w:r>
                </w:p>
                <w:p w14:paraId="47EBE29E">
                  <w:pPr>
                    <w:pStyle w:val="41"/>
                    <w:bidi w:val="0"/>
                    <w:jc w:val="center"/>
                    <w:rPr>
                      <w:rFonts w:hint="default"/>
                      <w:lang w:val="en-US" w:eastAsia="zh-CN"/>
                    </w:rPr>
                  </w:pPr>
                  <w:r>
                    <w:rPr>
                      <w:rFonts w:hint="eastAsia"/>
                      <w:lang w:val="en-US" w:eastAsia="zh-CN"/>
                    </w:rPr>
                    <w:t>南京市生态环境局</w:t>
                  </w:r>
                </w:p>
              </w:tc>
              <w:tc>
                <w:tcPr>
                  <w:tcW w:w="953" w:type="pct"/>
                  <w:tcBorders>
                    <w:tl2br w:val="nil"/>
                    <w:tr2bl w:val="nil"/>
                  </w:tcBorders>
                  <w:vAlign w:val="center"/>
                </w:tcPr>
                <w:p w14:paraId="1EE36C83">
                  <w:pPr>
                    <w:pStyle w:val="41"/>
                    <w:bidi w:val="0"/>
                    <w:jc w:val="center"/>
                    <w:rPr>
                      <w:rFonts w:hint="default"/>
                      <w:lang w:val="en-US" w:eastAsia="zh-CN"/>
                    </w:rPr>
                  </w:pPr>
                  <w:r>
                    <w:rPr>
                      <w:rFonts w:hint="eastAsia"/>
                      <w:lang w:val="en-US" w:eastAsia="zh-CN"/>
                    </w:rPr>
                    <w:t>3号楼中药研发实验室</w:t>
                  </w:r>
                </w:p>
              </w:tc>
              <w:tc>
                <w:tcPr>
                  <w:tcW w:w="802" w:type="pct"/>
                  <w:tcBorders>
                    <w:tl2br w:val="nil"/>
                    <w:tr2bl w:val="nil"/>
                  </w:tcBorders>
                  <w:vAlign w:val="center"/>
                </w:tcPr>
                <w:p w14:paraId="4977D1C7">
                  <w:pPr>
                    <w:pStyle w:val="41"/>
                    <w:bidi w:val="0"/>
                    <w:jc w:val="center"/>
                    <w:rPr>
                      <w:rFonts w:hint="default"/>
                      <w:lang w:val="en-US" w:eastAsia="zh-CN"/>
                    </w:rPr>
                  </w:pPr>
                  <w:r>
                    <w:rPr>
                      <w:rFonts w:hint="eastAsia"/>
                      <w:lang w:val="en-US" w:eastAsia="zh-CN"/>
                    </w:rPr>
                    <w:t>2024.12.06企业自主验收</w:t>
                  </w:r>
                </w:p>
              </w:tc>
              <w:tc>
                <w:tcPr>
                  <w:tcW w:w="226" w:type="pct"/>
                  <w:tcBorders>
                    <w:tl2br w:val="nil"/>
                    <w:tr2bl w:val="nil"/>
                  </w:tcBorders>
                  <w:vAlign w:val="center"/>
                </w:tcPr>
                <w:p w14:paraId="7C4D7AFD">
                  <w:pPr>
                    <w:pStyle w:val="41"/>
                    <w:bidi w:val="0"/>
                    <w:jc w:val="center"/>
                    <w:rPr>
                      <w:rFonts w:hint="default"/>
                      <w:lang w:val="en-US" w:eastAsia="zh-CN"/>
                    </w:rPr>
                  </w:pPr>
                  <w:r>
                    <w:rPr>
                      <w:rFonts w:hint="eastAsia"/>
                      <w:lang w:val="en-US" w:eastAsia="zh-CN"/>
                    </w:rPr>
                    <w:t>现有项目</w:t>
                  </w:r>
                </w:p>
              </w:tc>
            </w:tr>
          </w:tbl>
          <w:p w14:paraId="4BAD3E2B">
            <w:pPr>
              <w:pStyle w:val="41"/>
              <w:bidi w:val="0"/>
              <w:rPr>
                <w:rFonts w:hint="eastAsia"/>
                <w:lang w:val="en-US" w:eastAsia="zh-CN"/>
              </w:rPr>
            </w:pPr>
          </w:p>
          <w:p w14:paraId="657E6427">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lang w:val="en-US"/>
              </w:rPr>
            </w:pPr>
            <w:r>
              <w:rPr>
                <w:rFonts w:hint="eastAsia"/>
                <w:b/>
                <w:bCs/>
              </w:rPr>
              <w:t>2、现有项目</w:t>
            </w:r>
            <w:r>
              <w:rPr>
                <w:rFonts w:hint="eastAsia"/>
                <w:b/>
                <w:bCs/>
                <w:lang w:val="en-US" w:eastAsia="zh-CN"/>
              </w:rPr>
              <w:t>工艺流程及污染物达标性分析</w:t>
            </w:r>
          </w:p>
          <w:p w14:paraId="5957D22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lang w:val="en-US" w:eastAsia="zh-CN"/>
              </w:rPr>
              <w:t>工艺流程</w:t>
            </w:r>
          </w:p>
          <w:p w14:paraId="5AEA6B8A">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lang w:val="en-US" w:eastAsia="zh-CN"/>
              </w:rPr>
            </w:pPr>
            <w:r>
              <w:rPr>
                <w:rFonts w:hint="eastAsia"/>
                <w:b/>
                <w:bCs/>
                <w:lang w:val="en-US" w:eastAsia="zh-CN"/>
              </w:rPr>
              <w:t>1）已批已验项目</w:t>
            </w:r>
          </w:p>
          <w:p w14:paraId="0C779CD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康缘医药科技园项目”将5号楼改造为中药、天然药物研发实验楼，7号楼改造为重组蛋白药物实验楼，5号楼主要研发内容包括短小蛇根草苷的合成及结构改造、金黄凝胶的合成，7号楼主要研发内容包括重组蛋白类药物的研发、微生物药敏诊断试剂的研发，主要工艺流程如下。</w:t>
            </w:r>
          </w:p>
          <w:p w14:paraId="09E5B5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auto"/>
                <w:sz w:val="24"/>
                <w:highlight w:val="none"/>
                <w:lang w:eastAsia="zh-CN"/>
              </w:rPr>
            </w:pPr>
            <w:r>
              <w:rPr>
                <w:color w:val="auto"/>
                <w:highlight w:val="none"/>
              </w:rPr>
              <w:drawing>
                <wp:inline distT="0" distB="0" distL="114300" distR="114300">
                  <wp:extent cx="2792730" cy="4500245"/>
                  <wp:effectExtent l="0" t="0" r="7620" b="14605"/>
                  <wp:docPr id="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
                          <pic:cNvPicPr>
                            <a:picLocks noChangeAspect="1"/>
                          </pic:cNvPicPr>
                        </pic:nvPicPr>
                        <pic:blipFill>
                          <a:blip r:embed="rId26"/>
                          <a:stretch>
                            <a:fillRect/>
                          </a:stretch>
                        </pic:blipFill>
                        <pic:spPr>
                          <a:xfrm>
                            <a:off x="0" y="0"/>
                            <a:ext cx="2792730" cy="4500245"/>
                          </a:xfrm>
                          <a:prstGeom prst="rect">
                            <a:avLst/>
                          </a:prstGeom>
                          <a:noFill/>
                          <a:ln>
                            <a:noFill/>
                          </a:ln>
                        </pic:spPr>
                      </pic:pic>
                    </a:graphicData>
                  </a:graphic>
                </wp:inline>
              </w:drawing>
            </w:r>
          </w:p>
          <w:p w14:paraId="35AA0E36">
            <w:pPr>
              <w:pStyle w:val="20"/>
              <w:bidi w:val="0"/>
              <w:rPr>
                <w:rFonts w:hint="eastAsia"/>
                <w:lang w:val="en-US" w:eastAsia="zh-CN"/>
              </w:rPr>
            </w:pPr>
            <w:r>
              <w:rPr>
                <w:rFonts w:hint="eastAsia"/>
                <w:lang w:val="en-US" w:eastAsia="zh-CN"/>
              </w:rPr>
              <w:t>短小蛇根草苷合成及结构改造工艺流程图</w:t>
            </w:r>
          </w:p>
          <w:p w14:paraId="1E160F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auto"/>
                <w:sz w:val="24"/>
                <w:szCs w:val="24"/>
                <w:highlight w:val="none"/>
                <w:lang w:val="en-US" w:eastAsia="zh-CN"/>
              </w:rPr>
            </w:pPr>
          </w:p>
          <w:p w14:paraId="16E2AC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auto"/>
                <w:sz w:val="24"/>
                <w:highlight w:val="none"/>
                <w:lang w:eastAsia="zh-CN"/>
              </w:rPr>
            </w:pPr>
            <w:r>
              <w:rPr>
                <w:color w:val="auto"/>
                <w:highlight w:val="none"/>
              </w:rPr>
              <w:drawing>
                <wp:inline distT="0" distB="0" distL="114300" distR="114300">
                  <wp:extent cx="3312160" cy="3239770"/>
                  <wp:effectExtent l="0" t="0" r="2540" b="17780"/>
                  <wp:docPr id="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pic:cNvPicPr>
                            <a:picLocks noChangeAspect="1"/>
                          </pic:cNvPicPr>
                        </pic:nvPicPr>
                        <pic:blipFill>
                          <a:blip r:embed="rId27"/>
                          <a:stretch>
                            <a:fillRect/>
                          </a:stretch>
                        </pic:blipFill>
                        <pic:spPr>
                          <a:xfrm>
                            <a:off x="0" y="0"/>
                            <a:ext cx="3312160" cy="3239770"/>
                          </a:xfrm>
                          <a:prstGeom prst="rect">
                            <a:avLst/>
                          </a:prstGeom>
                          <a:noFill/>
                          <a:ln>
                            <a:noFill/>
                          </a:ln>
                        </pic:spPr>
                      </pic:pic>
                    </a:graphicData>
                  </a:graphic>
                </wp:inline>
              </w:drawing>
            </w:r>
          </w:p>
          <w:p w14:paraId="64469738">
            <w:pPr>
              <w:pStyle w:val="20"/>
              <w:bidi w:val="0"/>
              <w:rPr>
                <w:rFonts w:hint="default"/>
                <w:lang w:val="en-US" w:eastAsia="zh-CN"/>
              </w:rPr>
            </w:pPr>
            <w:r>
              <w:rPr>
                <w:rFonts w:hint="eastAsia"/>
                <w:lang w:eastAsia="zh-CN"/>
              </w:rPr>
              <w:t>金黄凝胶的合成</w:t>
            </w:r>
            <w:r>
              <w:rPr>
                <w:rFonts w:hint="eastAsia"/>
                <w:lang w:val="en-US" w:eastAsia="zh-CN"/>
              </w:rPr>
              <w:t>工艺流程图</w:t>
            </w:r>
          </w:p>
          <w:p w14:paraId="647736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auto"/>
                <w:sz w:val="24"/>
                <w:highlight w:val="none"/>
                <w:lang w:eastAsia="zh-CN"/>
              </w:rPr>
            </w:pPr>
            <w:r>
              <w:rPr>
                <w:color w:val="auto"/>
                <w:highlight w:val="none"/>
              </w:rPr>
              <w:drawing>
                <wp:inline distT="0" distB="0" distL="114300" distR="114300">
                  <wp:extent cx="4598035" cy="5039995"/>
                  <wp:effectExtent l="0" t="0" r="12065" b="8255"/>
                  <wp:docPr id="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pic:cNvPicPr>
                            <a:picLocks noChangeAspect="1"/>
                          </pic:cNvPicPr>
                        </pic:nvPicPr>
                        <pic:blipFill>
                          <a:blip r:embed="rId28"/>
                          <a:stretch>
                            <a:fillRect/>
                          </a:stretch>
                        </pic:blipFill>
                        <pic:spPr>
                          <a:xfrm>
                            <a:off x="0" y="0"/>
                            <a:ext cx="4598035" cy="5039995"/>
                          </a:xfrm>
                          <a:prstGeom prst="rect">
                            <a:avLst/>
                          </a:prstGeom>
                          <a:noFill/>
                          <a:ln>
                            <a:noFill/>
                          </a:ln>
                        </pic:spPr>
                      </pic:pic>
                    </a:graphicData>
                  </a:graphic>
                </wp:inline>
              </w:drawing>
            </w:r>
          </w:p>
          <w:p w14:paraId="29C44C49">
            <w:pPr>
              <w:pStyle w:val="20"/>
              <w:bidi w:val="0"/>
              <w:rPr>
                <w:rFonts w:hint="default"/>
                <w:lang w:val="en-US" w:eastAsia="zh-CN"/>
              </w:rPr>
            </w:pPr>
            <w:r>
              <w:rPr>
                <w:rFonts w:hint="eastAsia"/>
                <w:lang w:val="en-US" w:eastAsia="zh-CN"/>
              </w:rPr>
              <w:t>重组蛋白类药物的研发工艺流程图</w:t>
            </w:r>
          </w:p>
          <w:p w14:paraId="6FC573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auto"/>
                <w:sz w:val="24"/>
                <w:highlight w:val="none"/>
                <w:lang w:eastAsia="zh-CN"/>
              </w:rPr>
            </w:pPr>
            <w:r>
              <w:rPr>
                <w:color w:val="auto"/>
                <w:highlight w:val="none"/>
              </w:rPr>
              <w:drawing>
                <wp:inline distT="0" distB="0" distL="114300" distR="114300">
                  <wp:extent cx="4143375" cy="2879725"/>
                  <wp:effectExtent l="0" t="0" r="9525" b="15875"/>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pic:cNvPicPr>
                        </pic:nvPicPr>
                        <pic:blipFill>
                          <a:blip r:embed="rId29"/>
                          <a:stretch>
                            <a:fillRect/>
                          </a:stretch>
                        </pic:blipFill>
                        <pic:spPr>
                          <a:xfrm>
                            <a:off x="0" y="0"/>
                            <a:ext cx="4143375" cy="2879725"/>
                          </a:xfrm>
                          <a:prstGeom prst="rect">
                            <a:avLst/>
                          </a:prstGeom>
                          <a:noFill/>
                          <a:ln>
                            <a:noFill/>
                          </a:ln>
                        </pic:spPr>
                      </pic:pic>
                    </a:graphicData>
                  </a:graphic>
                </wp:inline>
              </w:drawing>
            </w:r>
          </w:p>
          <w:p w14:paraId="112BDBAC">
            <w:pPr>
              <w:pStyle w:val="20"/>
              <w:bidi w:val="0"/>
              <w:rPr>
                <w:rFonts w:hint="eastAsia"/>
                <w:lang w:val="en-US" w:eastAsia="zh-CN"/>
              </w:rPr>
            </w:pPr>
            <w:r>
              <w:rPr>
                <w:rFonts w:hint="eastAsia"/>
                <w:lang w:val="en-US" w:eastAsia="zh-CN"/>
              </w:rPr>
              <w:t>微生物药敏诊断试剂的研发工艺流程图</w:t>
            </w:r>
          </w:p>
          <w:p w14:paraId="4AA04FAA">
            <w:pPr>
              <w:bidi w:val="0"/>
              <w:ind w:firstLine="480" w:firstLineChars="200"/>
              <w:rPr>
                <w:rFonts w:hint="eastAsia"/>
                <w:lang w:val="en-US" w:eastAsia="zh-CN"/>
              </w:rPr>
            </w:pPr>
            <w:r>
              <w:rPr>
                <w:rFonts w:hint="eastAsia"/>
                <w:lang w:val="en-US" w:eastAsia="zh-CN"/>
              </w:rPr>
              <w:t>“创新中药人工智能及多组学研究平台项目”将3号楼改造为中药研发实验楼，</w:t>
            </w:r>
            <w:r>
              <w:rPr>
                <w:rFonts w:hint="eastAsia"/>
                <w:color w:val="auto"/>
                <w:sz w:val="24"/>
                <w:szCs w:val="24"/>
                <w:highlight w:val="none"/>
                <w:lang w:val="en-US" w:eastAsia="zh-CN"/>
              </w:rPr>
              <w:t>主要进行创新中药研发实验，研究方向主要包括中药活性筛选与早期评价、免疫组学、代谢组学、肠道微生物组学、结构生物学、基因组学、生物信息学，</w:t>
            </w:r>
            <w:r>
              <w:rPr>
                <w:rFonts w:hint="eastAsia"/>
                <w:lang w:val="en-US" w:eastAsia="zh-CN"/>
              </w:rPr>
              <w:t>主要工艺流程如下。</w:t>
            </w:r>
          </w:p>
          <w:p w14:paraId="3445C87D">
            <w:pPr>
              <w:bidi w:val="0"/>
              <w:ind w:firstLine="480" w:firstLineChars="200"/>
              <w:rPr>
                <w:rFonts w:hint="eastAsia"/>
                <w:color w:val="auto"/>
                <w:highlight w:val="none"/>
              </w:rPr>
            </w:pPr>
            <w:r>
              <w:rPr>
                <w:rFonts w:hint="eastAsia"/>
                <w:color w:val="auto"/>
                <w:highlight w:val="none"/>
                <w:lang w:val="en-US" w:eastAsia="zh-CN"/>
              </w:rPr>
              <w:t>针对中药活性筛选与早期评价、免疫组学、结构生物学、基因组学、生物信息学的研发工艺流程如下：</w:t>
            </w:r>
          </w:p>
          <w:p w14:paraId="45FE4821">
            <w:pPr>
              <w:pStyle w:val="17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highlight w:val="none"/>
              </w:rPr>
            </w:pPr>
            <w:r>
              <w:rPr>
                <w:rFonts w:hint="eastAsia"/>
                <w:color w:val="auto"/>
                <w:highlight w:val="none"/>
                <w:lang w:val="en-US" w:eastAsia="zh-CN"/>
              </w:rPr>
              <w:drawing>
                <wp:inline distT="0" distB="0" distL="114300" distR="114300">
                  <wp:extent cx="3043555" cy="2195830"/>
                  <wp:effectExtent l="0" t="0" r="4445" b="13970"/>
                  <wp:docPr id="10" name="ECB019B1-382A-4266-B25C-5B523AA43C14-1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13" descr="wps"/>
                          <pic:cNvPicPr>
                            <a:picLocks noChangeAspect="1"/>
                          </pic:cNvPicPr>
                        </pic:nvPicPr>
                        <pic:blipFill>
                          <a:blip r:embed="rId30"/>
                          <a:srcRect l="8813" t="11533" r="5494" b="6130"/>
                          <a:stretch>
                            <a:fillRect/>
                          </a:stretch>
                        </pic:blipFill>
                        <pic:spPr>
                          <a:xfrm>
                            <a:off x="0" y="0"/>
                            <a:ext cx="3043555" cy="2195830"/>
                          </a:xfrm>
                          <a:prstGeom prst="rect">
                            <a:avLst/>
                          </a:prstGeom>
                        </pic:spPr>
                      </pic:pic>
                    </a:graphicData>
                  </a:graphic>
                </wp:inline>
              </w:drawing>
            </w:r>
          </w:p>
          <w:p w14:paraId="06211DC8">
            <w:pPr>
              <w:pStyle w:val="20"/>
              <w:bidi w:val="0"/>
              <w:rPr>
                <w:rFonts w:hint="eastAsia"/>
                <w:lang w:val="en-US" w:eastAsia="zh-CN"/>
              </w:rPr>
            </w:pPr>
            <w:r>
              <w:rPr>
                <w:rFonts w:hint="eastAsia"/>
                <w:lang w:val="en-US" w:eastAsia="zh-CN"/>
              </w:rPr>
              <w:t>中药活性筛选与早期评价等</w:t>
            </w:r>
            <w:r>
              <w:rPr>
                <w:rFonts w:hint="default"/>
              </w:rPr>
              <w:t>研发工艺流程及产污环节图</w:t>
            </w:r>
          </w:p>
          <w:p w14:paraId="7CD7D05A">
            <w:pPr>
              <w:bidi w:val="0"/>
              <w:ind w:firstLine="480" w:firstLineChars="200"/>
              <w:rPr>
                <w:rFonts w:hint="eastAsia"/>
                <w:color w:val="auto"/>
                <w:highlight w:val="none"/>
                <w:lang w:val="en-US" w:eastAsia="zh-CN"/>
              </w:rPr>
            </w:pPr>
            <w:r>
              <w:rPr>
                <w:rFonts w:hint="eastAsia"/>
                <w:color w:val="auto"/>
                <w:highlight w:val="none"/>
                <w:lang w:val="en-US" w:eastAsia="zh-CN"/>
              </w:rPr>
              <w:t>针对代谢组学、肠道微生物组学的研发工艺流程如下：</w:t>
            </w:r>
          </w:p>
          <w:p w14:paraId="185B2CEA">
            <w:pPr>
              <w:pStyle w:val="13"/>
              <w:spacing w:line="240" w:lineRule="auto"/>
              <w:ind w:left="0" w:leftChars="0" w:firstLine="0" w:firstLineChars="0"/>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3239770" cy="1946275"/>
                  <wp:effectExtent l="0" t="0" r="17780" b="15875"/>
                  <wp:docPr id="14" name="ECB019B1-382A-4266-B25C-5B523AA43C14-1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14" descr="wps"/>
                          <pic:cNvPicPr>
                            <a:picLocks noChangeAspect="1"/>
                          </pic:cNvPicPr>
                        </pic:nvPicPr>
                        <pic:blipFill>
                          <a:blip r:embed="rId31"/>
                          <a:srcRect l="9067" t="11507" r="4629" b="7888"/>
                          <a:stretch>
                            <a:fillRect/>
                          </a:stretch>
                        </pic:blipFill>
                        <pic:spPr>
                          <a:xfrm>
                            <a:off x="0" y="0"/>
                            <a:ext cx="3239770" cy="1946275"/>
                          </a:xfrm>
                          <a:prstGeom prst="rect">
                            <a:avLst/>
                          </a:prstGeom>
                        </pic:spPr>
                      </pic:pic>
                    </a:graphicData>
                  </a:graphic>
                </wp:inline>
              </w:drawing>
            </w:r>
          </w:p>
          <w:p w14:paraId="7261E321">
            <w:pPr>
              <w:pStyle w:val="20"/>
              <w:bidi w:val="0"/>
              <w:rPr>
                <w:rFonts w:hint="default"/>
                <w:lang w:val="en-US" w:eastAsia="zh-CN"/>
              </w:rPr>
            </w:pPr>
            <w:r>
              <w:rPr>
                <w:rFonts w:hint="eastAsia"/>
                <w:lang w:val="en-US" w:eastAsia="zh-CN"/>
              </w:rPr>
              <w:t>代谢组学、肠道微生物组学</w:t>
            </w:r>
            <w:r>
              <w:rPr>
                <w:rFonts w:hint="default"/>
              </w:rPr>
              <w:t>研发工艺流程及产污环节图</w:t>
            </w:r>
          </w:p>
          <w:p w14:paraId="495C8BFF">
            <w:pPr>
              <w:bidi w:val="0"/>
              <w:ind w:firstLine="482" w:firstLineChars="200"/>
              <w:rPr>
                <w:rFonts w:hint="eastAsia"/>
                <w:b/>
                <w:bCs/>
                <w:lang w:eastAsia="zh-CN"/>
              </w:rPr>
            </w:pPr>
            <w:r>
              <w:rPr>
                <w:rFonts w:hint="eastAsia"/>
                <w:b/>
                <w:bCs/>
                <w:lang w:val="en-US" w:eastAsia="zh-CN"/>
              </w:rPr>
              <w:t>2）已批在建项目</w:t>
            </w:r>
          </w:p>
          <w:p w14:paraId="0FAD24B7">
            <w:pPr>
              <w:bidi w:val="0"/>
              <w:ind w:firstLine="480" w:firstLineChars="200"/>
              <w:rPr>
                <w:rFonts w:hint="default"/>
                <w:lang w:val="en-US" w:eastAsia="zh-CN"/>
              </w:rPr>
            </w:pPr>
            <w:r>
              <w:rPr>
                <w:rFonts w:hint="eastAsia"/>
                <w:lang w:val="en-US" w:eastAsia="zh-CN"/>
              </w:rPr>
              <w:t>“康缘医药科技园6号楼改建项目”将6号楼改造为重组蛋白药物及微生物诊断试剂研发实验楼，主要工艺流程见下图。</w:t>
            </w:r>
          </w:p>
          <w:p w14:paraId="1A2197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auto"/>
                <w:sz w:val="24"/>
                <w:highlight w:val="none"/>
                <w:lang w:eastAsia="zh-CN"/>
              </w:rPr>
            </w:pPr>
            <w:r>
              <w:rPr>
                <w:color w:val="auto"/>
                <w:highlight w:val="none"/>
              </w:rPr>
              <w:drawing>
                <wp:inline distT="0" distB="0" distL="114300" distR="114300">
                  <wp:extent cx="3599815" cy="1612900"/>
                  <wp:effectExtent l="0" t="0" r="635" b="6350"/>
                  <wp:docPr id="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
                          <pic:cNvPicPr>
                            <a:picLocks noChangeAspect="1"/>
                          </pic:cNvPicPr>
                        </pic:nvPicPr>
                        <pic:blipFill>
                          <a:blip r:embed="rId32"/>
                          <a:stretch>
                            <a:fillRect/>
                          </a:stretch>
                        </pic:blipFill>
                        <pic:spPr>
                          <a:xfrm>
                            <a:off x="0" y="0"/>
                            <a:ext cx="3599815" cy="1612900"/>
                          </a:xfrm>
                          <a:prstGeom prst="rect">
                            <a:avLst/>
                          </a:prstGeom>
                          <a:noFill/>
                          <a:ln>
                            <a:noFill/>
                          </a:ln>
                        </pic:spPr>
                      </pic:pic>
                    </a:graphicData>
                  </a:graphic>
                </wp:inline>
              </w:drawing>
            </w:r>
          </w:p>
          <w:p w14:paraId="1026960D">
            <w:pPr>
              <w:pStyle w:val="20"/>
              <w:bidi w:val="0"/>
              <w:rPr>
                <w:rFonts w:hint="default"/>
                <w:lang w:val="en-US" w:eastAsia="zh-CN"/>
              </w:rPr>
            </w:pPr>
            <w:r>
              <w:rPr>
                <w:rFonts w:hint="eastAsia"/>
                <w:lang w:val="en-US" w:eastAsia="zh-CN"/>
              </w:rPr>
              <w:t>重组蛋白类药物的研发工艺流程图</w:t>
            </w:r>
          </w:p>
          <w:p w14:paraId="61662D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auto"/>
                <w:sz w:val="24"/>
                <w:highlight w:val="none"/>
                <w:lang w:eastAsia="zh-CN"/>
              </w:rPr>
            </w:pPr>
            <w:r>
              <w:rPr>
                <w:color w:val="auto"/>
                <w:highlight w:val="none"/>
              </w:rPr>
              <w:drawing>
                <wp:inline distT="0" distB="0" distL="114300" distR="114300">
                  <wp:extent cx="3599815" cy="1350645"/>
                  <wp:effectExtent l="0" t="0" r="635" b="190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3"/>
                          <a:stretch>
                            <a:fillRect/>
                          </a:stretch>
                        </pic:blipFill>
                        <pic:spPr>
                          <a:xfrm>
                            <a:off x="0" y="0"/>
                            <a:ext cx="3599815" cy="1350645"/>
                          </a:xfrm>
                          <a:prstGeom prst="rect">
                            <a:avLst/>
                          </a:prstGeom>
                          <a:noFill/>
                          <a:ln>
                            <a:noFill/>
                          </a:ln>
                        </pic:spPr>
                      </pic:pic>
                    </a:graphicData>
                  </a:graphic>
                </wp:inline>
              </w:drawing>
            </w:r>
          </w:p>
          <w:p w14:paraId="7D38E16A">
            <w:pPr>
              <w:pStyle w:val="20"/>
              <w:bidi w:val="0"/>
              <w:rPr>
                <w:rFonts w:hint="default"/>
                <w:lang w:val="en-US" w:eastAsia="zh-CN"/>
              </w:rPr>
            </w:pPr>
            <w:r>
              <w:rPr>
                <w:rFonts w:hint="eastAsia"/>
                <w:lang w:val="en-US" w:eastAsia="zh-CN"/>
              </w:rPr>
              <w:t>诊断试剂研发培养基配置工艺流程图</w:t>
            </w:r>
          </w:p>
          <w:p w14:paraId="2872F6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auto"/>
                <w:sz w:val="24"/>
                <w:highlight w:val="none"/>
                <w:lang w:eastAsia="zh-CN"/>
              </w:rPr>
            </w:pPr>
            <w:r>
              <w:rPr>
                <w:color w:val="auto"/>
                <w:highlight w:val="none"/>
              </w:rPr>
              <w:drawing>
                <wp:inline distT="0" distB="0" distL="114300" distR="114300">
                  <wp:extent cx="3599815" cy="1809750"/>
                  <wp:effectExtent l="0" t="0" r="635" b="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34"/>
                          <a:stretch>
                            <a:fillRect/>
                          </a:stretch>
                        </pic:blipFill>
                        <pic:spPr>
                          <a:xfrm>
                            <a:off x="0" y="0"/>
                            <a:ext cx="3599815" cy="1809750"/>
                          </a:xfrm>
                          <a:prstGeom prst="rect">
                            <a:avLst/>
                          </a:prstGeom>
                          <a:noFill/>
                          <a:ln>
                            <a:noFill/>
                          </a:ln>
                        </pic:spPr>
                      </pic:pic>
                    </a:graphicData>
                  </a:graphic>
                </wp:inline>
              </w:drawing>
            </w:r>
          </w:p>
          <w:p w14:paraId="49CE673A">
            <w:pPr>
              <w:pStyle w:val="20"/>
              <w:bidi w:val="0"/>
              <w:rPr>
                <w:rFonts w:hint="eastAsia"/>
                <w:lang w:eastAsia="zh-CN"/>
              </w:rPr>
            </w:pPr>
            <w:r>
              <w:rPr>
                <w:rFonts w:hint="eastAsia"/>
                <w:lang w:val="en-US" w:eastAsia="zh-CN"/>
              </w:rPr>
              <w:t>诊断试剂研发抗生素工艺流程图</w:t>
            </w:r>
          </w:p>
          <w:p w14:paraId="256D1B0A">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lang w:val="en-US" w:eastAsia="zh-CN"/>
              </w:rPr>
            </w:pPr>
            <w:r>
              <w:rPr>
                <w:rFonts w:hint="eastAsia"/>
                <w:b/>
                <w:bCs/>
                <w:lang w:eastAsia="zh-CN"/>
              </w:rPr>
              <w:t>（</w:t>
            </w:r>
            <w:r>
              <w:rPr>
                <w:rFonts w:hint="eastAsia"/>
                <w:b/>
                <w:bCs/>
                <w:lang w:val="en-US" w:eastAsia="zh-CN"/>
              </w:rPr>
              <w:t>2</w:t>
            </w:r>
            <w:r>
              <w:rPr>
                <w:rFonts w:hint="eastAsia"/>
                <w:b/>
                <w:bCs/>
                <w:lang w:eastAsia="zh-CN"/>
              </w:rPr>
              <w:t>）</w:t>
            </w:r>
            <w:r>
              <w:rPr>
                <w:rFonts w:hint="eastAsia"/>
                <w:b/>
                <w:bCs/>
                <w:lang w:val="en-US" w:eastAsia="zh-CN"/>
              </w:rPr>
              <w:t>污染物达标性分析</w:t>
            </w:r>
          </w:p>
          <w:p w14:paraId="7DE4EB4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val="en-US" w:eastAsia="zh-CN"/>
              </w:rPr>
            </w:pPr>
            <w:r>
              <w:rPr>
                <w:rFonts w:hint="eastAsia"/>
                <w:b/>
                <w:bCs/>
                <w:lang w:val="en-US" w:eastAsia="zh-CN"/>
              </w:rPr>
              <w:t>1）废水</w:t>
            </w:r>
          </w:p>
          <w:p w14:paraId="7C177C2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lang w:val="en-US" w:eastAsia="zh-CN"/>
              </w:rPr>
            </w:pPr>
            <w:r>
              <w:rPr>
                <w:rFonts w:hint="eastAsia"/>
                <w:b/>
                <w:bCs/>
                <w:lang w:val="en-US" w:eastAsia="zh-CN"/>
              </w:rPr>
              <w:t>①已批已验项目</w:t>
            </w:r>
          </w:p>
          <w:p w14:paraId="3BA8CF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现有项目废水主要为研发实验废水、蒸汽冷凝水、生活污水，研发实验废水经过7号楼污水处理站（TW002）处理，生活污水经过化粪池（TW001）处理，处理后接管至高新区污水处理厂</w:t>
            </w:r>
            <w:r>
              <w:rPr>
                <w:rFonts w:hint="eastAsia"/>
              </w:rPr>
              <w:t>进一步处理，处理达标后</w:t>
            </w:r>
            <w:r>
              <w:t>尾水排入</w:t>
            </w:r>
            <w:r>
              <w:rPr>
                <w:rFonts w:hint="eastAsia"/>
              </w:rPr>
              <w:t>秦淮河。</w:t>
            </w:r>
          </w:p>
          <w:p w14:paraId="5EBB82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根据企业“</w:t>
            </w:r>
            <w:r>
              <w:rPr>
                <w:rFonts w:hint="eastAsia"/>
                <w:caps w:val="0"/>
                <w:color w:val="auto"/>
                <w:highlight w:val="none"/>
                <w:lang w:eastAsia="zh-CN"/>
              </w:rPr>
              <w:t>创新中药人工智能及多组学研究平台项目</w:t>
            </w:r>
            <w:r>
              <w:rPr>
                <w:rFonts w:hint="eastAsia"/>
                <w:lang w:val="en-US" w:eastAsia="zh-CN"/>
              </w:rPr>
              <w:t>”验收监测报告（附件8），现有项目废水排放满足《生物制药行业水和大气污染物排放限值》（DB32/3560-2019）表2生物医药研发机构废水直接排放限值，废水监测结果如下表。</w:t>
            </w:r>
          </w:p>
          <w:p w14:paraId="5D04492B">
            <w:pPr>
              <w:pStyle w:val="44"/>
              <w:bidi w:val="0"/>
              <w:rPr>
                <w:rStyle w:val="169"/>
                <w:rFonts w:hint="eastAsia"/>
                <w:lang w:val="en-US" w:eastAsia="zh-CN"/>
              </w:rPr>
            </w:pPr>
            <w:r>
              <w:rPr>
                <w:rStyle w:val="169"/>
                <w:rFonts w:hint="eastAsia"/>
                <w:lang w:val="en-US" w:eastAsia="zh-CN"/>
              </w:rPr>
              <w:t>已批已验项目废水监测情况一览表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3"/>
              <w:gridCol w:w="742"/>
              <w:gridCol w:w="1001"/>
              <w:gridCol w:w="646"/>
              <w:gridCol w:w="898"/>
              <w:gridCol w:w="898"/>
              <w:gridCol w:w="898"/>
              <w:gridCol w:w="898"/>
              <w:gridCol w:w="667"/>
              <w:gridCol w:w="486"/>
            </w:tblGrid>
            <w:tr w14:paraId="1CF8C3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restart"/>
                  <w:tcBorders>
                    <w:tl2br w:val="nil"/>
                    <w:tr2bl w:val="nil"/>
                  </w:tcBorders>
                  <w:noWrap w:val="0"/>
                  <w:vAlign w:val="center"/>
                </w:tcPr>
                <w:p w14:paraId="6CE0E0C6">
                  <w:pPr>
                    <w:pStyle w:val="41"/>
                    <w:bidi w:val="0"/>
                    <w:rPr>
                      <w:rFonts w:hint="default"/>
                      <w:b/>
                      <w:bCs/>
                      <w:color w:val="auto"/>
                      <w:highlight w:val="none"/>
                    </w:rPr>
                  </w:pPr>
                  <w:bookmarkStart w:id="32" w:name="OLE_LINK1"/>
                  <w:r>
                    <w:rPr>
                      <w:rFonts w:hint="default"/>
                      <w:b/>
                      <w:bCs/>
                      <w:color w:val="auto"/>
                      <w:highlight w:val="none"/>
                    </w:rPr>
                    <w:t>采样日期</w:t>
                  </w:r>
                </w:p>
              </w:tc>
              <w:tc>
                <w:tcPr>
                  <w:tcW w:w="475" w:type="pct"/>
                  <w:vMerge w:val="restart"/>
                  <w:tcBorders>
                    <w:tl2br w:val="nil"/>
                    <w:tr2bl w:val="nil"/>
                  </w:tcBorders>
                  <w:noWrap w:val="0"/>
                  <w:vAlign w:val="center"/>
                </w:tcPr>
                <w:p w14:paraId="0B8FB22C">
                  <w:pPr>
                    <w:pStyle w:val="41"/>
                    <w:bidi w:val="0"/>
                    <w:rPr>
                      <w:rFonts w:hint="eastAsia"/>
                      <w:b/>
                      <w:bCs/>
                      <w:color w:val="auto"/>
                      <w:highlight w:val="none"/>
                      <w:lang w:eastAsia="zh-CN"/>
                    </w:rPr>
                  </w:pPr>
                  <w:r>
                    <w:rPr>
                      <w:rFonts w:hint="default"/>
                      <w:b/>
                      <w:bCs/>
                      <w:color w:val="auto"/>
                      <w:highlight w:val="none"/>
                    </w:rPr>
                    <w:t>采样</w:t>
                  </w:r>
                  <w:r>
                    <w:rPr>
                      <w:rFonts w:hint="eastAsia"/>
                      <w:b/>
                      <w:bCs/>
                      <w:color w:val="auto"/>
                      <w:highlight w:val="none"/>
                      <w:lang w:eastAsia="zh-CN"/>
                    </w:rPr>
                    <w:t>点位</w:t>
                  </w:r>
                </w:p>
              </w:tc>
              <w:tc>
                <w:tcPr>
                  <w:tcW w:w="641" w:type="pct"/>
                  <w:vMerge w:val="restart"/>
                  <w:tcBorders>
                    <w:tl2br w:val="nil"/>
                    <w:tr2bl w:val="nil"/>
                  </w:tcBorders>
                  <w:noWrap w:val="0"/>
                  <w:vAlign w:val="center"/>
                </w:tcPr>
                <w:p w14:paraId="6B883D41">
                  <w:pPr>
                    <w:pStyle w:val="41"/>
                    <w:bidi w:val="0"/>
                    <w:rPr>
                      <w:rFonts w:hint="default"/>
                      <w:b/>
                      <w:bCs/>
                      <w:color w:val="auto"/>
                      <w:highlight w:val="none"/>
                    </w:rPr>
                  </w:pPr>
                  <w:r>
                    <w:rPr>
                      <w:rFonts w:hint="default"/>
                      <w:b/>
                      <w:bCs/>
                      <w:color w:val="auto"/>
                      <w:highlight w:val="none"/>
                    </w:rPr>
                    <w:t>检测</w:t>
                  </w:r>
                </w:p>
                <w:p w14:paraId="4D1848C3">
                  <w:pPr>
                    <w:pStyle w:val="41"/>
                    <w:bidi w:val="0"/>
                    <w:rPr>
                      <w:rFonts w:hint="default"/>
                      <w:b/>
                      <w:bCs/>
                      <w:color w:val="auto"/>
                      <w:highlight w:val="none"/>
                    </w:rPr>
                  </w:pPr>
                  <w:r>
                    <w:rPr>
                      <w:rFonts w:hint="default"/>
                      <w:b/>
                      <w:bCs/>
                      <w:color w:val="auto"/>
                      <w:highlight w:val="none"/>
                    </w:rPr>
                    <w:t>项目</w:t>
                  </w:r>
                </w:p>
              </w:tc>
              <w:tc>
                <w:tcPr>
                  <w:tcW w:w="413" w:type="pct"/>
                  <w:vMerge w:val="restart"/>
                  <w:tcBorders>
                    <w:tl2br w:val="nil"/>
                    <w:tr2bl w:val="nil"/>
                  </w:tcBorders>
                  <w:noWrap w:val="0"/>
                  <w:vAlign w:val="center"/>
                </w:tcPr>
                <w:p w14:paraId="4DEE296D">
                  <w:pPr>
                    <w:pStyle w:val="41"/>
                    <w:bidi w:val="0"/>
                    <w:rPr>
                      <w:rFonts w:hint="default"/>
                      <w:b/>
                      <w:bCs/>
                      <w:color w:val="auto"/>
                      <w:highlight w:val="none"/>
                    </w:rPr>
                  </w:pPr>
                  <w:r>
                    <w:rPr>
                      <w:rFonts w:hint="default"/>
                      <w:b/>
                      <w:bCs/>
                      <w:color w:val="auto"/>
                      <w:highlight w:val="none"/>
                    </w:rPr>
                    <w:t>单位</w:t>
                  </w:r>
                </w:p>
              </w:tc>
              <w:tc>
                <w:tcPr>
                  <w:tcW w:w="2727" w:type="pct"/>
                  <w:gridSpan w:val="5"/>
                  <w:tcBorders>
                    <w:tl2br w:val="nil"/>
                    <w:tr2bl w:val="nil"/>
                  </w:tcBorders>
                  <w:noWrap w:val="0"/>
                  <w:vAlign w:val="center"/>
                </w:tcPr>
                <w:p w14:paraId="0442CA32">
                  <w:pPr>
                    <w:pStyle w:val="41"/>
                    <w:bidi w:val="0"/>
                    <w:rPr>
                      <w:rFonts w:hint="default"/>
                      <w:b/>
                      <w:bCs/>
                      <w:color w:val="auto"/>
                      <w:highlight w:val="none"/>
                    </w:rPr>
                  </w:pPr>
                  <w:r>
                    <w:rPr>
                      <w:rFonts w:hint="default"/>
                      <w:b/>
                      <w:bCs/>
                      <w:color w:val="auto"/>
                      <w:highlight w:val="none"/>
                    </w:rPr>
                    <w:t>检测结果</w:t>
                  </w:r>
                </w:p>
              </w:tc>
              <w:tc>
                <w:tcPr>
                  <w:tcW w:w="311" w:type="pct"/>
                  <w:vMerge w:val="restart"/>
                  <w:tcBorders>
                    <w:tl2br w:val="nil"/>
                    <w:tr2bl w:val="nil"/>
                  </w:tcBorders>
                  <w:noWrap w:val="0"/>
                  <w:vAlign w:val="center"/>
                </w:tcPr>
                <w:p w14:paraId="04995FC6">
                  <w:pPr>
                    <w:pStyle w:val="41"/>
                    <w:bidi w:val="0"/>
                    <w:rPr>
                      <w:rFonts w:hint="default"/>
                      <w:color w:val="auto"/>
                      <w:highlight w:val="none"/>
                      <w:lang w:val="en-US" w:eastAsia="zh-CN"/>
                    </w:rPr>
                  </w:pPr>
                  <w:r>
                    <w:rPr>
                      <w:rFonts w:hint="eastAsia"/>
                      <w:b/>
                      <w:bCs/>
                      <w:color w:val="auto"/>
                      <w:highlight w:val="none"/>
                      <w:lang w:val="en-US" w:eastAsia="zh-CN"/>
                    </w:rPr>
                    <w:t>排放限值</w:t>
                  </w:r>
                </w:p>
              </w:tc>
            </w:tr>
            <w:tr w14:paraId="408281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continue"/>
                  <w:tcBorders>
                    <w:tl2br w:val="nil"/>
                    <w:tr2bl w:val="nil"/>
                  </w:tcBorders>
                  <w:noWrap w:val="0"/>
                  <w:vAlign w:val="center"/>
                </w:tcPr>
                <w:p w14:paraId="33913188">
                  <w:pPr>
                    <w:pStyle w:val="41"/>
                    <w:bidi w:val="0"/>
                    <w:rPr>
                      <w:rFonts w:hint="default"/>
                      <w:b/>
                      <w:bCs/>
                      <w:color w:val="auto"/>
                      <w:highlight w:val="none"/>
                    </w:rPr>
                  </w:pPr>
                </w:p>
              </w:tc>
              <w:tc>
                <w:tcPr>
                  <w:tcW w:w="475" w:type="pct"/>
                  <w:vMerge w:val="continue"/>
                  <w:tcBorders>
                    <w:tl2br w:val="nil"/>
                    <w:tr2bl w:val="nil"/>
                  </w:tcBorders>
                  <w:noWrap w:val="0"/>
                  <w:vAlign w:val="center"/>
                </w:tcPr>
                <w:p w14:paraId="77CBC7AD">
                  <w:pPr>
                    <w:pStyle w:val="41"/>
                    <w:bidi w:val="0"/>
                    <w:rPr>
                      <w:rFonts w:hint="default"/>
                      <w:b/>
                      <w:bCs/>
                      <w:color w:val="auto"/>
                      <w:highlight w:val="none"/>
                    </w:rPr>
                  </w:pPr>
                </w:p>
              </w:tc>
              <w:tc>
                <w:tcPr>
                  <w:tcW w:w="641" w:type="pct"/>
                  <w:vMerge w:val="continue"/>
                  <w:tcBorders>
                    <w:tl2br w:val="nil"/>
                    <w:tr2bl w:val="nil"/>
                  </w:tcBorders>
                  <w:noWrap w:val="0"/>
                  <w:vAlign w:val="center"/>
                </w:tcPr>
                <w:p w14:paraId="33230F8B">
                  <w:pPr>
                    <w:pStyle w:val="41"/>
                    <w:bidi w:val="0"/>
                    <w:rPr>
                      <w:rFonts w:hint="default"/>
                      <w:b/>
                      <w:bCs/>
                      <w:color w:val="auto"/>
                      <w:highlight w:val="none"/>
                    </w:rPr>
                  </w:pPr>
                </w:p>
              </w:tc>
              <w:tc>
                <w:tcPr>
                  <w:tcW w:w="413" w:type="pct"/>
                  <w:vMerge w:val="continue"/>
                  <w:tcBorders>
                    <w:tl2br w:val="nil"/>
                    <w:tr2bl w:val="nil"/>
                  </w:tcBorders>
                  <w:noWrap w:val="0"/>
                  <w:vAlign w:val="center"/>
                </w:tcPr>
                <w:p w14:paraId="357B6764">
                  <w:pPr>
                    <w:pStyle w:val="41"/>
                    <w:bidi w:val="0"/>
                    <w:rPr>
                      <w:rFonts w:hint="default"/>
                      <w:b/>
                      <w:bCs/>
                      <w:color w:val="auto"/>
                      <w:highlight w:val="none"/>
                    </w:rPr>
                  </w:pPr>
                </w:p>
              </w:tc>
              <w:tc>
                <w:tcPr>
                  <w:tcW w:w="575" w:type="pct"/>
                  <w:tcBorders>
                    <w:tl2br w:val="nil"/>
                    <w:tr2bl w:val="nil"/>
                  </w:tcBorders>
                  <w:noWrap w:val="0"/>
                  <w:vAlign w:val="center"/>
                </w:tcPr>
                <w:p w14:paraId="201CAD57">
                  <w:pPr>
                    <w:pStyle w:val="41"/>
                    <w:bidi w:val="0"/>
                    <w:rPr>
                      <w:rFonts w:hint="default"/>
                      <w:b/>
                      <w:bCs/>
                      <w:color w:val="auto"/>
                      <w:highlight w:val="none"/>
                      <w:lang w:val="en-US" w:eastAsia="zh-CN"/>
                    </w:rPr>
                  </w:pPr>
                  <w:r>
                    <w:rPr>
                      <w:rFonts w:hint="eastAsia"/>
                      <w:b/>
                      <w:bCs/>
                      <w:color w:val="auto"/>
                      <w:highlight w:val="none"/>
                      <w:lang w:val="en-US" w:eastAsia="zh-CN"/>
                    </w:rPr>
                    <w:t>①</w:t>
                  </w:r>
                </w:p>
              </w:tc>
              <w:tc>
                <w:tcPr>
                  <w:tcW w:w="575" w:type="pct"/>
                  <w:tcBorders>
                    <w:tl2br w:val="nil"/>
                    <w:tr2bl w:val="nil"/>
                  </w:tcBorders>
                  <w:noWrap w:val="0"/>
                  <w:vAlign w:val="center"/>
                </w:tcPr>
                <w:p w14:paraId="5E92B571">
                  <w:pPr>
                    <w:pStyle w:val="41"/>
                    <w:bidi w:val="0"/>
                    <w:rPr>
                      <w:rFonts w:hint="default"/>
                      <w:b/>
                      <w:bCs/>
                      <w:color w:val="auto"/>
                      <w:highlight w:val="none"/>
                      <w:lang w:val="en-US" w:eastAsia="zh-CN"/>
                    </w:rPr>
                  </w:pPr>
                  <w:r>
                    <w:rPr>
                      <w:rFonts w:hint="eastAsia"/>
                      <w:b/>
                      <w:bCs/>
                      <w:color w:val="auto"/>
                      <w:highlight w:val="none"/>
                      <w:lang w:val="en-US" w:eastAsia="zh-CN"/>
                    </w:rPr>
                    <w:t>②</w:t>
                  </w:r>
                </w:p>
              </w:tc>
              <w:tc>
                <w:tcPr>
                  <w:tcW w:w="575" w:type="pct"/>
                  <w:tcBorders>
                    <w:tl2br w:val="nil"/>
                    <w:tr2bl w:val="nil"/>
                  </w:tcBorders>
                  <w:noWrap w:val="0"/>
                  <w:vAlign w:val="center"/>
                </w:tcPr>
                <w:p w14:paraId="58A71CCB">
                  <w:pPr>
                    <w:pStyle w:val="41"/>
                    <w:bidi w:val="0"/>
                    <w:rPr>
                      <w:rFonts w:hint="default"/>
                      <w:b/>
                      <w:bCs/>
                      <w:color w:val="auto"/>
                      <w:highlight w:val="none"/>
                      <w:lang w:val="en-US" w:eastAsia="zh-CN"/>
                    </w:rPr>
                  </w:pPr>
                  <w:r>
                    <w:rPr>
                      <w:rFonts w:hint="eastAsia"/>
                      <w:b/>
                      <w:bCs/>
                      <w:color w:val="auto"/>
                      <w:highlight w:val="none"/>
                      <w:lang w:val="en-US" w:eastAsia="zh-CN"/>
                    </w:rPr>
                    <w:t>③</w:t>
                  </w:r>
                </w:p>
              </w:tc>
              <w:tc>
                <w:tcPr>
                  <w:tcW w:w="575" w:type="pct"/>
                  <w:tcBorders>
                    <w:tl2br w:val="nil"/>
                    <w:tr2bl w:val="nil"/>
                  </w:tcBorders>
                  <w:noWrap w:val="0"/>
                  <w:vAlign w:val="center"/>
                </w:tcPr>
                <w:p w14:paraId="2A40BABB">
                  <w:pPr>
                    <w:pStyle w:val="41"/>
                    <w:bidi w:val="0"/>
                    <w:rPr>
                      <w:rFonts w:hint="eastAsia"/>
                      <w:b/>
                      <w:bCs/>
                      <w:color w:val="auto"/>
                      <w:highlight w:val="none"/>
                      <w:lang w:val="en-US" w:eastAsia="zh-CN"/>
                    </w:rPr>
                  </w:pPr>
                  <w:r>
                    <w:rPr>
                      <w:rFonts w:hint="eastAsia"/>
                      <w:b/>
                      <w:bCs/>
                      <w:color w:val="auto"/>
                      <w:highlight w:val="none"/>
                      <w:lang w:val="en-US" w:eastAsia="zh-CN"/>
                    </w:rPr>
                    <w:t>④</w:t>
                  </w:r>
                </w:p>
              </w:tc>
              <w:tc>
                <w:tcPr>
                  <w:tcW w:w="427" w:type="pct"/>
                  <w:tcBorders>
                    <w:tl2br w:val="nil"/>
                    <w:tr2bl w:val="nil"/>
                  </w:tcBorders>
                  <w:noWrap w:val="0"/>
                  <w:vAlign w:val="center"/>
                </w:tcPr>
                <w:p w14:paraId="0A9FAAB8">
                  <w:pPr>
                    <w:pStyle w:val="41"/>
                    <w:bidi w:val="0"/>
                    <w:rPr>
                      <w:rFonts w:hint="default"/>
                      <w:b/>
                      <w:bCs/>
                      <w:color w:val="auto"/>
                      <w:highlight w:val="none"/>
                      <w:lang w:val="en-US" w:eastAsia="zh-CN"/>
                    </w:rPr>
                  </w:pPr>
                  <w:r>
                    <w:rPr>
                      <w:rFonts w:hint="eastAsia"/>
                      <w:b/>
                      <w:bCs/>
                      <w:color w:val="auto"/>
                      <w:highlight w:val="none"/>
                      <w:lang w:val="en-US" w:eastAsia="zh-CN"/>
                    </w:rPr>
                    <w:t>平均值</w:t>
                  </w:r>
                </w:p>
              </w:tc>
              <w:tc>
                <w:tcPr>
                  <w:tcW w:w="311" w:type="pct"/>
                  <w:vMerge w:val="continue"/>
                  <w:tcBorders>
                    <w:tl2br w:val="nil"/>
                    <w:tr2bl w:val="nil"/>
                  </w:tcBorders>
                  <w:noWrap w:val="0"/>
                  <w:vAlign w:val="center"/>
                </w:tcPr>
                <w:p w14:paraId="68374444">
                  <w:pPr>
                    <w:pStyle w:val="41"/>
                    <w:bidi w:val="0"/>
                    <w:rPr>
                      <w:rFonts w:hint="default"/>
                      <w:color w:val="auto"/>
                      <w:highlight w:val="none"/>
                      <w:lang w:val="en-US" w:eastAsia="zh-CN"/>
                    </w:rPr>
                  </w:pPr>
                </w:p>
              </w:tc>
            </w:tr>
            <w:tr w14:paraId="6286FC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restart"/>
                  <w:tcBorders>
                    <w:tl2br w:val="nil"/>
                    <w:tr2bl w:val="nil"/>
                  </w:tcBorders>
                  <w:noWrap w:val="0"/>
                  <w:vAlign w:val="center"/>
                </w:tcPr>
                <w:p w14:paraId="0E6A00D3">
                  <w:pPr>
                    <w:pStyle w:val="41"/>
                    <w:bidi w:val="0"/>
                    <w:rPr>
                      <w:rFonts w:hint="default"/>
                      <w:color w:val="auto"/>
                      <w:highlight w:val="none"/>
                      <w:lang w:val="en-US" w:eastAsia="zh-CN"/>
                    </w:rPr>
                  </w:pPr>
                  <w:r>
                    <w:rPr>
                      <w:rFonts w:hint="eastAsia"/>
                      <w:color w:val="auto"/>
                      <w:highlight w:val="none"/>
                      <w:lang w:val="en-US" w:eastAsia="zh-CN"/>
                    </w:rPr>
                    <w:t>2024.11.04</w:t>
                  </w:r>
                </w:p>
              </w:tc>
              <w:tc>
                <w:tcPr>
                  <w:tcW w:w="475" w:type="pct"/>
                  <w:vMerge w:val="restart"/>
                  <w:tcBorders>
                    <w:tl2br w:val="nil"/>
                    <w:tr2bl w:val="nil"/>
                  </w:tcBorders>
                  <w:noWrap w:val="0"/>
                  <w:vAlign w:val="center"/>
                </w:tcPr>
                <w:p w14:paraId="550CB3B2">
                  <w:pPr>
                    <w:pStyle w:val="41"/>
                    <w:bidi w:val="0"/>
                    <w:rPr>
                      <w:rFonts w:hint="default"/>
                      <w:color w:val="auto"/>
                      <w:highlight w:val="none"/>
                      <w:lang w:val="en-US" w:eastAsia="zh-CN"/>
                    </w:rPr>
                  </w:pPr>
                  <w:r>
                    <w:rPr>
                      <w:rFonts w:hint="eastAsia"/>
                      <w:color w:val="auto"/>
                      <w:highlight w:val="none"/>
                      <w:lang w:val="en-US" w:eastAsia="zh-CN"/>
                    </w:rPr>
                    <w:t>污水总排口DW001</w:t>
                  </w:r>
                </w:p>
              </w:tc>
              <w:tc>
                <w:tcPr>
                  <w:tcW w:w="641" w:type="pct"/>
                  <w:tcBorders>
                    <w:tl2br w:val="nil"/>
                    <w:tr2bl w:val="nil"/>
                  </w:tcBorders>
                  <w:noWrap w:val="0"/>
                  <w:vAlign w:val="center"/>
                </w:tcPr>
                <w:p w14:paraId="5F34821D">
                  <w:pPr>
                    <w:pStyle w:val="41"/>
                    <w:bidi w:val="0"/>
                    <w:rPr>
                      <w:rFonts w:hint="default"/>
                      <w:color w:val="auto"/>
                      <w:highlight w:val="none"/>
                    </w:rPr>
                  </w:pPr>
                  <w:r>
                    <w:rPr>
                      <w:rFonts w:hint="default"/>
                      <w:color w:val="auto"/>
                      <w:highlight w:val="none"/>
                    </w:rPr>
                    <w:t>pH值</w:t>
                  </w:r>
                </w:p>
              </w:tc>
              <w:tc>
                <w:tcPr>
                  <w:tcW w:w="413" w:type="pct"/>
                  <w:tcBorders>
                    <w:tl2br w:val="nil"/>
                    <w:tr2bl w:val="nil"/>
                  </w:tcBorders>
                  <w:noWrap w:val="0"/>
                  <w:vAlign w:val="center"/>
                </w:tcPr>
                <w:p w14:paraId="6E3BFD92">
                  <w:pPr>
                    <w:pStyle w:val="41"/>
                    <w:bidi w:val="0"/>
                    <w:rPr>
                      <w:rFonts w:hint="default"/>
                      <w:color w:val="auto"/>
                      <w:highlight w:val="none"/>
                    </w:rPr>
                  </w:pPr>
                  <w:r>
                    <w:rPr>
                      <w:rFonts w:hint="default"/>
                      <w:color w:val="auto"/>
                      <w:highlight w:val="none"/>
                    </w:rPr>
                    <w:t>无量纲</w:t>
                  </w:r>
                </w:p>
              </w:tc>
              <w:tc>
                <w:tcPr>
                  <w:tcW w:w="575" w:type="pct"/>
                  <w:tcBorders>
                    <w:tl2br w:val="nil"/>
                    <w:tr2bl w:val="nil"/>
                  </w:tcBorders>
                  <w:noWrap w:val="0"/>
                  <w:vAlign w:val="center"/>
                </w:tcPr>
                <w:p w14:paraId="2EA77440">
                  <w:pPr>
                    <w:pStyle w:val="41"/>
                    <w:bidi w:val="0"/>
                    <w:rPr>
                      <w:rFonts w:hint="eastAsia"/>
                      <w:color w:val="auto"/>
                      <w:highlight w:val="none"/>
                      <w:lang w:val="en-US" w:eastAsia="zh-CN"/>
                    </w:rPr>
                  </w:pPr>
                  <w:r>
                    <w:rPr>
                      <w:rFonts w:hint="eastAsia"/>
                      <w:color w:val="auto"/>
                      <w:highlight w:val="none"/>
                      <w:lang w:val="en-US" w:eastAsia="zh-CN"/>
                    </w:rPr>
                    <w:t>7.3</w:t>
                  </w:r>
                </w:p>
                <w:p w14:paraId="52C53357">
                  <w:pPr>
                    <w:pStyle w:val="41"/>
                    <w:bidi w:val="0"/>
                    <w:rPr>
                      <w:rFonts w:hint="default"/>
                      <w:color w:val="auto"/>
                      <w:highlight w:val="none"/>
                      <w:lang w:val="en-US" w:eastAsia="zh-CN"/>
                    </w:rPr>
                  </w:pPr>
                  <w:r>
                    <w:rPr>
                      <w:rFonts w:hint="eastAsia"/>
                      <w:color w:val="auto"/>
                      <w:highlight w:val="none"/>
                      <w:lang w:val="en-US" w:eastAsia="zh-CN"/>
                    </w:rPr>
                    <w:t>(18.2℃)</w:t>
                  </w:r>
                </w:p>
              </w:tc>
              <w:tc>
                <w:tcPr>
                  <w:tcW w:w="575" w:type="pct"/>
                  <w:tcBorders>
                    <w:tl2br w:val="nil"/>
                    <w:tr2bl w:val="nil"/>
                  </w:tcBorders>
                  <w:noWrap w:val="0"/>
                  <w:vAlign w:val="center"/>
                </w:tcPr>
                <w:p w14:paraId="03F84A1D">
                  <w:pPr>
                    <w:pStyle w:val="41"/>
                    <w:bidi w:val="0"/>
                    <w:rPr>
                      <w:rFonts w:hint="eastAsia"/>
                      <w:color w:val="auto"/>
                      <w:highlight w:val="none"/>
                      <w:lang w:val="en-US" w:eastAsia="zh-CN"/>
                    </w:rPr>
                  </w:pPr>
                  <w:r>
                    <w:rPr>
                      <w:rFonts w:hint="eastAsia"/>
                      <w:color w:val="auto"/>
                      <w:highlight w:val="none"/>
                      <w:lang w:val="en-US" w:eastAsia="zh-CN"/>
                    </w:rPr>
                    <w:t>7.5</w:t>
                  </w:r>
                </w:p>
                <w:p w14:paraId="476C9D80">
                  <w:pPr>
                    <w:pStyle w:val="41"/>
                    <w:bidi w:val="0"/>
                    <w:rPr>
                      <w:rFonts w:hint="default"/>
                      <w:color w:val="auto"/>
                      <w:highlight w:val="none"/>
                      <w:lang w:val="en-US" w:eastAsia="zh-CN"/>
                    </w:rPr>
                  </w:pPr>
                  <w:r>
                    <w:rPr>
                      <w:rFonts w:hint="eastAsia"/>
                      <w:color w:val="auto"/>
                      <w:highlight w:val="none"/>
                      <w:lang w:val="en-US" w:eastAsia="zh-CN"/>
                    </w:rPr>
                    <w:t>(18.8℃)</w:t>
                  </w:r>
                </w:p>
              </w:tc>
              <w:tc>
                <w:tcPr>
                  <w:tcW w:w="575" w:type="pct"/>
                  <w:tcBorders>
                    <w:tl2br w:val="nil"/>
                    <w:tr2bl w:val="nil"/>
                  </w:tcBorders>
                  <w:noWrap w:val="0"/>
                  <w:vAlign w:val="center"/>
                </w:tcPr>
                <w:p w14:paraId="167F8F7C">
                  <w:pPr>
                    <w:pStyle w:val="41"/>
                    <w:bidi w:val="0"/>
                    <w:rPr>
                      <w:rFonts w:hint="eastAsia"/>
                      <w:color w:val="auto"/>
                      <w:highlight w:val="none"/>
                      <w:lang w:val="en-US" w:eastAsia="zh-CN"/>
                    </w:rPr>
                  </w:pPr>
                  <w:r>
                    <w:rPr>
                      <w:rFonts w:hint="eastAsia"/>
                      <w:color w:val="auto"/>
                      <w:highlight w:val="none"/>
                      <w:lang w:val="en-US" w:eastAsia="zh-CN"/>
                    </w:rPr>
                    <w:t>7.5</w:t>
                  </w:r>
                </w:p>
                <w:p w14:paraId="221E4410">
                  <w:pPr>
                    <w:pStyle w:val="41"/>
                    <w:bidi w:val="0"/>
                    <w:rPr>
                      <w:rFonts w:hint="default"/>
                      <w:color w:val="auto"/>
                      <w:highlight w:val="none"/>
                      <w:lang w:val="en-US" w:eastAsia="zh-CN"/>
                    </w:rPr>
                  </w:pPr>
                  <w:r>
                    <w:rPr>
                      <w:rFonts w:hint="eastAsia"/>
                      <w:color w:val="auto"/>
                      <w:highlight w:val="none"/>
                      <w:lang w:val="en-US" w:eastAsia="zh-CN"/>
                    </w:rPr>
                    <w:t>(19.4℃)</w:t>
                  </w:r>
                </w:p>
              </w:tc>
              <w:tc>
                <w:tcPr>
                  <w:tcW w:w="575" w:type="pct"/>
                  <w:tcBorders>
                    <w:tl2br w:val="nil"/>
                    <w:tr2bl w:val="nil"/>
                  </w:tcBorders>
                  <w:noWrap w:val="0"/>
                  <w:vAlign w:val="center"/>
                </w:tcPr>
                <w:p w14:paraId="67DDFC06">
                  <w:pPr>
                    <w:pStyle w:val="41"/>
                    <w:bidi w:val="0"/>
                    <w:rPr>
                      <w:rFonts w:hint="eastAsia"/>
                      <w:color w:val="auto"/>
                      <w:highlight w:val="none"/>
                      <w:lang w:val="en-US" w:eastAsia="zh-CN"/>
                    </w:rPr>
                  </w:pPr>
                  <w:r>
                    <w:rPr>
                      <w:rFonts w:hint="eastAsia"/>
                      <w:color w:val="auto"/>
                      <w:highlight w:val="none"/>
                      <w:lang w:val="en-US" w:eastAsia="zh-CN"/>
                    </w:rPr>
                    <w:t>7.3</w:t>
                  </w:r>
                </w:p>
                <w:p w14:paraId="0C8CBD50">
                  <w:pPr>
                    <w:pStyle w:val="41"/>
                    <w:bidi w:val="0"/>
                    <w:rPr>
                      <w:rFonts w:hint="eastAsia"/>
                      <w:color w:val="auto"/>
                      <w:highlight w:val="none"/>
                      <w:lang w:val="en-US" w:eastAsia="zh-CN"/>
                    </w:rPr>
                  </w:pPr>
                  <w:r>
                    <w:rPr>
                      <w:rFonts w:hint="eastAsia"/>
                      <w:color w:val="auto"/>
                      <w:highlight w:val="none"/>
                      <w:lang w:val="en-US" w:eastAsia="zh-CN"/>
                    </w:rPr>
                    <w:t>(20.4℃)</w:t>
                  </w:r>
                </w:p>
              </w:tc>
              <w:tc>
                <w:tcPr>
                  <w:tcW w:w="427" w:type="pct"/>
                  <w:tcBorders>
                    <w:tl2br w:val="nil"/>
                    <w:tr2bl w:val="nil"/>
                  </w:tcBorders>
                  <w:noWrap w:val="0"/>
                  <w:vAlign w:val="center"/>
                </w:tcPr>
                <w:p w14:paraId="6FF15A17">
                  <w:pPr>
                    <w:pStyle w:val="41"/>
                    <w:bidi w:val="0"/>
                    <w:rPr>
                      <w:rFonts w:hint="default"/>
                      <w:color w:val="auto"/>
                      <w:highlight w:val="none"/>
                      <w:lang w:val="en-US" w:eastAsia="zh-CN"/>
                    </w:rPr>
                  </w:pPr>
                  <w:r>
                    <w:rPr>
                      <w:rFonts w:hint="eastAsia"/>
                      <w:color w:val="auto"/>
                      <w:highlight w:val="none"/>
                      <w:lang w:val="en-US" w:eastAsia="zh-CN"/>
                    </w:rPr>
                    <w:t>7.4</w:t>
                  </w:r>
                </w:p>
              </w:tc>
              <w:tc>
                <w:tcPr>
                  <w:tcW w:w="311" w:type="pct"/>
                  <w:tcBorders>
                    <w:tl2br w:val="nil"/>
                    <w:tr2bl w:val="nil"/>
                  </w:tcBorders>
                  <w:noWrap w:val="0"/>
                  <w:vAlign w:val="center"/>
                </w:tcPr>
                <w:p w14:paraId="0D9DF7B7">
                  <w:pPr>
                    <w:pStyle w:val="41"/>
                    <w:bidi w:val="0"/>
                    <w:rPr>
                      <w:rFonts w:hint="default"/>
                      <w:color w:val="auto"/>
                      <w:highlight w:val="none"/>
                      <w:lang w:val="en-US" w:eastAsia="zh-CN"/>
                    </w:rPr>
                  </w:pPr>
                  <w:r>
                    <w:rPr>
                      <w:rFonts w:hint="default"/>
                      <w:color w:val="auto"/>
                      <w:highlight w:val="none"/>
                    </w:rPr>
                    <w:t>6-9</w:t>
                  </w:r>
                </w:p>
              </w:tc>
            </w:tr>
            <w:tr w14:paraId="6F374A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continue"/>
                  <w:tcBorders>
                    <w:tl2br w:val="nil"/>
                    <w:tr2bl w:val="nil"/>
                  </w:tcBorders>
                  <w:noWrap w:val="0"/>
                  <w:vAlign w:val="center"/>
                </w:tcPr>
                <w:p w14:paraId="4E8482B3">
                  <w:pPr>
                    <w:pStyle w:val="41"/>
                    <w:bidi w:val="0"/>
                    <w:rPr>
                      <w:rFonts w:hint="default"/>
                      <w:color w:val="auto"/>
                      <w:highlight w:val="none"/>
                    </w:rPr>
                  </w:pPr>
                </w:p>
              </w:tc>
              <w:tc>
                <w:tcPr>
                  <w:tcW w:w="475" w:type="pct"/>
                  <w:vMerge w:val="continue"/>
                  <w:tcBorders>
                    <w:tl2br w:val="nil"/>
                    <w:tr2bl w:val="nil"/>
                  </w:tcBorders>
                  <w:noWrap w:val="0"/>
                  <w:vAlign w:val="center"/>
                </w:tcPr>
                <w:p w14:paraId="2402AA71">
                  <w:pPr>
                    <w:pStyle w:val="41"/>
                    <w:bidi w:val="0"/>
                    <w:rPr>
                      <w:rFonts w:hint="default"/>
                      <w:color w:val="auto"/>
                      <w:highlight w:val="none"/>
                    </w:rPr>
                  </w:pPr>
                </w:p>
              </w:tc>
              <w:tc>
                <w:tcPr>
                  <w:tcW w:w="641" w:type="pct"/>
                  <w:tcBorders>
                    <w:tl2br w:val="nil"/>
                    <w:tr2bl w:val="nil"/>
                  </w:tcBorders>
                  <w:noWrap w:val="0"/>
                  <w:vAlign w:val="center"/>
                </w:tcPr>
                <w:p w14:paraId="2D767191">
                  <w:pPr>
                    <w:pStyle w:val="41"/>
                    <w:bidi w:val="0"/>
                    <w:rPr>
                      <w:rFonts w:hint="default"/>
                      <w:color w:val="auto"/>
                      <w:highlight w:val="none"/>
                      <w:lang w:val="en-US" w:eastAsia="zh-CN"/>
                    </w:rPr>
                  </w:pPr>
                  <w:r>
                    <w:rPr>
                      <w:rFonts w:hint="default"/>
                      <w:color w:val="auto"/>
                      <w:highlight w:val="none"/>
                      <w:lang w:eastAsia="zh-CN"/>
                    </w:rPr>
                    <w:t>化学需氧量</w:t>
                  </w:r>
                </w:p>
              </w:tc>
              <w:tc>
                <w:tcPr>
                  <w:tcW w:w="413" w:type="pct"/>
                  <w:tcBorders>
                    <w:tl2br w:val="nil"/>
                    <w:tr2bl w:val="nil"/>
                  </w:tcBorders>
                  <w:noWrap w:val="0"/>
                  <w:vAlign w:val="center"/>
                </w:tcPr>
                <w:p w14:paraId="263E9E25">
                  <w:pPr>
                    <w:pStyle w:val="41"/>
                    <w:bidi w:val="0"/>
                    <w:rPr>
                      <w:rFonts w:hint="default"/>
                      <w:color w:val="auto"/>
                      <w:highlight w:val="none"/>
                      <w:lang w:val="en-US" w:eastAsia="zh-CN"/>
                    </w:rPr>
                  </w:pPr>
                  <w:r>
                    <w:rPr>
                      <w:rFonts w:hint="default"/>
                      <w:color w:val="auto"/>
                      <w:highlight w:val="none"/>
                    </w:rPr>
                    <w:t>mg/L</w:t>
                  </w:r>
                </w:p>
              </w:tc>
              <w:tc>
                <w:tcPr>
                  <w:tcW w:w="575" w:type="pct"/>
                  <w:tcBorders>
                    <w:tl2br w:val="nil"/>
                    <w:tr2bl w:val="nil"/>
                  </w:tcBorders>
                  <w:noWrap w:val="0"/>
                  <w:vAlign w:val="center"/>
                </w:tcPr>
                <w:p w14:paraId="6A156A5A">
                  <w:pPr>
                    <w:pStyle w:val="41"/>
                    <w:bidi w:val="0"/>
                    <w:jc w:val="center"/>
                    <w:rPr>
                      <w:rFonts w:hint="default"/>
                      <w:color w:val="auto"/>
                      <w:highlight w:val="none"/>
                      <w:lang w:val="en-US" w:eastAsia="zh-CN"/>
                    </w:rPr>
                  </w:pPr>
                  <w:r>
                    <w:rPr>
                      <w:rFonts w:hint="eastAsia"/>
                      <w:color w:val="auto"/>
                      <w:highlight w:val="none"/>
                      <w:lang w:val="en-US" w:eastAsia="zh-CN"/>
                    </w:rPr>
                    <w:t>45</w:t>
                  </w:r>
                </w:p>
              </w:tc>
              <w:tc>
                <w:tcPr>
                  <w:tcW w:w="575" w:type="pct"/>
                  <w:tcBorders>
                    <w:tl2br w:val="nil"/>
                    <w:tr2bl w:val="nil"/>
                  </w:tcBorders>
                  <w:noWrap w:val="0"/>
                  <w:vAlign w:val="center"/>
                </w:tcPr>
                <w:p w14:paraId="1C828FD8">
                  <w:pPr>
                    <w:pStyle w:val="41"/>
                    <w:bidi w:val="0"/>
                    <w:jc w:val="center"/>
                    <w:rPr>
                      <w:rFonts w:hint="default"/>
                      <w:color w:val="auto"/>
                      <w:highlight w:val="none"/>
                      <w:lang w:val="en-US" w:eastAsia="zh-CN"/>
                    </w:rPr>
                  </w:pPr>
                  <w:r>
                    <w:rPr>
                      <w:rFonts w:hint="eastAsia"/>
                      <w:color w:val="auto"/>
                      <w:highlight w:val="none"/>
                      <w:lang w:val="en-US" w:eastAsia="zh-CN"/>
                    </w:rPr>
                    <w:t>43</w:t>
                  </w:r>
                </w:p>
              </w:tc>
              <w:tc>
                <w:tcPr>
                  <w:tcW w:w="575" w:type="pct"/>
                  <w:tcBorders>
                    <w:tl2br w:val="nil"/>
                    <w:tr2bl w:val="nil"/>
                  </w:tcBorders>
                  <w:noWrap w:val="0"/>
                  <w:vAlign w:val="center"/>
                </w:tcPr>
                <w:p w14:paraId="0894310C">
                  <w:pPr>
                    <w:pStyle w:val="41"/>
                    <w:bidi w:val="0"/>
                    <w:jc w:val="center"/>
                    <w:rPr>
                      <w:rFonts w:hint="default"/>
                      <w:color w:val="auto"/>
                      <w:highlight w:val="none"/>
                      <w:lang w:val="en-US" w:eastAsia="zh-CN"/>
                    </w:rPr>
                  </w:pPr>
                  <w:r>
                    <w:rPr>
                      <w:rFonts w:hint="eastAsia"/>
                      <w:color w:val="auto"/>
                      <w:highlight w:val="none"/>
                      <w:lang w:val="en-US" w:eastAsia="zh-CN"/>
                    </w:rPr>
                    <w:t>44</w:t>
                  </w:r>
                </w:p>
              </w:tc>
              <w:tc>
                <w:tcPr>
                  <w:tcW w:w="575" w:type="pct"/>
                  <w:tcBorders>
                    <w:tl2br w:val="nil"/>
                    <w:tr2bl w:val="nil"/>
                  </w:tcBorders>
                  <w:noWrap w:val="0"/>
                  <w:vAlign w:val="center"/>
                </w:tcPr>
                <w:p w14:paraId="08E997D9">
                  <w:pPr>
                    <w:pStyle w:val="41"/>
                    <w:bidi w:val="0"/>
                    <w:jc w:val="center"/>
                    <w:rPr>
                      <w:rFonts w:hint="default"/>
                      <w:color w:val="auto"/>
                      <w:highlight w:val="none"/>
                      <w:lang w:val="en-US" w:eastAsia="zh-CN"/>
                    </w:rPr>
                  </w:pPr>
                  <w:r>
                    <w:rPr>
                      <w:rFonts w:hint="eastAsia"/>
                      <w:color w:val="auto"/>
                      <w:highlight w:val="none"/>
                      <w:lang w:val="en-US" w:eastAsia="zh-CN"/>
                    </w:rPr>
                    <w:t>43</w:t>
                  </w:r>
                </w:p>
              </w:tc>
              <w:tc>
                <w:tcPr>
                  <w:tcW w:w="427" w:type="pct"/>
                  <w:tcBorders>
                    <w:tl2br w:val="nil"/>
                    <w:tr2bl w:val="nil"/>
                  </w:tcBorders>
                  <w:noWrap w:val="0"/>
                  <w:vAlign w:val="center"/>
                </w:tcPr>
                <w:p w14:paraId="32026606">
                  <w:pPr>
                    <w:pStyle w:val="41"/>
                    <w:bidi w:val="0"/>
                    <w:jc w:val="center"/>
                    <w:rPr>
                      <w:rFonts w:hint="default" w:eastAsia="宋体"/>
                      <w:color w:val="auto"/>
                      <w:highlight w:val="none"/>
                      <w:lang w:val="en-US" w:eastAsia="zh-CN"/>
                    </w:rPr>
                  </w:pPr>
                  <w:r>
                    <w:rPr>
                      <w:rFonts w:hint="eastAsia"/>
                      <w:color w:val="auto"/>
                      <w:highlight w:val="none"/>
                      <w:lang w:val="en-US" w:eastAsia="zh-CN"/>
                    </w:rPr>
                    <w:t>43.75</w:t>
                  </w:r>
                </w:p>
              </w:tc>
              <w:tc>
                <w:tcPr>
                  <w:tcW w:w="311" w:type="pct"/>
                  <w:tcBorders>
                    <w:tl2br w:val="nil"/>
                    <w:tr2bl w:val="nil"/>
                  </w:tcBorders>
                  <w:noWrap w:val="0"/>
                  <w:vAlign w:val="center"/>
                </w:tcPr>
                <w:p w14:paraId="3B169E02">
                  <w:pPr>
                    <w:pStyle w:val="41"/>
                    <w:bidi w:val="0"/>
                    <w:rPr>
                      <w:rFonts w:hint="default"/>
                      <w:color w:val="auto"/>
                      <w:highlight w:val="none"/>
                      <w:lang w:val="en-US" w:eastAsia="zh-CN"/>
                    </w:rPr>
                  </w:pPr>
                  <w:r>
                    <w:rPr>
                      <w:rFonts w:hint="eastAsia"/>
                      <w:color w:val="auto"/>
                      <w:highlight w:val="none"/>
                      <w:lang w:val="en-US" w:eastAsia="zh-CN"/>
                    </w:rPr>
                    <w:t>60</w:t>
                  </w:r>
                </w:p>
              </w:tc>
            </w:tr>
            <w:tr w14:paraId="2A5340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continue"/>
                  <w:tcBorders>
                    <w:tl2br w:val="nil"/>
                    <w:tr2bl w:val="nil"/>
                  </w:tcBorders>
                  <w:noWrap w:val="0"/>
                  <w:vAlign w:val="center"/>
                </w:tcPr>
                <w:p w14:paraId="3A67ECE2">
                  <w:pPr>
                    <w:pStyle w:val="41"/>
                    <w:bidi w:val="0"/>
                    <w:rPr>
                      <w:rFonts w:hint="default"/>
                      <w:color w:val="auto"/>
                      <w:highlight w:val="none"/>
                    </w:rPr>
                  </w:pPr>
                </w:p>
              </w:tc>
              <w:tc>
                <w:tcPr>
                  <w:tcW w:w="475" w:type="pct"/>
                  <w:vMerge w:val="continue"/>
                  <w:tcBorders>
                    <w:tl2br w:val="nil"/>
                    <w:tr2bl w:val="nil"/>
                  </w:tcBorders>
                  <w:noWrap w:val="0"/>
                  <w:vAlign w:val="center"/>
                </w:tcPr>
                <w:p w14:paraId="3E7B9531">
                  <w:pPr>
                    <w:pStyle w:val="41"/>
                    <w:bidi w:val="0"/>
                    <w:rPr>
                      <w:rFonts w:hint="default"/>
                      <w:color w:val="auto"/>
                      <w:highlight w:val="none"/>
                    </w:rPr>
                  </w:pPr>
                </w:p>
              </w:tc>
              <w:tc>
                <w:tcPr>
                  <w:tcW w:w="641" w:type="pct"/>
                  <w:tcBorders>
                    <w:tl2br w:val="nil"/>
                    <w:tr2bl w:val="nil"/>
                  </w:tcBorders>
                  <w:noWrap w:val="0"/>
                  <w:vAlign w:val="center"/>
                </w:tcPr>
                <w:p w14:paraId="3D8C6AD2">
                  <w:pPr>
                    <w:pStyle w:val="41"/>
                    <w:bidi w:val="0"/>
                    <w:rPr>
                      <w:rFonts w:hint="default"/>
                      <w:color w:val="auto"/>
                      <w:highlight w:val="none"/>
                      <w:lang w:val="en-US" w:eastAsia="zh-CN"/>
                    </w:rPr>
                  </w:pPr>
                  <w:r>
                    <w:rPr>
                      <w:rFonts w:hint="eastAsia"/>
                      <w:color w:val="auto"/>
                      <w:highlight w:val="none"/>
                      <w:lang w:val="en-US" w:eastAsia="zh-CN"/>
                    </w:rPr>
                    <w:t>五日生化需氧量</w:t>
                  </w:r>
                </w:p>
              </w:tc>
              <w:tc>
                <w:tcPr>
                  <w:tcW w:w="413" w:type="pct"/>
                  <w:tcBorders>
                    <w:tl2br w:val="nil"/>
                    <w:tr2bl w:val="nil"/>
                  </w:tcBorders>
                  <w:noWrap w:val="0"/>
                  <w:vAlign w:val="center"/>
                </w:tcPr>
                <w:p w14:paraId="28198344">
                  <w:pPr>
                    <w:pStyle w:val="41"/>
                    <w:bidi w:val="0"/>
                    <w:rPr>
                      <w:rFonts w:hint="default"/>
                      <w:color w:val="auto"/>
                      <w:highlight w:val="none"/>
                    </w:rPr>
                  </w:pPr>
                  <w:r>
                    <w:rPr>
                      <w:rFonts w:hint="default"/>
                      <w:color w:val="auto"/>
                      <w:highlight w:val="none"/>
                    </w:rPr>
                    <w:t>mg/L</w:t>
                  </w:r>
                </w:p>
              </w:tc>
              <w:tc>
                <w:tcPr>
                  <w:tcW w:w="575" w:type="pct"/>
                  <w:tcBorders>
                    <w:tl2br w:val="nil"/>
                    <w:tr2bl w:val="nil"/>
                  </w:tcBorders>
                  <w:noWrap w:val="0"/>
                  <w:vAlign w:val="center"/>
                </w:tcPr>
                <w:p w14:paraId="091E2388">
                  <w:pPr>
                    <w:pStyle w:val="41"/>
                    <w:bidi w:val="0"/>
                    <w:jc w:val="center"/>
                    <w:rPr>
                      <w:rFonts w:hint="default"/>
                      <w:color w:val="auto"/>
                      <w:highlight w:val="none"/>
                      <w:lang w:val="en-US" w:eastAsia="zh-CN"/>
                    </w:rPr>
                  </w:pPr>
                  <w:r>
                    <w:rPr>
                      <w:rFonts w:hint="eastAsia"/>
                      <w:color w:val="auto"/>
                      <w:highlight w:val="none"/>
                      <w:lang w:val="en-US" w:eastAsia="zh-CN"/>
                    </w:rPr>
                    <w:t>14.0</w:t>
                  </w:r>
                </w:p>
              </w:tc>
              <w:tc>
                <w:tcPr>
                  <w:tcW w:w="575" w:type="pct"/>
                  <w:tcBorders>
                    <w:tl2br w:val="nil"/>
                    <w:tr2bl w:val="nil"/>
                  </w:tcBorders>
                  <w:noWrap w:val="0"/>
                  <w:vAlign w:val="center"/>
                </w:tcPr>
                <w:p w14:paraId="751710A9">
                  <w:pPr>
                    <w:pStyle w:val="41"/>
                    <w:bidi w:val="0"/>
                    <w:jc w:val="center"/>
                    <w:rPr>
                      <w:rFonts w:hint="default"/>
                      <w:color w:val="auto"/>
                      <w:highlight w:val="none"/>
                      <w:lang w:val="en-US" w:eastAsia="zh-CN"/>
                    </w:rPr>
                  </w:pPr>
                  <w:r>
                    <w:rPr>
                      <w:rFonts w:hint="eastAsia"/>
                      <w:color w:val="auto"/>
                      <w:highlight w:val="none"/>
                      <w:lang w:val="en-US" w:eastAsia="zh-CN"/>
                    </w:rPr>
                    <w:t>13.4</w:t>
                  </w:r>
                </w:p>
              </w:tc>
              <w:tc>
                <w:tcPr>
                  <w:tcW w:w="575" w:type="pct"/>
                  <w:tcBorders>
                    <w:tl2br w:val="nil"/>
                    <w:tr2bl w:val="nil"/>
                  </w:tcBorders>
                  <w:noWrap w:val="0"/>
                  <w:vAlign w:val="center"/>
                </w:tcPr>
                <w:p w14:paraId="4E6004FE">
                  <w:pPr>
                    <w:pStyle w:val="41"/>
                    <w:bidi w:val="0"/>
                    <w:jc w:val="center"/>
                    <w:rPr>
                      <w:rFonts w:hint="default"/>
                      <w:color w:val="auto"/>
                      <w:highlight w:val="none"/>
                      <w:lang w:val="en-US" w:eastAsia="zh-CN"/>
                    </w:rPr>
                  </w:pPr>
                  <w:r>
                    <w:rPr>
                      <w:rFonts w:hint="eastAsia"/>
                      <w:color w:val="auto"/>
                      <w:highlight w:val="none"/>
                      <w:lang w:val="en-US" w:eastAsia="zh-CN"/>
                    </w:rPr>
                    <w:t>13.7</w:t>
                  </w:r>
                </w:p>
              </w:tc>
              <w:tc>
                <w:tcPr>
                  <w:tcW w:w="575" w:type="pct"/>
                  <w:tcBorders>
                    <w:tl2br w:val="nil"/>
                    <w:tr2bl w:val="nil"/>
                  </w:tcBorders>
                  <w:noWrap w:val="0"/>
                  <w:vAlign w:val="center"/>
                </w:tcPr>
                <w:p w14:paraId="5C5ADBA9">
                  <w:pPr>
                    <w:pStyle w:val="41"/>
                    <w:bidi w:val="0"/>
                    <w:jc w:val="center"/>
                    <w:rPr>
                      <w:rFonts w:hint="default"/>
                      <w:color w:val="auto"/>
                      <w:highlight w:val="none"/>
                      <w:lang w:val="en-US" w:eastAsia="zh-CN"/>
                    </w:rPr>
                  </w:pPr>
                  <w:r>
                    <w:rPr>
                      <w:rFonts w:hint="eastAsia"/>
                      <w:color w:val="auto"/>
                      <w:highlight w:val="none"/>
                      <w:lang w:val="en-US" w:eastAsia="zh-CN"/>
                    </w:rPr>
                    <w:t>13.5</w:t>
                  </w:r>
                </w:p>
              </w:tc>
              <w:tc>
                <w:tcPr>
                  <w:tcW w:w="427" w:type="pct"/>
                  <w:tcBorders>
                    <w:tl2br w:val="nil"/>
                    <w:tr2bl w:val="nil"/>
                  </w:tcBorders>
                  <w:noWrap w:val="0"/>
                  <w:vAlign w:val="center"/>
                </w:tcPr>
                <w:p w14:paraId="6DF4F385">
                  <w:pPr>
                    <w:pStyle w:val="41"/>
                    <w:bidi w:val="0"/>
                    <w:jc w:val="center"/>
                    <w:rPr>
                      <w:rFonts w:hint="default" w:eastAsia="宋体"/>
                      <w:color w:val="auto"/>
                      <w:highlight w:val="none"/>
                      <w:lang w:val="en-US" w:eastAsia="zh-CN"/>
                    </w:rPr>
                  </w:pPr>
                  <w:r>
                    <w:rPr>
                      <w:rFonts w:hint="eastAsia"/>
                      <w:color w:val="auto"/>
                      <w:highlight w:val="none"/>
                      <w:lang w:val="en-US" w:eastAsia="zh-CN"/>
                    </w:rPr>
                    <w:t>13.65</w:t>
                  </w:r>
                </w:p>
              </w:tc>
              <w:tc>
                <w:tcPr>
                  <w:tcW w:w="311" w:type="pct"/>
                  <w:tcBorders>
                    <w:tl2br w:val="nil"/>
                    <w:tr2bl w:val="nil"/>
                  </w:tcBorders>
                  <w:noWrap w:val="0"/>
                  <w:vAlign w:val="center"/>
                </w:tcPr>
                <w:p w14:paraId="17991A55">
                  <w:pPr>
                    <w:pStyle w:val="41"/>
                    <w:bidi w:val="0"/>
                    <w:rPr>
                      <w:rFonts w:hint="default"/>
                      <w:color w:val="auto"/>
                      <w:highlight w:val="none"/>
                      <w:lang w:val="en-US" w:eastAsia="zh-CN"/>
                    </w:rPr>
                  </w:pPr>
                  <w:r>
                    <w:rPr>
                      <w:rFonts w:hint="eastAsia"/>
                      <w:color w:val="auto"/>
                      <w:highlight w:val="none"/>
                      <w:lang w:val="en-US" w:eastAsia="zh-CN"/>
                    </w:rPr>
                    <w:t>15</w:t>
                  </w:r>
                </w:p>
              </w:tc>
            </w:tr>
            <w:tr w14:paraId="6892D4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continue"/>
                  <w:tcBorders>
                    <w:tl2br w:val="nil"/>
                    <w:tr2bl w:val="nil"/>
                  </w:tcBorders>
                  <w:noWrap w:val="0"/>
                  <w:vAlign w:val="center"/>
                </w:tcPr>
                <w:p w14:paraId="47FFDF86">
                  <w:pPr>
                    <w:pStyle w:val="41"/>
                    <w:bidi w:val="0"/>
                    <w:rPr>
                      <w:rFonts w:hint="default"/>
                      <w:color w:val="auto"/>
                      <w:highlight w:val="none"/>
                    </w:rPr>
                  </w:pPr>
                </w:p>
              </w:tc>
              <w:tc>
                <w:tcPr>
                  <w:tcW w:w="475" w:type="pct"/>
                  <w:vMerge w:val="continue"/>
                  <w:tcBorders>
                    <w:tl2br w:val="nil"/>
                    <w:tr2bl w:val="nil"/>
                  </w:tcBorders>
                  <w:noWrap w:val="0"/>
                  <w:vAlign w:val="center"/>
                </w:tcPr>
                <w:p w14:paraId="090CF601">
                  <w:pPr>
                    <w:pStyle w:val="41"/>
                    <w:bidi w:val="0"/>
                    <w:rPr>
                      <w:rFonts w:hint="default"/>
                      <w:color w:val="auto"/>
                      <w:highlight w:val="none"/>
                    </w:rPr>
                  </w:pPr>
                </w:p>
              </w:tc>
              <w:tc>
                <w:tcPr>
                  <w:tcW w:w="641" w:type="pct"/>
                  <w:tcBorders>
                    <w:tl2br w:val="nil"/>
                    <w:tr2bl w:val="nil"/>
                  </w:tcBorders>
                  <w:noWrap w:val="0"/>
                  <w:vAlign w:val="center"/>
                </w:tcPr>
                <w:p w14:paraId="7DF322F8">
                  <w:pPr>
                    <w:pStyle w:val="41"/>
                    <w:bidi w:val="0"/>
                    <w:rPr>
                      <w:rFonts w:hint="default"/>
                      <w:color w:val="auto"/>
                      <w:highlight w:val="none"/>
                      <w:lang w:eastAsia="zh-CN"/>
                    </w:rPr>
                  </w:pPr>
                  <w:r>
                    <w:rPr>
                      <w:rFonts w:hint="default"/>
                      <w:color w:val="auto"/>
                      <w:highlight w:val="none"/>
                    </w:rPr>
                    <w:t>悬浮物</w:t>
                  </w:r>
                </w:p>
              </w:tc>
              <w:tc>
                <w:tcPr>
                  <w:tcW w:w="413" w:type="pct"/>
                  <w:tcBorders>
                    <w:tl2br w:val="nil"/>
                    <w:tr2bl w:val="nil"/>
                  </w:tcBorders>
                  <w:noWrap w:val="0"/>
                  <w:vAlign w:val="center"/>
                </w:tcPr>
                <w:p w14:paraId="47931C8B">
                  <w:pPr>
                    <w:pStyle w:val="41"/>
                    <w:bidi w:val="0"/>
                    <w:rPr>
                      <w:rFonts w:hint="default"/>
                      <w:color w:val="auto"/>
                      <w:highlight w:val="none"/>
                    </w:rPr>
                  </w:pPr>
                  <w:r>
                    <w:rPr>
                      <w:rFonts w:hint="default"/>
                      <w:color w:val="auto"/>
                      <w:highlight w:val="none"/>
                    </w:rPr>
                    <w:t>mg/L</w:t>
                  </w:r>
                </w:p>
              </w:tc>
              <w:tc>
                <w:tcPr>
                  <w:tcW w:w="575" w:type="pct"/>
                  <w:tcBorders>
                    <w:tl2br w:val="nil"/>
                    <w:tr2bl w:val="nil"/>
                  </w:tcBorders>
                  <w:noWrap w:val="0"/>
                  <w:vAlign w:val="center"/>
                </w:tcPr>
                <w:p w14:paraId="460C83CC">
                  <w:pPr>
                    <w:pStyle w:val="41"/>
                    <w:bidi w:val="0"/>
                    <w:rPr>
                      <w:rFonts w:hint="default"/>
                      <w:color w:val="auto"/>
                      <w:highlight w:val="none"/>
                      <w:lang w:val="en-US" w:eastAsia="zh-CN"/>
                    </w:rPr>
                  </w:pPr>
                  <w:r>
                    <w:rPr>
                      <w:rFonts w:hint="eastAsia"/>
                      <w:color w:val="auto"/>
                      <w:highlight w:val="none"/>
                      <w:lang w:val="en-US" w:eastAsia="zh-CN"/>
                    </w:rPr>
                    <w:t>21</w:t>
                  </w:r>
                </w:p>
              </w:tc>
              <w:tc>
                <w:tcPr>
                  <w:tcW w:w="575" w:type="pct"/>
                  <w:tcBorders>
                    <w:tl2br w:val="nil"/>
                    <w:tr2bl w:val="nil"/>
                  </w:tcBorders>
                  <w:noWrap w:val="0"/>
                  <w:vAlign w:val="center"/>
                </w:tcPr>
                <w:p w14:paraId="5BED0B66">
                  <w:pPr>
                    <w:pStyle w:val="41"/>
                    <w:bidi w:val="0"/>
                    <w:rPr>
                      <w:rFonts w:hint="default"/>
                      <w:color w:val="auto"/>
                      <w:highlight w:val="none"/>
                      <w:lang w:val="en-US" w:eastAsia="zh-CN"/>
                    </w:rPr>
                  </w:pPr>
                  <w:r>
                    <w:rPr>
                      <w:rFonts w:hint="eastAsia"/>
                      <w:color w:val="auto"/>
                      <w:highlight w:val="none"/>
                      <w:lang w:val="en-US" w:eastAsia="zh-CN"/>
                    </w:rPr>
                    <w:t>25</w:t>
                  </w:r>
                </w:p>
              </w:tc>
              <w:tc>
                <w:tcPr>
                  <w:tcW w:w="575" w:type="pct"/>
                  <w:tcBorders>
                    <w:tl2br w:val="nil"/>
                    <w:tr2bl w:val="nil"/>
                  </w:tcBorders>
                  <w:noWrap w:val="0"/>
                  <w:vAlign w:val="center"/>
                </w:tcPr>
                <w:p w14:paraId="623BF7AA">
                  <w:pPr>
                    <w:pStyle w:val="41"/>
                    <w:bidi w:val="0"/>
                    <w:rPr>
                      <w:rFonts w:hint="default"/>
                      <w:color w:val="auto"/>
                      <w:highlight w:val="none"/>
                      <w:lang w:val="en-US" w:eastAsia="zh-CN"/>
                    </w:rPr>
                  </w:pPr>
                  <w:r>
                    <w:rPr>
                      <w:rFonts w:hint="eastAsia"/>
                      <w:color w:val="auto"/>
                      <w:highlight w:val="none"/>
                      <w:lang w:val="en-US" w:eastAsia="zh-CN"/>
                    </w:rPr>
                    <w:t>26</w:t>
                  </w:r>
                </w:p>
              </w:tc>
              <w:tc>
                <w:tcPr>
                  <w:tcW w:w="575" w:type="pct"/>
                  <w:tcBorders>
                    <w:tl2br w:val="nil"/>
                    <w:tr2bl w:val="nil"/>
                  </w:tcBorders>
                  <w:noWrap w:val="0"/>
                  <w:vAlign w:val="center"/>
                </w:tcPr>
                <w:p w14:paraId="3A22F548">
                  <w:pPr>
                    <w:pStyle w:val="41"/>
                    <w:bidi w:val="0"/>
                    <w:rPr>
                      <w:rFonts w:hint="default"/>
                      <w:color w:val="auto"/>
                      <w:highlight w:val="none"/>
                      <w:lang w:val="en-US" w:eastAsia="zh-CN"/>
                    </w:rPr>
                  </w:pPr>
                  <w:r>
                    <w:rPr>
                      <w:rFonts w:hint="eastAsia"/>
                      <w:color w:val="auto"/>
                      <w:highlight w:val="none"/>
                      <w:lang w:val="en-US" w:eastAsia="zh-CN"/>
                    </w:rPr>
                    <w:t>27</w:t>
                  </w:r>
                </w:p>
              </w:tc>
              <w:tc>
                <w:tcPr>
                  <w:tcW w:w="427" w:type="pct"/>
                  <w:tcBorders>
                    <w:tl2br w:val="nil"/>
                    <w:tr2bl w:val="nil"/>
                  </w:tcBorders>
                  <w:noWrap w:val="0"/>
                  <w:vAlign w:val="center"/>
                </w:tcPr>
                <w:p w14:paraId="231B8E8E">
                  <w:pPr>
                    <w:pStyle w:val="41"/>
                    <w:bidi w:val="0"/>
                    <w:jc w:val="center"/>
                    <w:rPr>
                      <w:rFonts w:hint="eastAsia"/>
                      <w:color w:val="auto"/>
                      <w:highlight w:val="none"/>
                      <w:lang w:val="en-US" w:eastAsia="zh-CN"/>
                    </w:rPr>
                  </w:pPr>
                  <w:r>
                    <w:rPr>
                      <w:rFonts w:hint="eastAsia"/>
                      <w:color w:val="auto"/>
                      <w:highlight w:val="none"/>
                    </w:rPr>
                    <w:t>24.75</w:t>
                  </w:r>
                </w:p>
              </w:tc>
              <w:tc>
                <w:tcPr>
                  <w:tcW w:w="311" w:type="pct"/>
                  <w:tcBorders>
                    <w:tl2br w:val="nil"/>
                    <w:tr2bl w:val="nil"/>
                  </w:tcBorders>
                  <w:noWrap w:val="0"/>
                  <w:vAlign w:val="center"/>
                </w:tcPr>
                <w:p w14:paraId="6426594E">
                  <w:pPr>
                    <w:pStyle w:val="41"/>
                    <w:bidi w:val="0"/>
                    <w:rPr>
                      <w:rFonts w:hint="default"/>
                      <w:color w:val="auto"/>
                      <w:highlight w:val="none"/>
                      <w:lang w:val="en-US" w:eastAsia="zh-CN"/>
                    </w:rPr>
                  </w:pPr>
                  <w:r>
                    <w:rPr>
                      <w:rFonts w:hint="eastAsia"/>
                      <w:color w:val="auto"/>
                      <w:highlight w:val="none"/>
                      <w:lang w:val="en-US" w:eastAsia="zh-CN"/>
                    </w:rPr>
                    <w:t>50</w:t>
                  </w:r>
                </w:p>
              </w:tc>
            </w:tr>
            <w:tr w14:paraId="4E6E74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continue"/>
                  <w:tcBorders>
                    <w:tl2br w:val="nil"/>
                    <w:tr2bl w:val="nil"/>
                  </w:tcBorders>
                  <w:noWrap w:val="0"/>
                  <w:vAlign w:val="center"/>
                </w:tcPr>
                <w:p w14:paraId="2FC44FA2">
                  <w:pPr>
                    <w:pStyle w:val="41"/>
                    <w:bidi w:val="0"/>
                    <w:rPr>
                      <w:rFonts w:hint="default"/>
                      <w:color w:val="auto"/>
                      <w:highlight w:val="none"/>
                    </w:rPr>
                  </w:pPr>
                </w:p>
              </w:tc>
              <w:tc>
                <w:tcPr>
                  <w:tcW w:w="475" w:type="pct"/>
                  <w:vMerge w:val="continue"/>
                  <w:tcBorders>
                    <w:tl2br w:val="nil"/>
                    <w:tr2bl w:val="nil"/>
                  </w:tcBorders>
                  <w:noWrap w:val="0"/>
                  <w:vAlign w:val="center"/>
                </w:tcPr>
                <w:p w14:paraId="0AB6BC91">
                  <w:pPr>
                    <w:pStyle w:val="41"/>
                    <w:bidi w:val="0"/>
                    <w:rPr>
                      <w:rFonts w:hint="default"/>
                      <w:color w:val="auto"/>
                      <w:highlight w:val="none"/>
                    </w:rPr>
                  </w:pPr>
                </w:p>
              </w:tc>
              <w:tc>
                <w:tcPr>
                  <w:tcW w:w="641" w:type="pct"/>
                  <w:tcBorders>
                    <w:tl2br w:val="nil"/>
                    <w:tr2bl w:val="nil"/>
                  </w:tcBorders>
                  <w:noWrap w:val="0"/>
                  <w:vAlign w:val="center"/>
                </w:tcPr>
                <w:p w14:paraId="3A91683F">
                  <w:pPr>
                    <w:pStyle w:val="41"/>
                    <w:bidi w:val="0"/>
                    <w:rPr>
                      <w:rFonts w:hint="default"/>
                      <w:color w:val="auto"/>
                      <w:highlight w:val="none"/>
                      <w:lang w:val="en-US" w:eastAsia="zh-CN"/>
                    </w:rPr>
                  </w:pPr>
                  <w:r>
                    <w:rPr>
                      <w:rFonts w:hint="default"/>
                      <w:color w:val="auto"/>
                      <w:highlight w:val="none"/>
                      <w:lang w:eastAsia="zh-CN"/>
                    </w:rPr>
                    <w:t>氨氮</w:t>
                  </w:r>
                </w:p>
              </w:tc>
              <w:tc>
                <w:tcPr>
                  <w:tcW w:w="413" w:type="pct"/>
                  <w:tcBorders>
                    <w:tl2br w:val="nil"/>
                    <w:tr2bl w:val="nil"/>
                  </w:tcBorders>
                  <w:noWrap w:val="0"/>
                  <w:vAlign w:val="center"/>
                </w:tcPr>
                <w:p w14:paraId="76E6CE5F">
                  <w:pPr>
                    <w:pStyle w:val="41"/>
                    <w:bidi w:val="0"/>
                    <w:rPr>
                      <w:rFonts w:hint="default"/>
                      <w:color w:val="auto"/>
                      <w:highlight w:val="none"/>
                      <w:lang w:val="en-US" w:eastAsia="zh-CN"/>
                    </w:rPr>
                  </w:pPr>
                  <w:r>
                    <w:rPr>
                      <w:rFonts w:hint="default"/>
                      <w:color w:val="auto"/>
                      <w:highlight w:val="none"/>
                    </w:rPr>
                    <w:t>mg/L</w:t>
                  </w:r>
                </w:p>
              </w:tc>
              <w:tc>
                <w:tcPr>
                  <w:tcW w:w="575" w:type="pct"/>
                  <w:tcBorders>
                    <w:tl2br w:val="nil"/>
                    <w:tr2bl w:val="nil"/>
                  </w:tcBorders>
                  <w:noWrap w:val="0"/>
                  <w:vAlign w:val="center"/>
                </w:tcPr>
                <w:p w14:paraId="3C53BD73">
                  <w:pPr>
                    <w:pStyle w:val="41"/>
                    <w:bidi w:val="0"/>
                    <w:rPr>
                      <w:rFonts w:hint="default"/>
                      <w:color w:val="auto"/>
                      <w:highlight w:val="none"/>
                      <w:lang w:val="en-US" w:eastAsia="zh-CN"/>
                    </w:rPr>
                  </w:pPr>
                  <w:r>
                    <w:rPr>
                      <w:rFonts w:hint="eastAsia"/>
                      <w:color w:val="auto"/>
                      <w:highlight w:val="none"/>
                      <w:lang w:val="en-US" w:eastAsia="zh-CN"/>
                    </w:rPr>
                    <w:t>2.76</w:t>
                  </w:r>
                </w:p>
              </w:tc>
              <w:tc>
                <w:tcPr>
                  <w:tcW w:w="575" w:type="pct"/>
                  <w:tcBorders>
                    <w:tl2br w:val="nil"/>
                    <w:tr2bl w:val="nil"/>
                  </w:tcBorders>
                  <w:noWrap w:val="0"/>
                  <w:vAlign w:val="center"/>
                </w:tcPr>
                <w:p w14:paraId="2968EC2C">
                  <w:pPr>
                    <w:pStyle w:val="41"/>
                    <w:bidi w:val="0"/>
                    <w:rPr>
                      <w:rFonts w:hint="default"/>
                      <w:color w:val="auto"/>
                      <w:highlight w:val="none"/>
                      <w:lang w:val="en-US" w:eastAsia="zh-CN"/>
                    </w:rPr>
                  </w:pPr>
                  <w:r>
                    <w:rPr>
                      <w:rFonts w:hint="eastAsia"/>
                      <w:color w:val="auto"/>
                      <w:highlight w:val="none"/>
                      <w:lang w:val="en-US" w:eastAsia="zh-CN"/>
                    </w:rPr>
                    <w:t>2.77</w:t>
                  </w:r>
                </w:p>
              </w:tc>
              <w:tc>
                <w:tcPr>
                  <w:tcW w:w="575" w:type="pct"/>
                  <w:tcBorders>
                    <w:tl2br w:val="nil"/>
                    <w:tr2bl w:val="nil"/>
                  </w:tcBorders>
                  <w:noWrap w:val="0"/>
                  <w:vAlign w:val="center"/>
                </w:tcPr>
                <w:p w14:paraId="5B054CD0">
                  <w:pPr>
                    <w:pStyle w:val="41"/>
                    <w:bidi w:val="0"/>
                    <w:rPr>
                      <w:rFonts w:hint="default"/>
                      <w:color w:val="auto"/>
                      <w:highlight w:val="none"/>
                      <w:lang w:val="en-US" w:eastAsia="zh-CN"/>
                    </w:rPr>
                  </w:pPr>
                  <w:r>
                    <w:rPr>
                      <w:rFonts w:hint="eastAsia"/>
                      <w:color w:val="auto"/>
                      <w:highlight w:val="none"/>
                      <w:lang w:val="en-US" w:eastAsia="zh-CN"/>
                    </w:rPr>
                    <w:t>2.76</w:t>
                  </w:r>
                </w:p>
              </w:tc>
              <w:tc>
                <w:tcPr>
                  <w:tcW w:w="575" w:type="pct"/>
                  <w:tcBorders>
                    <w:tl2br w:val="nil"/>
                    <w:tr2bl w:val="nil"/>
                  </w:tcBorders>
                  <w:noWrap w:val="0"/>
                  <w:vAlign w:val="center"/>
                </w:tcPr>
                <w:p w14:paraId="4372748E">
                  <w:pPr>
                    <w:pStyle w:val="41"/>
                    <w:bidi w:val="0"/>
                    <w:rPr>
                      <w:rFonts w:hint="default"/>
                      <w:color w:val="auto"/>
                      <w:highlight w:val="none"/>
                      <w:lang w:val="en-US" w:eastAsia="zh-CN"/>
                    </w:rPr>
                  </w:pPr>
                  <w:r>
                    <w:rPr>
                      <w:rFonts w:hint="eastAsia"/>
                      <w:color w:val="auto"/>
                      <w:highlight w:val="none"/>
                      <w:lang w:val="en-US" w:eastAsia="zh-CN"/>
                    </w:rPr>
                    <w:t>2.81</w:t>
                  </w:r>
                </w:p>
              </w:tc>
              <w:tc>
                <w:tcPr>
                  <w:tcW w:w="427" w:type="pct"/>
                  <w:tcBorders>
                    <w:tl2br w:val="nil"/>
                    <w:tr2bl w:val="nil"/>
                  </w:tcBorders>
                  <w:noWrap w:val="0"/>
                  <w:vAlign w:val="center"/>
                </w:tcPr>
                <w:p w14:paraId="5B249027">
                  <w:pPr>
                    <w:pStyle w:val="41"/>
                    <w:bidi w:val="0"/>
                    <w:jc w:val="center"/>
                    <w:rPr>
                      <w:rFonts w:hint="eastAsia" w:eastAsia="宋体"/>
                      <w:color w:val="auto"/>
                      <w:highlight w:val="none"/>
                      <w:lang w:val="en-US" w:eastAsia="zh-CN"/>
                    </w:rPr>
                  </w:pPr>
                  <w:r>
                    <w:rPr>
                      <w:rFonts w:hint="eastAsia"/>
                      <w:color w:val="auto"/>
                      <w:highlight w:val="none"/>
                    </w:rPr>
                    <w:t>2.7</w:t>
                  </w:r>
                  <w:r>
                    <w:rPr>
                      <w:rFonts w:hint="eastAsia"/>
                      <w:color w:val="auto"/>
                      <w:highlight w:val="none"/>
                      <w:lang w:val="en-US" w:eastAsia="zh-CN"/>
                    </w:rPr>
                    <w:t>8</w:t>
                  </w:r>
                </w:p>
              </w:tc>
              <w:tc>
                <w:tcPr>
                  <w:tcW w:w="311" w:type="pct"/>
                  <w:tcBorders>
                    <w:tl2br w:val="nil"/>
                    <w:tr2bl w:val="nil"/>
                  </w:tcBorders>
                  <w:noWrap w:val="0"/>
                  <w:vAlign w:val="center"/>
                </w:tcPr>
                <w:p w14:paraId="145F43AE">
                  <w:pPr>
                    <w:pStyle w:val="41"/>
                    <w:bidi w:val="0"/>
                    <w:rPr>
                      <w:rFonts w:hint="default"/>
                      <w:color w:val="auto"/>
                      <w:highlight w:val="none"/>
                      <w:lang w:val="en-US" w:eastAsia="zh-CN"/>
                    </w:rPr>
                  </w:pPr>
                  <w:r>
                    <w:rPr>
                      <w:rFonts w:hint="eastAsia"/>
                      <w:color w:val="auto"/>
                      <w:highlight w:val="none"/>
                      <w:lang w:val="en-US" w:eastAsia="zh-CN"/>
                    </w:rPr>
                    <w:t>8</w:t>
                  </w:r>
                </w:p>
              </w:tc>
            </w:tr>
            <w:tr w14:paraId="37AC16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continue"/>
                  <w:tcBorders>
                    <w:tl2br w:val="nil"/>
                    <w:tr2bl w:val="nil"/>
                  </w:tcBorders>
                  <w:noWrap w:val="0"/>
                  <w:vAlign w:val="center"/>
                </w:tcPr>
                <w:p w14:paraId="77E32FE5">
                  <w:pPr>
                    <w:pStyle w:val="41"/>
                    <w:bidi w:val="0"/>
                    <w:rPr>
                      <w:rFonts w:hint="default"/>
                      <w:color w:val="auto"/>
                      <w:highlight w:val="none"/>
                    </w:rPr>
                  </w:pPr>
                </w:p>
              </w:tc>
              <w:tc>
                <w:tcPr>
                  <w:tcW w:w="475" w:type="pct"/>
                  <w:vMerge w:val="continue"/>
                  <w:tcBorders>
                    <w:tl2br w:val="nil"/>
                    <w:tr2bl w:val="nil"/>
                  </w:tcBorders>
                  <w:noWrap w:val="0"/>
                  <w:vAlign w:val="center"/>
                </w:tcPr>
                <w:p w14:paraId="5E005D7F">
                  <w:pPr>
                    <w:pStyle w:val="41"/>
                    <w:bidi w:val="0"/>
                    <w:rPr>
                      <w:rFonts w:hint="default"/>
                      <w:color w:val="auto"/>
                      <w:highlight w:val="none"/>
                    </w:rPr>
                  </w:pPr>
                </w:p>
              </w:tc>
              <w:tc>
                <w:tcPr>
                  <w:tcW w:w="641" w:type="pct"/>
                  <w:tcBorders>
                    <w:tl2br w:val="nil"/>
                    <w:tr2bl w:val="nil"/>
                  </w:tcBorders>
                  <w:noWrap w:val="0"/>
                  <w:vAlign w:val="center"/>
                </w:tcPr>
                <w:p w14:paraId="3C736A5D">
                  <w:pPr>
                    <w:pStyle w:val="41"/>
                    <w:bidi w:val="0"/>
                    <w:rPr>
                      <w:rFonts w:hint="default"/>
                      <w:color w:val="auto"/>
                      <w:highlight w:val="none"/>
                      <w:lang w:val="en-US" w:eastAsia="zh-CN"/>
                    </w:rPr>
                  </w:pPr>
                  <w:r>
                    <w:rPr>
                      <w:rFonts w:hint="eastAsia"/>
                      <w:color w:val="auto"/>
                      <w:highlight w:val="none"/>
                      <w:lang w:eastAsia="zh-CN"/>
                    </w:rPr>
                    <w:t>总氮</w:t>
                  </w:r>
                </w:p>
              </w:tc>
              <w:tc>
                <w:tcPr>
                  <w:tcW w:w="413" w:type="pct"/>
                  <w:tcBorders>
                    <w:tl2br w:val="nil"/>
                    <w:tr2bl w:val="nil"/>
                  </w:tcBorders>
                  <w:noWrap w:val="0"/>
                  <w:vAlign w:val="center"/>
                </w:tcPr>
                <w:p w14:paraId="0A3A2EE5">
                  <w:pPr>
                    <w:pStyle w:val="41"/>
                    <w:bidi w:val="0"/>
                    <w:rPr>
                      <w:rFonts w:hint="default"/>
                      <w:color w:val="auto"/>
                      <w:highlight w:val="none"/>
                      <w:lang w:val="en-US" w:eastAsia="zh-CN"/>
                    </w:rPr>
                  </w:pPr>
                  <w:r>
                    <w:rPr>
                      <w:rFonts w:hint="default"/>
                      <w:color w:val="auto"/>
                      <w:highlight w:val="none"/>
                    </w:rPr>
                    <w:t>mg/L</w:t>
                  </w:r>
                </w:p>
              </w:tc>
              <w:tc>
                <w:tcPr>
                  <w:tcW w:w="575" w:type="pct"/>
                  <w:tcBorders>
                    <w:tl2br w:val="nil"/>
                    <w:tr2bl w:val="nil"/>
                  </w:tcBorders>
                  <w:noWrap w:val="0"/>
                  <w:vAlign w:val="center"/>
                </w:tcPr>
                <w:p w14:paraId="267AF1AC">
                  <w:pPr>
                    <w:pStyle w:val="41"/>
                    <w:bidi w:val="0"/>
                    <w:rPr>
                      <w:rFonts w:hint="default"/>
                      <w:color w:val="auto"/>
                      <w:highlight w:val="none"/>
                      <w:lang w:val="en-US" w:eastAsia="zh-CN"/>
                    </w:rPr>
                  </w:pPr>
                  <w:r>
                    <w:rPr>
                      <w:rFonts w:hint="eastAsia"/>
                      <w:color w:val="auto"/>
                      <w:highlight w:val="none"/>
                      <w:lang w:val="en-US" w:eastAsia="zh-CN"/>
                    </w:rPr>
                    <w:t>6.63</w:t>
                  </w:r>
                </w:p>
              </w:tc>
              <w:tc>
                <w:tcPr>
                  <w:tcW w:w="575" w:type="pct"/>
                  <w:tcBorders>
                    <w:tl2br w:val="nil"/>
                    <w:tr2bl w:val="nil"/>
                  </w:tcBorders>
                  <w:noWrap w:val="0"/>
                  <w:vAlign w:val="center"/>
                </w:tcPr>
                <w:p w14:paraId="44A8ECFA">
                  <w:pPr>
                    <w:pStyle w:val="41"/>
                    <w:bidi w:val="0"/>
                    <w:rPr>
                      <w:rFonts w:hint="default"/>
                      <w:color w:val="auto"/>
                      <w:highlight w:val="none"/>
                      <w:lang w:val="en-US" w:eastAsia="zh-CN"/>
                    </w:rPr>
                  </w:pPr>
                  <w:r>
                    <w:rPr>
                      <w:rFonts w:hint="eastAsia"/>
                      <w:color w:val="auto"/>
                      <w:highlight w:val="none"/>
                      <w:lang w:val="en-US" w:eastAsia="zh-CN"/>
                    </w:rPr>
                    <w:t>6.60</w:t>
                  </w:r>
                </w:p>
              </w:tc>
              <w:tc>
                <w:tcPr>
                  <w:tcW w:w="575" w:type="pct"/>
                  <w:tcBorders>
                    <w:tl2br w:val="nil"/>
                    <w:tr2bl w:val="nil"/>
                  </w:tcBorders>
                  <w:noWrap w:val="0"/>
                  <w:vAlign w:val="center"/>
                </w:tcPr>
                <w:p w14:paraId="67F92958">
                  <w:pPr>
                    <w:pStyle w:val="41"/>
                    <w:bidi w:val="0"/>
                    <w:rPr>
                      <w:rFonts w:hint="default"/>
                      <w:color w:val="auto"/>
                      <w:highlight w:val="none"/>
                      <w:lang w:val="en-US" w:eastAsia="zh-CN"/>
                    </w:rPr>
                  </w:pPr>
                  <w:r>
                    <w:rPr>
                      <w:rFonts w:hint="eastAsia"/>
                      <w:color w:val="auto"/>
                      <w:highlight w:val="none"/>
                      <w:lang w:val="en-US" w:eastAsia="zh-CN"/>
                    </w:rPr>
                    <w:t>6.58</w:t>
                  </w:r>
                </w:p>
              </w:tc>
              <w:tc>
                <w:tcPr>
                  <w:tcW w:w="575" w:type="pct"/>
                  <w:tcBorders>
                    <w:tl2br w:val="nil"/>
                    <w:tr2bl w:val="nil"/>
                  </w:tcBorders>
                  <w:noWrap w:val="0"/>
                  <w:vAlign w:val="center"/>
                </w:tcPr>
                <w:p w14:paraId="373A6E4D">
                  <w:pPr>
                    <w:pStyle w:val="41"/>
                    <w:bidi w:val="0"/>
                    <w:rPr>
                      <w:rFonts w:hint="default"/>
                      <w:color w:val="auto"/>
                      <w:highlight w:val="none"/>
                      <w:lang w:val="en-US" w:eastAsia="zh-CN"/>
                    </w:rPr>
                  </w:pPr>
                  <w:r>
                    <w:rPr>
                      <w:rFonts w:hint="eastAsia"/>
                      <w:color w:val="auto"/>
                      <w:highlight w:val="none"/>
                      <w:lang w:val="en-US" w:eastAsia="zh-CN"/>
                    </w:rPr>
                    <w:t>6.41</w:t>
                  </w:r>
                </w:p>
              </w:tc>
              <w:tc>
                <w:tcPr>
                  <w:tcW w:w="427" w:type="pct"/>
                  <w:tcBorders>
                    <w:tl2br w:val="nil"/>
                    <w:tr2bl w:val="nil"/>
                  </w:tcBorders>
                  <w:noWrap w:val="0"/>
                  <w:vAlign w:val="center"/>
                </w:tcPr>
                <w:p w14:paraId="4C96BB29">
                  <w:pPr>
                    <w:pStyle w:val="41"/>
                    <w:bidi w:val="0"/>
                    <w:jc w:val="center"/>
                    <w:rPr>
                      <w:rFonts w:hint="eastAsia" w:eastAsia="宋体"/>
                      <w:color w:val="auto"/>
                      <w:highlight w:val="none"/>
                      <w:lang w:val="en-US" w:eastAsia="zh-CN"/>
                    </w:rPr>
                  </w:pPr>
                  <w:r>
                    <w:rPr>
                      <w:rFonts w:hint="eastAsia"/>
                      <w:color w:val="auto"/>
                      <w:highlight w:val="none"/>
                    </w:rPr>
                    <w:t>6.5</w:t>
                  </w:r>
                  <w:r>
                    <w:rPr>
                      <w:rFonts w:hint="eastAsia"/>
                      <w:color w:val="auto"/>
                      <w:highlight w:val="none"/>
                      <w:lang w:val="en-US" w:eastAsia="zh-CN"/>
                    </w:rPr>
                    <w:t>6</w:t>
                  </w:r>
                </w:p>
              </w:tc>
              <w:tc>
                <w:tcPr>
                  <w:tcW w:w="311" w:type="pct"/>
                  <w:tcBorders>
                    <w:tl2br w:val="nil"/>
                    <w:tr2bl w:val="nil"/>
                  </w:tcBorders>
                  <w:noWrap w:val="0"/>
                  <w:vAlign w:val="center"/>
                </w:tcPr>
                <w:p w14:paraId="170A76EB">
                  <w:pPr>
                    <w:pStyle w:val="41"/>
                    <w:bidi w:val="0"/>
                    <w:rPr>
                      <w:rFonts w:hint="default"/>
                      <w:color w:val="auto"/>
                      <w:highlight w:val="none"/>
                      <w:lang w:val="en-US" w:eastAsia="zh-CN"/>
                    </w:rPr>
                  </w:pPr>
                  <w:r>
                    <w:rPr>
                      <w:rFonts w:hint="eastAsia"/>
                      <w:color w:val="auto"/>
                      <w:highlight w:val="none"/>
                      <w:lang w:val="en-US" w:eastAsia="zh-CN"/>
                    </w:rPr>
                    <w:t>20</w:t>
                  </w:r>
                </w:p>
              </w:tc>
            </w:tr>
            <w:tr w14:paraId="329C9F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continue"/>
                  <w:tcBorders>
                    <w:tl2br w:val="nil"/>
                    <w:tr2bl w:val="nil"/>
                  </w:tcBorders>
                  <w:noWrap w:val="0"/>
                  <w:vAlign w:val="center"/>
                </w:tcPr>
                <w:p w14:paraId="2C1ED5BF">
                  <w:pPr>
                    <w:pStyle w:val="41"/>
                    <w:bidi w:val="0"/>
                    <w:rPr>
                      <w:rFonts w:hint="default"/>
                      <w:color w:val="auto"/>
                      <w:highlight w:val="none"/>
                    </w:rPr>
                  </w:pPr>
                </w:p>
              </w:tc>
              <w:tc>
                <w:tcPr>
                  <w:tcW w:w="475" w:type="pct"/>
                  <w:vMerge w:val="continue"/>
                  <w:tcBorders>
                    <w:tl2br w:val="nil"/>
                    <w:tr2bl w:val="nil"/>
                  </w:tcBorders>
                  <w:noWrap w:val="0"/>
                  <w:vAlign w:val="center"/>
                </w:tcPr>
                <w:p w14:paraId="51723E41">
                  <w:pPr>
                    <w:pStyle w:val="41"/>
                    <w:bidi w:val="0"/>
                    <w:rPr>
                      <w:rFonts w:hint="default"/>
                      <w:color w:val="auto"/>
                      <w:highlight w:val="none"/>
                    </w:rPr>
                  </w:pPr>
                </w:p>
              </w:tc>
              <w:tc>
                <w:tcPr>
                  <w:tcW w:w="641" w:type="pct"/>
                  <w:tcBorders>
                    <w:tl2br w:val="nil"/>
                    <w:tr2bl w:val="nil"/>
                  </w:tcBorders>
                  <w:noWrap w:val="0"/>
                  <w:vAlign w:val="center"/>
                </w:tcPr>
                <w:p w14:paraId="4208CC5C">
                  <w:pPr>
                    <w:pStyle w:val="41"/>
                    <w:bidi w:val="0"/>
                    <w:rPr>
                      <w:rFonts w:hint="default"/>
                      <w:color w:val="auto"/>
                      <w:highlight w:val="none"/>
                      <w:lang w:val="en-US" w:eastAsia="zh-CN"/>
                    </w:rPr>
                  </w:pPr>
                  <w:r>
                    <w:rPr>
                      <w:rFonts w:hint="default"/>
                      <w:color w:val="auto"/>
                      <w:highlight w:val="none"/>
                      <w:lang w:eastAsia="zh-CN"/>
                    </w:rPr>
                    <w:t>总磷</w:t>
                  </w:r>
                </w:p>
              </w:tc>
              <w:tc>
                <w:tcPr>
                  <w:tcW w:w="413" w:type="pct"/>
                  <w:tcBorders>
                    <w:tl2br w:val="nil"/>
                    <w:tr2bl w:val="nil"/>
                  </w:tcBorders>
                  <w:noWrap w:val="0"/>
                  <w:vAlign w:val="center"/>
                </w:tcPr>
                <w:p w14:paraId="7267B3EF">
                  <w:pPr>
                    <w:pStyle w:val="41"/>
                    <w:bidi w:val="0"/>
                    <w:rPr>
                      <w:rFonts w:hint="default"/>
                      <w:color w:val="auto"/>
                      <w:highlight w:val="none"/>
                      <w:lang w:val="en-US" w:eastAsia="zh-CN"/>
                    </w:rPr>
                  </w:pPr>
                  <w:r>
                    <w:rPr>
                      <w:rFonts w:hint="default"/>
                      <w:color w:val="auto"/>
                      <w:highlight w:val="none"/>
                    </w:rPr>
                    <w:t>mg/L</w:t>
                  </w:r>
                </w:p>
              </w:tc>
              <w:tc>
                <w:tcPr>
                  <w:tcW w:w="575" w:type="pct"/>
                  <w:tcBorders>
                    <w:tl2br w:val="nil"/>
                    <w:tr2bl w:val="nil"/>
                  </w:tcBorders>
                  <w:noWrap w:val="0"/>
                  <w:vAlign w:val="center"/>
                </w:tcPr>
                <w:p w14:paraId="2266DF63">
                  <w:pPr>
                    <w:pStyle w:val="41"/>
                    <w:bidi w:val="0"/>
                    <w:rPr>
                      <w:rFonts w:hint="default"/>
                      <w:color w:val="auto"/>
                      <w:highlight w:val="none"/>
                      <w:lang w:val="en-US" w:eastAsia="zh-CN"/>
                    </w:rPr>
                  </w:pPr>
                  <w:r>
                    <w:rPr>
                      <w:rFonts w:hint="eastAsia"/>
                      <w:color w:val="auto"/>
                      <w:highlight w:val="none"/>
                      <w:lang w:val="en-US" w:eastAsia="zh-CN"/>
                    </w:rPr>
                    <w:t>0.29</w:t>
                  </w:r>
                </w:p>
              </w:tc>
              <w:tc>
                <w:tcPr>
                  <w:tcW w:w="575" w:type="pct"/>
                  <w:tcBorders>
                    <w:tl2br w:val="nil"/>
                    <w:tr2bl w:val="nil"/>
                  </w:tcBorders>
                  <w:noWrap w:val="0"/>
                  <w:vAlign w:val="center"/>
                </w:tcPr>
                <w:p w14:paraId="460FEFE8">
                  <w:pPr>
                    <w:pStyle w:val="41"/>
                    <w:bidi w:val="0"/>
                    <w:rPr>
                      <w:rFonts w:hint="default"/>
                      <w:color w:val="auto"/>
                      <w:highlight w:val="none"/>
                      <w:lang w:val="en-US" w:eastAsia="zh-CN"/>
                    </w:rPr>
                  </w:pPr>
                  <w:r>
                    <w:rPr>
                      <w:rFonts w:hint="eastAsia"/>
                      <w:color w:val="auto"/>
                      <w:highlight w:val="none"/>
                      <w:lang w:val="en-US" w:eastAsia="zh-CN"/>
                    </w:rPr>
                    <w:t>0.29</w:t>
                  </w:r>
                </w:p>
              </w:tc>
              <w:tc>
                <w:tcPr>
                  <w:tcW w:w="575" w:type="pct"/>
                  <w:tcBorders>
                    <w:tl2br w:val="nil"/>
                    <w:tr2bl w:val="nil"/>
                  </w:tcBorders>
                  <w:noWrap w:val="0"/>
                  <w:vAlign w:val="center"/>
                </w:tcPr>
                <w:p w14:paraId="0A42568E">
                  <w:pPr>
                    <w:pStyle w:val="41"/>
                    <w:bidi w:val="0"/>
                    <w:rPr>
                      <w:rFonts w:hint="default"/>
                      <w:color w:val="auto"/>
                      <w:highlight w:val="none"/>
                      <w:lang w:val="en-US" w:eastAsia="zh-CN"/>
                    </w:rPr>
                  </w:pPr>
                  <w:r>
                    <w:rPr>
                      <w:rFonts w:hint="eastAsia"/>
                      <w:color w:val="auto"/>
                      <w:highlight w:val="none"/>
                      <w:lang w:val="en-US" w:eastAsia="zh-CN"/>
                    </w:rPr>
                    <w:t>0.29</w:t>
                  </w:r>
                </w:p>
              </w:tc>
              <w:tc>
                <w:tcPr>
                  <w:tcW w:w="575" w:type="pct"/>
                  <w:tcBorders>
                    <w:tl2br w:val="nil"/>
                    <w:tr2bl w:val="nil"/>
                  </w:tcBorders>
                  <w:noWrap w:val="0"/>
                  <w:vAlign w:val="center"/>
                </w:tcPr>
                <w:p w14:paraId="255F52C9">
                  <w:pPr>
                    <w:pStyle w:val="41"/>
                    <w:bidi w:val="0"/>
                    <w:rPr>
                      <w:rFonts w:hint="default"/>
                      <w:color w:val="auto"/>
                      <w:highlight w:val="none"/>
                      <w:lang w:val="en-US" w:eastAsia="zh-CN"/>
                    </w:rPr>
                  </w:pPr>
                  <w:r>
                    <w:rPr>
                      <w:rFonts w:hint="eastAsia"/>
                      <w:color w:val="auto"/>
                      <w:highlight w:val="none"/>
                      <w:lang w:val="en-US" w:eastAsia="zh-CN"/>
                    </w:rPr>
                    <w:t>0.29</w:t>
                  </w:r>
                </w:p>
              </w:tc>
              <w:tc>
                <w:tcPr>
                  <w:tcW w:w="427" w:type="pct"/>
                  <w:tcBorders>
                    <w:tl2br w:val="nil"/>
                    <w:tr2bl w:val="nil"/>
                  </w:tcBorders>
                  <w:noWrap w:val="0"/>
                  <w:vAlign w:val="center"/>
                </w:tcPr>
                <w:p w14:paraId="3DF24DC7">
                  <w:pPr>
                    <w:pStyle w:val="41"/>
                    <w:bidi w:val="0"/>
                    <w:jc w:val="center"/>
                    <w:rPr>
                      <w:rFonts w:hint="eastAsia"/>
                      <w:color w:val="auto"/>
                      <w:highlight w:val="none"/>
                      <w:lang w:val="en-US" w:eastAsia="zh-CN"/>
                    </w:rPr>
                  </w:pPr>
                  <w:r>
                    <w:rPr>
                      <w:rFonts w:hint="eastAsia"/>
                      <w:color w:val="auto"/>
                      <w:highlight w:val="none"/>
                    </w:rPr>
                    <w:t>0.29</w:t>
                  </w:r>
                </w:p>
              </w:tc>
              <w:tc>
                <w:tcPr>
                  <w:tcW w:w="311" w:type="pct"/>
                  <w:tcBorders>
                    <w:tl2br w:val="nil"/>
                    <w:tr2bl w:val="nil"/>
                  </w:tcBorders>
                  <w:noWrap w:val="0"/>
                  <w:vAlign w:val="center"/>
                </w:tcPr>
                <w:p w14:paraId="6E3466BF">
                  <w:pPr>
                    <w:pStyle w:val="41"/>
                    <w:bidi w:val="0"/>
                    <w:rPr>
                      <w:rFonts w:hint="default"/>
                      <w:color w:val="auto"/>
                      <w:highlight w:val="none"/>
                      <w:lang w:val="en-US" w:eastAsia="zh-CN"/>
                    </w:rPr>
                  </w:pPr>
                  <w:r>
                    <w:rPr>
                      <w:rFonts w:hint="eastAsia"/>
                      <w:color w:val="auto"/>
                      <w:highlight w:val="none"/>
                      <w:lang w:val="en-US" w:eastAsia="zh-CN"/>
                    </w:rPr>
                    <w:t>0.5</w:t>
                  </w:r>
                </w:p>
              </w:tc>
            </w:tr>
            <w:tr w14:paraId="359A85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restart"/>
                  <w:tcBorders>
                    <w:tl2br w:val="nil"/>
                    <w:tr2bl w:val="nil"/>
                  </w:tcBorders>
                  <w:noWrap w:val="0"/>
                  <w:vAlign w:val="center"/>
                </w:tcPr>
                <w:p w14:paraId="23D39810">
                  <w:pPr>
                    <w:pStyle w:val="41"/>
                    <w:bidi w:val="0"/>
                    <w:rPr>
                      <w:rFonts w:hint="default"/>
                      <w:color w:val="auto"/>
                      <w:highlight w:val="none"/>
                      <w:lang w:val="en-US" w:eastAsia="zh-CN"/>
                    </w:rPr>
                  </w:pPr>
                  <w:r>
                    <w:rPr>
                      <w:rFonts w:hint="eastAsia"/>
                      <w:color w:val="auto"/>
                      <w:highlight w:val="none"/>
                      <w:lang w:val="en-US" w:eastAsia="zh-CN"/>
                    </w:rPr>
                    <w:t>2024.11.05</w:t>
                  </w:r>
                </w:p>
              </w:tc>
              <w:tc>
                <w:tcPr>
                  <w:tcW w:w="475" w:type="pct"/>
                  <w:vMerge w:val="restart"/>
                  <w:tcBorders>
                    <w:tl2br w:val="nil"/>
                    <w:tr2bl w:val="nil"/>
                  </w:tcBorders>
                  <w:noWrap w:val="0"/>
                  <w:vAlign w:val="center"/>
                </w:tcPr>
                <w:p w14:paraId="1ECD9C21">
                  <w:pPr>
                    <w:pStyle w:val="41"/>
                    <w:bidi w:val="0"/>
                    <w:rPr>
                      <w:rFonts w:hint="eastAsia"/>
                      <w:color w:val="auto"/>
                      <w:highlight w:val="none"/>
                      <w:lang w:eastAsia="zh-CN"/>
                    </w:rPr>
                  </w:pPr>
                  <w:r>
                    <w:rPr>
                      <w:rFonts w:hint="eastAsia"/>
                      <w:color w:val="auto"/>
                      <w:highlight w:val="none"/>
                      <w:lang w:val="en-US" w:eastAsia="zh-CN"/>
                    </w:rPr>
                    <w:t>污水总排口DW001</w:t>
                  </w:r>
                </w:p>
              </w:tc>
              <w:tc>
                <w:tcPr>
                  <w:tcW w:w="641" w:type="pct"/>
                  <w:tcBorders>
                    <w:tl2br w:val="nil"/>
                    <w:tr2bl w:val="nil"/>
                  </w:tcBorders>
                  <w:noWrap w:val="0"/>
                  <w:vAlign w:val="center"/>
                </w:tcPr>
                <w:p w14:paraId="0B884A2E">
                  <w:pPr>
                    <w:pStyle w:val="41"/>
                    <w:bidi w:val="0"/>
                    <w:rPr>
                      <w:rFonts w:hint="default"/>
                      <w:color w:val="auto"/>
                      <w:highlight w:val="none"/>
                      <w:lang w:val="en-US" w:eastAsia="zh-CN"/>
                    </w:rPr>
                  </w:pPr>
                  <w:r>
                    <w:rPr>
                      <w:rFonts w:hint="default"/>
                      <w:color w:val="auto"/>
                      <w:highlight w:val="none"/>
                    </w:rPr>
                    <w:t>pH值</w:t>
                  </w:r>
                </w:p>
              </w:tc>
              <w:tc>
                <w:tcPr>
                  <w:tcW w:w="413" w:type="pct"/>
                  <w:tcBorders>
                    <w:tl2br w:val="nil"/>
                    <w:tr2bl w:val="nil"/>
                  </w:tcBorders>
                  <w:noWrap w:val="0"/>
                  <w:vAlign w:val="center"/>
                </w:tcPr>
                <w:p w14:paraId="5AECC073">
                  <w:pPr>
                    <w:pStyle w:val="41"/>
                    <w:bidi w:val="0"/>
                    <w:rPr>
                      <w:rFonts w:hint="default"/>
                      <w:color w:val="auto"/>
                      <w:highlight w:val="none"/>
                      <w:lang w:val="en-US" w:eastAsia="zh-CN"/>
                    </w:rPr>
                  </w:pPr>
                  <w:r>
                    <w:rPr>
                      <w:rFonts w:hint="default"/>
                      <w:color w:val="auto"/>
                      <w:highlight w:val="none"/>
                    </w:rPr>
                    <w:t>无量纲</w:t>
                  </w:r>
                </w:p>
              </w:tc>
              <w:tc>
                <w:tcPr>
                  <w:tcW w:w="575" w:type="pct"/>
                  <w:tcBorders>
                    <w:tl2br w:val="nil"/>
                    <w:tr2bl w:val="nil"/>
                  </w:tcBorders>
                  <w:noWrap w:val="0"/>
                  <w:vAlign w:val="center"/>
                </w:tcPr>
                <w:p w14:paraId="7564F536">
                  <w:pPr>
                    <w:pStyle w:val="41"/>
                    <w:bidi w:val="0"/>
                    <w:rPr>
                      <w:rFonts w:hint="eastAsia"/>
                      <w:color w:val="auto"/>
                      <w:highlight w:val="none"/>
                      <w:lang w:val="en-US" w:eastAsia="zh-CN"/>
                    </w:rPr>
                  </w:pPr>
                  <w:r>
                    <w:rPr>
                      <w:rFonts w:hint="eastAsia"/>
                      <w:color w:val="auto"/>
                      <w:highlight w:val="none"/>
                      <w:lang w:val="en-US" w:eastAsia="zh-CN"/>
                    </w:rPr>
                    <w:t>7.4</w:t>
                  </w:r>
                </w:p>
                <w:p w14:paraId="33F600E4">
                  <w:pPr>
                    <w:pStyle w:val="41"/>
                    <w:bidi w:val="0"/>
                    <w:rPr>
                      <w:rFonts w:hint="default"/>
                      <w:color w:val="auto"/>
                      <w:highlight w:val="none"/>
                      <w:lang w:val="en-US" w:eastAsia="zh-CN"/>
                    </w:rPr>
                  </w:pPr>
                  <w:r>
                    <w:rPr>
                      <w:rFonts w:hint="eastAsia"/>
                      <w:color w:val="auto"/>
                      <w:highlight w:val="none"/>
                      <w:lang w:val="en-US" w:eastAsia="zh-CN"/>
                    </w:rPr>
                    <w:t>(17.0℃)</w:t>
                  </w:r>
                </w:p>
              </w:tc>
              <w:tc>
                <w:tcPr>
                  <w:tcW w:w="575" w:type="pct"/>
                  <w:tcBorders>
                    <w:tl2br w:val="nil"/>
                    <w:tr2bl w:val="nil"/>
                  </w:tcBorders>
                  <w:noWrap w:val="0"/>
                  <w:vAlign w:val="center"/>
                </w:tcPr>
                <w:p w14:paraId="083ACAB5">
                  <w:pPr>
                    <w:pStyle w:val="41"/>
                    <w:bidi w:val="0"/>
                    <w:rPr>
                      <w:rFonts w:hint="eastAsia"/>
                      <w:color w:val="auto"/>
                      <w:highlight w:val="none"/>
                      <w:lang w:val="en-US" w:eastAsia="zh-CN"/>
                    </w:rPr>
                  </w:pPr>
                  <w:r>
                    <w:rPr>
                      <w:rFonts w:hint="eastAsia"/>
                      <w:color w:val="auto"/>
                      <w:highlight w:val="none"/>
                      <w:lang w:val="en-US" w:eastAsia="zh-CN"/>
                    </w:rPr>
                    <w:t>7.6</w:t>
                  </w:r>
                </w:p>
                <w:p w14:paraId="0C570DA5">
                  <w:pPr>
                    <w:pStyle w:val="41"/>
                    <w:bidi w:val="0"/>
                    <w:rPr>
                      <w:rFonts w:hint="default"/>
                      <w:color w:val="auto"/>
                      <w:highlight w:val="none"/>
                      <w:lang w:val="en-US" w:eastAsia="zh-CN"/>
                    </w:rPr>
                  </w:pPr>
                  <w:r>
                    <w:rPr>
                      <w:rFonts w:hint="eastAsia"/>
                      <w:color w:val="auto"/>
                      <w:highlight w:val="none"/>
                      <w:lang w:val="en-US" w:eastAsia="zh-CN"/>
                    </w:rPr>
                    <w:t>(17.6℃)</w:t>
                  </w:r>
                </w:p>
              </w:tc>
              <w:tc>
                <w:tcPr>
                  <w:tcW w:w="575" w:type="pct"/>
                  <w:tcBorders>
                    <w:tl2br w:val="nil"/>
                    <w:tr2bl w:val="nil"/>
                  </w:tcBorders>
                  <w:noWrap w:val="0"/>
                  <w:vAlign w:val="center"/>
                </w:tcPr>
                <w:p w14:paraId="79B9E27E">
                  <w:pPr>
                    <w:pStyle w:val="41"/>
                    <w:bidi w:val="0"/>
                    <w:rPr>
                      <w:rFonts w:hint="eastAsia"/>
                      <w:color w:val="auto"/>
                      <w:highlight w:val="none"/>
                      <w:lang w:val="en-US" w:eastAsia="zh-CN"/>
                    </w:rPr>
                  </w:pPr>
                  <w:r>
                    <w:rPr>
                      <w:rFonts w:hint="eastAsia"/>
                      <w:color w:val="auto"/>
                      <w:highlight w:val="none"/>
                      <w:lang w:val="en-US" w:eastAsia="zh-CN"/>
                    </w:rPr>
                    <w:t>7.4</w:t>
                  </w:r>
                </w:p>
                <w:p w14:paraId="34102BE8">
                  <w:pPr>
                    <w:pStyle w:val="41"/>
                    <w:bidi w:val="0"/>
                    <w:rPr>
                      <w:rFonts w:hint="default"/>
                      <w:color w:val="auto"/>
                      <w:highlight w:val="none"/>
                      <w:lang w:val="en-US" w:eastAsia="zh-CN"/>
                    </w:rPr>
                  </w:pPr>
                  <w:r>
                    <w:rPr>
                      <w:rFonts w:hint="eastAsia"/>
                      <w:color w:val="auto"/>
                      <w:highlight w:val="none"/>
                      <w:lang w:val="en-US" w:eastAsia="zh-CN"/>
                    </w:rPr>
                    <w:t>(18.8℃)</w:t>
                  </w:r>
                </w:p>
              </w:tc>
              <w:tc>
                <w:tcPr>
                  <w:tcW w:w="575" w:type="pct"/>
                  <w:tcBorders>
                    <w:tl2br w:val="nil"/>
                    <w:tr2bl w:val="nil"/>
                  </w:tcBorders>
                  <w:noWrap w:val="0"/>
                  <w:vAlign w:val="center"/>
                </w:tcPr>
                <w:p w14:paraId="2E405F58">
                  <w:pPr>
                    <w:pStyle w:val="41"/>
                    <w:bidi w:val="0"/>
                    <w:rPr>
                      <w:rFonts w:hint="eastAsia"/>
                      <w:color w:val="auto"/>
                      <w:highlight w:val="none"/>
                      <w:lang w:val="en-US" w:eastAsia="zh-CN"/>
                    </w:rPr>
                  </w:pPr>
                  <w:r>
                    <w:rPr>
                      <w:rFonts w:hint="eastAsia"/>
                      <w:color w:val="auto"/>
                      <w:highlight w:val="none"/>
                      <w:lang w:val="en-US" w:eastAsia="zh-CN"/>
                    </w:rPr>
                    <w:t>7.6</w:t>
                  </w:r>
                </w:p>
                <w:p w14:paraId="3BFAE1F3">
                  <w:pPr>
                    <w:pStyle w:val="41"/>
                    <w:bidi w:val="0"/>
                    <w:rPr>
                      <w:rFonts w:hint="default"/>
                      <w:color w:val="auto"/>
                      <w:highlight w:val="none"/>
                      <w:lang w:val="en-US" w:eastAsia="zh-CN"/>
                    </w:rPr>
                  </w:pPr>
                  <w:r>
                    <w:rPr>
                      <w:rFonts w:hint="eastAsia"/>
                      <w:color w:val="auto"/>
                      <w:highlight w:val="none"/>
                      <w:lang w:val="en-US" w:eastAsia="zh-CN"/>
                    </w:rPr>
                    <w:t>(19.2℃)</w:t>
                  </w:r>
                </w:p>
              </w:tc>
              <w:tc>
                <w:tcPr>
                  <w:tcW w:w="427" w:type="pct"/>
                  <w:tcBorders>
                    <w:tl2br w:val="nil"/>
                    <w:tr2bl w:val="nil"/>
                  </w:tcBorders>
                  <w:noWrap w:val="0"/>
                  <w:vAlign w:val="center"/>
                </w:tcPr>
                <w:p w14:paraId="1F99FD71">
                  <w:pPr>
                    <w:pStyle w:val="41"/>
                    <w:bidi w:val="0"/>
                    <w:rPr>
                      <w:rFonts w:hint="default"/>
                      <w:color w:val="auto"/>
                      <w:highlight w:val="none"/>
                      <w:lang w:val="en-US" w:eastAsia="zh-CN"/>
                    </w:rPr>
                  </w:pPr>
                  <w:r>
                    <w:rPr>
                      <w:rFonts w:hint="eastAsia"/>
                      <w:color w:val="auto"/>
                      <w:highlight w:val="none"/>
                      <w:lang w:val="en-US" w:eastAsia="zh-CN"/>
                    </w:rPr>
                    <w:t>7.5</w:t>
                  </w:r>
                </w:p>
              </w:tc>
              <w:tc>
                <w:tcPr>
                  <w:tcW w:w="311" w:type="pct"/>
                  <w:tcBorders>
                    <w:tl2br w:val="nil"/>
                    <w:tr2bl w:val="nil"/>
                  </w:tcBorders>
                  <w:noWrap w:val="0"/>
                  <w:vAlign w:val="center"/>
                </w:tcPr>
                <w:p w14:paraId="3A2DACEF">
                  <w:pPr>
                    <w:pStyle w:val="41"/>
                    <w:bidi w:val="0"/>
                    <w:ind w:firstLine="0" w:firstLineChars="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rPr>
                    <w:t>6-9</w:t>
                  </w:r>
                </w:p>
              </w:tc>
            </w:tr>
            <w:tr w14:paraId="3D324A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continue"/>
                  <w:tcBorders>
                    <w:tl2br w:val="nil"/>
                    <w:tr2bl w:val="nil"/>
                  </w:tcBorders>
                  <w:noWrap w:val="0"/>
                  <w:vAlign w:val="center"/>
                </w:tcPr>
                <w:p w14:paraId="656D0D40">
                  <w:pPr>
                    <w:pStyle w:val="41"/>
                    <w:bidi w:val="0"/>
                    <w:rPr>
                      <w:rFonts w:hint="default"/>
                      <w:color w:val="auto"/>
                      <w:highlight w:val="none"/>
                    </w:rPr>
                  </w:pPr>
                </w:p>
              </w:tc>
              <w:tc>
                <w:tcPr>
                  <w:tcW w:w="475" w:type="pct"/>
                  <w:vMerge w:val="continue"/>
                  <w:tcBorders>
                    <w:tl2br w:val="nil"/>
                    <w:tr2bl w:val="nil"/>
                  </w:tcBorders>
                  <w:noWrap w:val="0"/>
                  <w:vAlign w:val="center"/>
                </w:tcPr>
                <w:p w14:paraId="42E7B3D1">
                  <w:pPr>
                    <w:pStyle w:val="41"/>
                    <w:bidi w:val="0"/>
                    <w:rPr>
                      <w:rFonts w:hint="default"/>
                      <w:color w:val="auto"/>
                      <w:highlight w:val="none"/>
                    </w:rPr>
                  </w:pPr>
                </w:p>
              </w:tc>
              <w:tc>
                <w:tcPr>
                  <w:tcW w:w="641" w:type="pct"/>
                  <w:tcBorders>
                    <w:tl2br w:val="nil"/>
                    <w:tr2bl w:val="nil"/>
                  </w:tcBorders>
                  <w:noWrap w:val="0"/>
                  <w:vAlign w:val="center"/>
                </w:tcPr>
                <w:p w14:paraId="7CBCE655">
                  <w:pPr>
                    <w:pStyle w:val="41"/>
                    <w:bidi w:val="0"/>
                    <w:rPr>
                      <w:rFonts w:hint="default"/>
                      <w:color w:val="auto"/>
                      <w:highlight w:val="none"/>
                      <w:lang w:val="en-US" w:eastAsia="zh-CN"/>
                    </w:rPr>
                  </w:pPr>
                  <w:r>
                    <w:rPr>
                      <w:rFonts w:hint="default"/>
                      <w:color w:val="auto"/>
                      <w:highlight w:val="none"/>
                      <w:lang w:eastAsia="zh-CN"/>
                    </w:rPr>
                    <w:t>化学需氧量</w:t>
                  </w:r>
                </w:p>
              </w:tc>
              <w:tc>
                <w:tcPr>
                  <w:tcW w:w="413" w:type="pct"/>
                  <w:tcBorders>
                    <w:tl2br w:val="nil"/>
                    <w:tr2bl w:val="nil"/>
                  </w:tcBorders>
                  <w:noWrap w:val="0"/>
                  <w:vAlign w:val="center"/>
                </w:tcPr>
                <w:p w14:paraId="0ADB6AE3">
                  <w:pPr>
                    <w:pStyle w:val="41"/>
                    <w:bidi w:val="0"/>
                    <w:rPr>
                      <w:rFonts w:hint="default"/>
                      <w:color w:val="auto"/>
                      <w:highlight w:val="none"/>
                      <w:lang w:val="en-US" w:eastAsia="zh-CN"/>
                    </w:rPr>
                  </w:pPr>
                  <w:r>
                    <w:rPr>
                      <w:rFonts w:hint="default"/>
                      <w:color w:val="auto"/>
                      <w:highlight w:val="none"/>
                    </w:rPr>
                    <w:t>mg/L</w:t>
                  </w:r>
                </w:p>
              </w:tc>
              <w:tc>
                <w:tcPr>
                  <w:tcW w:w="575" w:type="pct"/>
                  <w:tcBorders>
                    <w:tl2br w:val="nil"/>
                    <w:tr2bl w:val="nil"/>
                  </w:tcBorders>
                  <w:noWrap w:val="0"/>
                  <w:vAlign w:val="center"/>
                </w:tcPr>
                <w:p w14:paraId="772B1508">
                  <w:pPr>
                    <w:pStyle w:val="41"/>
                    <w:bidi w:val="0"/>
                    <w:rPr>
                      <w:rFonts w:hint="default"/>
                      <w:color w:val="auto"/>
                      <w:highlight w:val="none"/>
                      <w:lang w:val="en-US" w:eastAsia="zh-CN"/>
                    </w:rPr>
                  </w:pPr>
                  <w:r>
                    <w:rPr>
                      <w:rFonts w:hint="eastAsia"/>
                      <w:color w:val="auto"/>
                      <w:highlight w:val="none"/>
                      <w:lang w:val="en-US" w:eastAsia="zh-CN"/>
                    </w:rPr>
                    <w:t>47</w:t>
                  </w:r>
                </w:p>
              </w:tc>
              <w:tc>
                <w:tcPr>
                  <w:tcW w:w="575" w:type="pct"/>
                  <w:tcBorders>
                    <w:tl2br w:val="nil"/>
                    <w:tr2bl w:val="nil"/>
                  </w:tcBorders>
                  <w:noWrap w:val="0"/>
                  <w:vAlign w:val="center"/>
                </w:tcPr>
                <w:p w14:paraId="0D26280B">
                  <w:pPr>
                    <w:pStyle w:val="41"/>
                    <w:bidi w:val="0"/>
                    <w:rPr>
                      <w:rFonts w:hint="default"/>
                      <w:color w:val="auto"/>
                      <w:highlight w:val="none"/>
                      <w:lang w:val="en-US" w:eastAsia="zh-CN"/>
                    </w:rPr>
                  </w:pPr>
                  <w:r>
                    <w:rPr>
                      <w:rFonts w:hint="eastAsia"/>
                      <w:color w:val="auto"/>
                      <w:highlight w:val="none"/>
                      <w:lang w:val="en-US" w:eastAsia="zh-CN"/>
                    </w:rPr>
                    <w:t>45</w:t>
                  </w:r>
                </w:p>
              </w:tc>
              <w:tc>
                <w:tcPr>
                  <w:tcW w:w="575" w:type="pct"/>
                  <w:tcBorders>
                    <w:tl2br w:val="nil"/>
                    <w:tr2bl w:val="nil"/>
                  </w:tcBorders>
                  <w:noWrap w:val="0"/>
                  <w:vAlign w:val="center"/>
                </w:tcPr>
                <w:p w14:paraId="0C136C64">
                  <w:pPr>
                    <w:pStyle w:val="41"/>
                    <w:bidi w:val="0"/>
                    <w:rPr>
                      <w:rFonts w:hint="default"/>
                      <w:color w:val="auto"/>
                      <w:highlight w:val="none"/>
                      <w:lang w:val="en-US" w:eastAsia="zh-CN"/>
                    </w:rPr>
                  </w:pPr>
                  <w:r>
                    <w:rPr>
                      <w:rFonts w:hint="eastAsia"/>
                      <w:color w:val="auto"/>
                      <w:highlight w:val="none"/>
                      <w:lang w:val="en-US" w:eastAsia="zh-CN"/>
                    </w:rPr>
                    <w:t>46</w:t>
                  </w:r>
                </w:p>
              </w:tc>
              <w:tc>
                <w:tcPr>
                  <w:tcW w:w="575" w:type="pct"/>
                  <w:tcBorders>
                    <w:tl2br w:val="nil"/>
                    <w:tr2bl w:val="nil"/>
                  </w:tcBorders>
                  <w:noWrap w:val="0"/>
                  <w:vAlign w:val="center"/>
                </w:tcPr>
                <w:p w14:paraId="7D659EFE">
                  <w:pPr>
                    <w:pStyle w:val="41"/>
                    <w:bidi w:val="0"/>
                    <w:rPr>
                      <w:rFonts w:hint="default"/>
                      <w:color w:val="auto"/>
                      <w:highlight w:val="none"/>
                      <w:lang w:val="en-US" w:eastAsia="zh-CN"/>
                    </w:rPr>
                  </w:pPr>
                  <w:r>
                    <w:rPr>
                      <w:rFonts w:hint="eastAsia"/>
                      <w:color w:val="auto"/>
                      <w:highlight w:val="none"/>
                      <w:lang w:val="en-US" w:eastAsia="zh-CN"/>
                    </w:rPr>
                    <w:t>46</w:t>
                  </w:r>
                </w:p>
              </w:tc>
              <w:tc>
                <w:tcPr>
                  <w:tcW w:w="427" w:type="pct"/>
                  <w:tcBorders>
                    <w:tl2br w:val="nil"/>
                    <w:tr2bl w:val="nil"/>
                  </w:tcBorders>
                  <w:noWrap w:val="0"/>
                  <w:vAlign w:val="center"/>
                </w:tcPr>
                <w:p w14:paraId="79E38924">
                  <w:pPr>
                    <w:pStyle w:val="41"/>
                    <w:bidi w:val="0"/>
                    <w:jc w:val="center"/>
                    <w:rPr>
                      <w:rFonts w:hint="default" w:eastAsia="宋体"/>
                      <w:color w:val="auto"/>
                      <w:highlight w:val="none"/>
                      <w:lang w:val="en-US" w:eastAsia="zh-CN"/>
                    </w:rPr>
                  </w:pPr>
                  <w:r>
                    <w:rPr>
                      <w:rFonts w:hint="eastAsia"/>
                      <w:color w:val="auto"/>
                      <w:highlight w:val="none"/>
                      <w:lang w:val="en-US" w:eastAsia="zh-CN"/>
                    </w:rPr>
                    <w:t>46</w:t>
                  </w:r>
                </w:p>
              </w:tc>
              <w:tc>
                <w:tcPr>
                  <w:tcW w:w="311" w:type="pct"/>
                  <w:tcBorders>
                    <w:tl2br w:val="nil"/>
                    <w:tr2bl w:val="nil"/>
                  </w:tcBorders>
                  <w:noWrap w:val="0"/>
                  <w:vAlign w:val="center"/>
                </w:tcPr>
                <w:p w14:paraId="7F5A4042">
                  <w:pPr>
                    <w:pStyle w:val="41"/>
                    <w:bidi w:val="0"/>
                    <w:ind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60</w:t>
                  </w:r>
                </w:p>
              </w:tc>
            </w:tr>
            <w:tr w14:paraId="5460FD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continue"/>
                  <w:tcBorders>
                    <w:tl2br w:val="nil"/>
                    <w:tr2bl w:val="nil"/>
                  </w:tcBorders>
                  <w:noWrap w:val="0"/>
                  <w:vAlign w:val="center"/>
                </w:tcPr>
                <w:p w14:paraId="42B50939">
                  <w:pPr>
                    <w:pStyle w:val="41"/>
                    <w:bidi w:val="0"/>
                    <w:rPr>
                      <w:rFonts w:hint="default"/>
                      <w:color w:val="auto"/>
                      <w:highlight w:val="none"/>
                    </w:rPr>
                  </w:pPr>
                </w:p>
              </w:tc>
              <w:tc>
                <w:tcPr>
                  <w:tcW w:w="475" w:type="pct"/>
                  <w:vMerge w:val="continue"/>
                  <w:tcBorders>
                    <w:tl2br w:val="nil"/>
                    <w:tr2bl w:val="nil"/>
                  </w:tcBorders>
                  <w:noWrap w:val="0"/>
                  <w:vAlign w:val="center"/>
                </w:tcPr>
                <w:p w14:paraId="69BEF0E3">
                  <w:pPr>
                    <w:pStyle w:val="41"/>
                    <w:bidi w:val="0"/>
                    <w:rPr>
                      <w:rFonts w:hint="default"/>
                      <w:color w:val="auto"/>
                      <w:highlight w:val="none"/>
                    </w:rPr>
                  </w:pPr>
                </w:p>
              </w:tc>
              <w:tc>
                <w:tcPr>
                  <w:tcW w:w="641" w:type="pct"/>
                  <w:tcBorders>
                    <w:tl2br w:val="nil"/>
                    <w:tr2bl w:val="nil"/>
                  </w:tcBorders>
                  <w:noWrap w:val="0"/>
                  <w:vAlign w:val="center"/>
                </w:tcPr>
                <w:p w14:paraId="57A25E47">
                  <w:pPr>
                    <w:pStyle w:val="41"/>
                    <w:bidi w:val="0"/>
                    <w:rPr>
                      <w:rFonts w:hint="default"/>
                      <w:color w:val="auto"/>
                      <w:highlight w:val="none"/>
                      <w:lang w:val="en-US" w:eastAsia="zh-CN"/>
                    </w:rPr>
                  </w:pPr>
                  <w:r>
                    <w:rPr>
                      <w:rFonts w:hint="eastAsia"/>
                      <w:color w:val="auto"/>
                      <w:highlight w:val="none"/>
                      <w:lang w:val="en-US" w:eastAsia="zh-CN"/>
                    </w:rPr>
                    <w:t>五日生化需氧量</w:t>
                  </w:r>
                </w:p>
              </w:tc>
              <w:tc>
                <w:tcPr>
                  <w:tcW w:w="413" w:type="pct"/>
                  <w:tcBorders>
                    <w:tl2br w:val="nil"/>
                    <w:tr2bl w:val="nil"/>
                  </w:tcBorders>
                  <w:noWrap w:val="0"/>
                  <w:vAlign w:val="center"/>
                </w:tcPr>
                <w:p w14:paraId="09EFBD99">
                  <w:pPr>
                    <w:pStyle w:val="41"/>
                    <w:bidi w:val="0"/>
                    <w:rPr>
                      <w:rFonts w:hint="default"/>
                      <w:color w:val="auto"/>
                      <w:highlight w:val="none"/>
                      <w:lang w:val="en-US" w:eastAsia="zh-CN"/>
                    </w:rPr>
                  </w:pPr>
                  <w:r>
                    <w:rPr>
                      <w:rFonts w:hint="default"/>
                      <w:color w:val="auto"/>
                      <w:highlight w:val="none"/>
                    </w:rPr>
                    <w:t>mg/L</w:t>
                  </w:r>
                </w:p>
              </w:tc>
              <w:tc>
                <w:tcPr>
                  <w:tcW w:w="575" w:type="pct"/>
                  <w:tcBorders>
                    <w:tl2br w:val="nil"/>
                    <w:tr2bl w:val="nil"/>
                  </w:tcBorders>
                  <w:noWrap w:val="0"/>
                  <w:vAlign w:val="center"/>
                </w:tcPr>
                <w:p w14:paraId="130903D4">
                  <w:pPr>
                    <w:pStyle w:val="41"/>
                    <w:bidi w:val="0"/>
                    <w:rPr>
                      <w:rFonts w:hint="default"/>
                      <w:color w:val="auto"/>
                      <w:highlight w:val="none"/>
                      <w:lang w:val="en-US" w:eastAsia="zh-CN"/>
                    </w:rPr>
                  </w:pPr>
                  <w:r>
                    <w:rPr>
                      <w:rFonts w:hint="eastAsia"/>
                      <w:color w:val="auto"/>
                      <w:highlight w:val="none"/>
                      <w:lang w:val="en-US" w:eastAsia="zh-CN"/>
                    </w:rPr>
                    <w:t>14.1</w:t>
                  </w:r>
                </w:p>
              </w:tc>
              <w:tc>
                <w:tcPr>
                  <w:tcW w:w="575" w:type="pct"/>
                  <w:tcBorders>
                    <w:tl2br w:val="nil"/>
                    <w:tr2bl w:val="nil"/>
                  </w:tcBorders>
                  <w:noWrap w:val="0"/>
                  <w:vAlign w:val="center"/>
                </w:tcPr>
                <w:p w14:paraId="4242D769">
                  <w:pPr>
                    <w:pStyle w:val="41"/>
                    <w:bidi w:val="0"/>
                    <w:rPr>
                      <w:rFonts w:hint="default"/>
                      <w:color w:val="auto"/>
                      <w:highlight w:val="none"/>
                      <w:lang w:val="en-US" w:eastAsia="zh-CN"/>
                    </w:rPr>
                  </w:pPr>
                  <w:r>
                    <w:rPr>
                      <w:rFonts w:hint="eastAsia"/>
                      <w:color w:val="auto"/>
                      <w:highlight w:val="none"/>
                      <w:lang w:val="en-US" w:eastAsia="zh-CN"/>
                    </w:rPr>
                    <w:t>13.8</w:t>
                  </w:r>
                </w:p>
              </w:tc>
              <w:tc>
                <w:tcPr>
                  <w:tcW w:w="575" w:type="pct"/>
                  <w:tcBorders>
                    <w:tl2br w:val="nil"/>
                    <w:tr2bl w:val="nil"/>
                  </w:tcBorders>
                  <w:noWrap w:val="0"/>
                  <w:vAlign w:val="center"/>
                </w:tcPr>
                <w:p w14:paraId="55E1CEC8">
                  <w:pPr>
                    <w:pStyle w:val="41"/>
                    <w:bidi w:val="0"/>
                    <w:rPr>
                      <w:rFonts w:hint="default"/>
                      <w:color w:val="auto"/>
                      <w:highlight w:val="none"/>
                      <w:lang w:val="en-US" w:eastAsia="zh-CN"/>
                    </w:rPr>
                  </w:pPr>
                  <w:r>
                    <w:rPr>
                      <w:rFonts w:hint="eastAsia"/>
                      <w:color w:val="auto"/>
                      <w:highlight w:val="none"/>
                      <w:lang w:val="en-US" w:eastAsia="zh-CN"/>
                    </w:rPr>
                    <w:t>13.6</w:t>
                  </w:r>
                </w:p>
              </w:tc>
              <w:tc>
                <w:tcPr>
                  <w:tcW w:w="575" w:type="pct"/>
                  <w:tcBorders>
                    <w:tl2br w:val="nil"/>
                    <w:tr2bl w:val="nil"/>
                  </w:tcBorders>
                  <w:noWrap w:val="0"/>
                  <w:vAlign w:val="center"/>
                </w:tcPr>
                <w:p w14:paraId="4415BE95">
                  <w:pPr>
                    <w:pStyle w:val="41"/>
                    <w:bidi w:val="0"/>
                    <w:rPr>
                      <w:rFonts w:hint="default"/>
                      <w:color w:val="auto"/>
                      <w:highlight w:val="none"/>
                      <w:lang w:val="en-US" w:eastAsia="zh-CN"/>
                    </w:rPr>
                  </w:pPr>
                  <w:r>
                    <w:rPr>
                      <w:rFonts w:hint="eastAsia"/>
                      <w:color w:val="auto"/>
                      <w:highlight w:val="none"/>
                      <w:lang w:val="en-US" w:eastAsia="zh-CN"/>
                    </w:rPr>
                    <w:t>13.9</w:t>
                  </w:r>
                </w:p>
              </w:tc>
              <w:tc>
                <w:tcPr>
                  <w:tcW w:w="427" w:type="pct"/>
                  <w:tcBorders>
                    <w:tl2br w:val="nil"/>
                    <w:tr2bl w:val="nil"/>
                  </w:tcBorders>
                  <w:noWrap w:val="0"/>
                  <w:vAlign w:val="center"/>
                </w:tcPr>
                <w:p w14:paraId="1BF82243">
                  <w:pPr>
                    <w:pStyle w:val="41"/>
                    <w:bidi w:val="0"/>
                    <w:jc w:val="center"/>
                    <w:rPr>
                      <w:rFonts w:hint="default" w:eastAsia="宋体"/>
                      <w:color w:val="auto"/>
                      <w:highlight w:val="none"/>
                      <w:lang w:val="en-US" w:eastAsia="zh-CN"/>
                    </w:rPr>
                  </w:pPr>
                  <w:r>
                    <w:rPr>
                      <w:rFonts w:hint="eastAsia"/>
                      <w:color w:val="auto"/>
                      <w:highlight w:val="none"/>
                      <w:lang w:val="en-US" w:eastAsia="zh-CN"/>
                    </w:rPr>
                    <w:t>13.85</w:t>
                  </w:r>
                </w:p>
              </w:tc>
              <w:tc>
                <w:tcPr>
                  <w:tcW w:w="311" w:type="pct"/>
                  <w:tcBorders>
                    <w:tl2br w:val="nil"/>
                    <w:tr2bl w:val="nil"/>
                  </w:tcBorders>
                  <w:noWrap w:val="0"/>
                  <w:vAlign w:val="center"/>
                </w:tcPr>
                <w:p w14:paraId="08A59409">
                  <w:pPr>
                    <w:pStyle w:val="41"/>
                    <w:bidi w:val="0"/>
                    <w:ind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15</w:t>
                  </w:r>
                </w:p>
              </w:tc>
            </w:tr>
            <w:tr w14:paraId="306E13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continue"/>
                  <w:tcBorders>
                    <w:tl2br w:val="nil"/>
                    <w:tr2bl w:val="nil"/>
                  </w:tcBorders>
                  <w:noWrap w:val="0"/>
                  <w:vAlign w:val="center"/>
                </w:tcPr>
                <w:p w14:paraId="5EF1C0D0">
                  <w:pPr>
                    <w:pStyle w:val="41"/>
                    <w:bidi w:val="0"/>
                    <w:rPr>
                      <w:rFonts w:hint="default"/>
                      <w:color w:val="auto"/>
                      <w:highlight w:val="none"/>
                    </w:rPr>
                  </w:pPr>
                </w:p>
              </w:tc>
              <w:tc>
                <w:tcPr>
                  <w:tcW w:w="475" w:type="pct"/>
                  <w:vMerge w:val="continue"/>
                  <w:tcBorders>
                    <w:tl2br w:val="nil"/>
                    <w:tr2bl w:val="nil"/>
                  </w:tcBorders>
                  <w:noWrap w:val="0"/>
                  <w:vAlign w:val="center"/>
                </w:tcPr>
                <w:p w14:paraId="07E50BF1">
                  <w:pPr>
                    <w:pStyle w:val="41"/>
                    <w:bidi w:val="0"/>
                    <w:rPr>
                      <w:rFonts w:hint="default"/>
                      <w:color w:val="auto"/>
                      <w:highlight w:val="none"/>
                    </w:rPr>
                  </w:pPr>
                </w:p>
              </w:tc>
              <w:tc>
                <w:tcPr>
                  <w:tcW w:w="641" w:type="pct"/>
                  <w:tcBorders>
                    <w:tl2br w:val="nil"/>
                    <w:tr2bl w:val="nil"/>
                  </w:tcBorders>
                  <w:noWrap w:val="0"/>
                  <w:vAlign w:val="center"/>
                </w:tcPr>
                <w:p w14:paraId="2BA7B226">
                  <w:pPr>
                    <w:pStyle w:val="41"/>
                    <w:bidi w:val="0"/>
                    <w:rPr>
                      <w:rFonts w:hint="default"/>
                      <w:color w:val="auto"/>
                      <w:highlight w:val="none"/>
                      <w:lang w:val="en-US" w:eastAsia="zh-CN"/>
                    </w:rPr>
                  </w:pPr>
                  <w:r>
                    <w:rPr>
                      <w:rFonts w:hint="default"/>
                      <w:color w:val="auto"/>
                      <w:highlight w:val="none"/>
                    </w:rPr>
                    <w:t>悬浮物</w:t>
                  </w:r>
                </w:p>
              </w:tc>
              <w:tc>
                <w:tcPr>
                  <w:tcW w:w="413" w:type="pct"/>
                  <w:tcBorders>
                    <w:tl2br w:val="nil"/>
                    <w:tr2bl w:val="nil"/>
                  </w:tcBorders>
                  <w:noWrap w:val="0"/>
                  <w:vAlign w:val="center"/>
                </w:tcPr>
                <w:p w14:paraId="57769483">
                  <w:pPr>
                    <w:pStyle w:val="41"/>
                    <w:bidi w:val="0"/>
                    <w:rPr>
                      <w:rFonts w:hint="default"/>
                      <w:color w:val="auto"/>
                      <w:highlight w:val="none"/>
                      <w:lang w:val="en-US" w:eastAsia="zh-CN"/>
                    </w:rPr>
                  </w:pPr>
                  <w:r>
                    <w:rPr>
                      <w:rFonts w:hint="default"/>
                      <w:color w:val="auto"/>
                      <w:highlight w:val="none"/>
                    </w:rPr>
                    <w:t>mg/L</w:t>
                  </w:r>
                </w:p>
              </w:tc>
              <w:tc>
                <w:tcPr>
                  <w:tcW w:w="575" w:type="pct"/>
                  <w:tcBorders>
                    <w:tl2br w:val="nil"/>
                    <w:tr2bl w:val="nil"/>
                  </w:tcBorders>
                  <w:noWrap w:val="0"/>
                  <w:vAlign w:val="center"/>
                </w:tcPr>
                <w:p w14:paraId="57F573F0">
                  <w:pPr>
                    <w:pStyle w:val="41"/>
                    <w:bidi w:val="0"/>
                    <w:rPr>
                      <w:rFonts w:hint="default"/>
                      <w:color w:val="auto"/>
                      <w:highlight w:val="none"/>
                      <w:lang w:val="en-US" w:eastAsia="zh-CN"/>
                    </w:rPr>
                  </w:pPr>
                  <w:r>
                    <w:rPr>
                      <w:rFonts w:hint="eastAsia"/>
                      <w:color w:val="auto"/>
                      <w:highlight w:val="none"/>
                      <w:lang w:val="en-US" w:eastAsia="zh-CN"/>
                    </w:rPr>
                    <w:t>27</w:t>
                  </w:r>
                </w:p>
              </w:tc>
              <w:tc>
                <w:tcPr>
                  <w:tcW w:w="575" w:type="pct"/>
                  <w:tcBorders>
                    <w:tl2br w:val="nil"/>
                    <w:tr2bl w:val="nil"/>
                  </w:tcBorders>
                  <w:noWrap w:val="0"/>
                  <w:vAlign w:val="center"/>
                </w:tcPr>
                <w:p w14:paraId="734E6CD4">
                  <w:pPr>
                    <w:pStyle w:val="41"/>
                    <w:bidi w:val="0"/>
                    <w:rPr>
                      <w:rFonts w:hint="default"/>
                      <w:color w:val="auto"/>
                      <w:highlight w:val="none"/>
                      <w:lang w:val="en-US" w:eastAsia="zh-CN"/>
                    </w:rPr>
                  </w:pPr>
                  <w:r>
                    <w:rPr>
                      <w:rFonts w:hint="eastAsia"/>
                      <w:color w:val="auto"/>
                      <w:highlight w:val="none"/>
                      <w:lang w:val="en-US" w:eastAsia="zh-CN"/>
                    </w:rPr>
                    <w:t>29</w:t>
                  </w:r>
                </w:p>
              </w:tc>
              <w:tc>
                <w:tcPr>
                  <w:tcW w:w="575" w:type="pct"/>
                  <w:tcBorders>
                    <w:tl2br w:val="nil"/>
                    <w:tr2bl w:val="nil"/>
                  </w:tcBorders>
                  <w:noWrap w:val="0"/>
                  <w:vAlign w:val="center"/>
                </w:tcPr>
                <w:p w14:paraId="5F166065">
                  <w:pPr>
                    <w:pStyle w:val="41"/>
                    <w:bidi w:val="0"/>
                    <w:rPr>
                      <w:rFonts w:hint="default"/>
                      <w:color w:val="auto"/>
                      <w:highlight w:val="none"/>
                      <w:lang w:val="en-US" w:eastAsia="zh-CN"/>
                    </w:rPr>
                  </w:pPr>
                  <w:r>
                    <w:rPr>
                      <w:rFonts w:hint="eastAsia"/>
                      <w:color w:val="auto"/>
                      <w:highlight w:val="none"/>
                      <w:lang w:val="en-US" w:eastAsia="zh-CN"/>
                    </w:rPr>
                    <w:t>25</w:t>
                  </w:r>
                </w:p>
              </w:tc>
              <w:tc>
                <w:tcPr>
                  <w:tcW w:w="575" w:type="pct"/>
                  <w:tcBorders>
                    <w:tl2br w:val="nil"/>
                    <w:tr2bl w:val="nil"/>
                  </w:tcBorders>
                  <w:noWrap w:val="0"/>
                  <w:vAlign w:val="center"/>
                </w:tcPr>
                <w:p w14:paraId="7CF7FE12">
                  <w:pPr>
                    <w:pStyle w:val="41"/>
                    <w:bidi w:val="0"/>
                    <w:rPr>
                      <w:rFonts w:hint="default"/>
                      <w:color w:val="auto"/>
                      <w:highlight w:val="none"/>
                      <w:lang w:val="en-US" w:eastAsia="zh-CN"/>
                    </w:rPr>
                  </w:pPr>
                  <w:r>
                    <w:rPr>
                      <w:rFonts w:hint="eastAsia"/>
                      <w:color w:val="auto"/>
                      <w:highlight w:val="none"/>
                      <w:lang w:val="en-US" w:eastAsia="zh-CN"/>
                    </w:rPr>
                    <w:t>29</w:t>
                  </w:r>
                </w:p>
              </w:tc>
              <w:tc>
                <w:tcPr>
                  <w:tcW w:w="427" w:type="pct"/>
                  <w:tcBorders>
                    <w:tl2br w:val="nil"/>
                    <w:tr2bl w:val="nil"/>
                  </w:tcBorders>
                  <w:noWrap w:val="0"/>
                  <w:vAlign w:val="center"/>
                </w:tcPr>
                <w:p w14:paraId="4D9B25D0">
                  <w:pPr>
                    <w:pStyle w:val="41"/>
                    <w:bidi w:val="0"/>
                    <w:jc w:val="center"/>
                    <w:rPr>
                      <w:rFonts w:hint="eastAsia"/>
                      <w:color w:val="auto"/>
                      <w:highlight w:val="none"/>
                      <w:lang w:val="en-US" w:eastAsia="zh-CN"/>
                    </w:rPr>
                  </w:pPr>
                  <w:r>
                    <w:rPr>
                      <w:rFonts w:hint="eastAsia"/>
                      <w:color w:val="auto"/>
                      <w:highlight w:val="none"/>
                    </w:rPr>
                    <w:t>27.5</w:t>
                  </w:r>
                </w:p>
              </w:tc>
              <w:tc>
                <w:tcPr>
                  <w:tcW w:w="311" w:type="pct"/>
                  <w:tcBorders>
                    <w:tl2br w:val="nil"/>
                    <w:tr2bl w:val="nil"/>
                  </w:tcBorders>
                  <w:noWrap w:val="0"/>
                  <w:vAlign w:val="center"/>
                </w:tcPr>
                <w:p w14:paraId="61D9E3B0">
                  <w:pPr>
                    <w:pStyle w:val="41"/>
                    <w:bidi w:val="0"/>
                    <w:ind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50</w:t>
                  </w:r>
                </w:p>
              </w:tc>
            </w:tr>
            <w:tr w14:paraId="4FEA93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continue"/>
                  <w:tcBorders>
                    <w:tl2br w:val="nil"/>
                    <w:tr2bl w:val="nil"/>
                  </w:tcBorders>
                  <w:noWrap w:val="0"/>
                  <w:vAlign w:val="center"/>
                </w:tcPr>
                <w:p w14:paraId="3CA05CD4">
                  <w:pPr>
                    <w:pStyle w:val="41"/>
                    <w:bidi w:val="0"/>
                    <w:rPr>
                      <w:rFonts w:hint="default"/>
                      <w:color w:val="auto"/>
                      <w:highlight w:val="none"/>
                    </w:rPr>
                  </w:pPr>
                </w:p>
              </w:tc>
              <w:tc>
                <w:tcPr>
                  <w:tcW w:w="475" w:type="pct"/>
                  <w:vMerge w:val="continue"/>
                  <w:tcBorders>
                    <w:tl2br w:val="nil"/>
                    <w:tr2bl w:val="nil"/>
                  </w:tcBorders>
                  <w:noWrap w:val="0"/>
                  <w:vAlign w:val="center"/>
                </w:tcPr>
                <w:p w14:paraId="5E1A3764">
                  <w:pPr>
                    <w:pStyle w:val="41"/>
                    <w:bidi w:val="0"/>
                    <w:rPr>
                      <w:rFonts w:hint="default"/>
                      <w:color w:val="auto"/>
                      <w:highlight w:val="none"/>
                    </w:rPr>
                  </w:pPr>
                </w:p>
              </w:tc>
              <w:tc>
                <w:tcPr>
                  <w:tcW w:w="641" w:type="pct"/>
                  <w:tcBorders>
                    <w:tl2br w:val="nil"/>
                    <w:tr2bl w:val="nil"/>
                  </w:tcBorders>
                  <w:noWrap w:val="0"/>
                  <w:vAlign w:val="center"/>
                </w:tcPr>
                <w:p w14:paraId="0B81FFE3">
                  <w:pPr>
                    <w:pStyle w:val="41"/>
                    <w:bidi w:val="0"/>
                    <w:rPr>
                      <w:rFonts w:hint="default"/>
                      <w:color w:val="auto"/>
                      <w:highlight w:val="none"/>
                      <w:lang w:val="en-US" w:eastAsia="zh-CN"/>
                    </w:rPr>
                  </w:pPr>
                  <w:r>
                    <w:rPr>
                      <w:rFonts w:hint="default"/>
                      <w:color w:val="auto"/>
                      <w:highlight w:val="none"/>
                      <w:lang w:eastAsia="zh-CN"/>
                    </w:rPr>
                    <w:t>氨氮</w:t>
                  </w:r>
                </w:p>
              </w:tc>
              <w:tc>
                <w:tcPr>
                  <w:tcW w:w="413" w:type="pct"/>
                  <w:tcBorders>
                    <w:tl2br w:val="nil"/>
                    <w:tr2bl w:val="nil"/>
                  </w:tcBorders>
                  <w:noWrap w:val="0"/>
                  <w:vAlign w:val="center"/>
                </w:tcPr>
                <w:p w14:paraId="1CAE94A0">
                  <w:pPr>
                    <w:pStyle w:val="41"/>
                    <w:bidi w:val="0"/>
                    <w:rPr>
                      <w:rFonts w:hint="default"/>
                      <w:color w:val="auto"/>
                      <w:highlight w:val="none"/>
                      <w:lang w:val="en-US" w:eastAsia="zh-CN"/>
                    </w:rPr>
                  </w:pPr>
                  <w:r>
                    <w:rPr>
                      <w:rFonts w:hint="default"/>
                      <w:color w:val="auto"/>
                      <w:highlight w:val="none"/>
                    </w:rPr>
                    <w:t>mg/L</w:t>
                  </w:r>
                </w:p>
              </w:tc>
              <w:tc>
                <w:tcPr>
                  <w:tcW w:w="575" w:type="pct"/>
                  <w:tcBorders>
                    <w:tl2br w:val="nil"/>
                    <w:tr2bl w:val="nil"/>
                  </w:tcBorders>
                  <w:noWrap w:val="0"/>
                  <w:vAlign w:val="center"/>
                </w:tcPr>
                <w:p w14:paraId="53523C9F">
                  <w:pPr>
                    <w:pStyle w:val="41"/>
                    <w:bidi w:val="0"/>
                    <w:rPr>
                      <w:rFonts w:hint="default"/>
                      <w:color w:val="auto"/>
                      <w:highlight w:val="none"/>
                      <w:lang w:val="en-US" w:eastAsia="zh-CN"/>
                    </w:rPr>
                  </w:pPr>
                  <w:r>
                    <w:rPr>
                      <w:rFonts w:hint="eastAsia"/>
                      <w:color w:val="auto"/>
                      <w:highlight w:val="none"/>
                      <w:lang w:val="en-US" w:eastAsia="zh-CN"/>
                    </w:rPr>
                    <w:t>2.81</w:t>
                  </w:r>
                </w:p>
              </w:tc>
              <w:tc>
                <w:tcPr>
                  <w:tcW w:w="575" w:type="pct"/>
                  <w:tcBorders>
                    <w:tl2br w:val="nil"/>
                    <w:tr2bl w:val="nil"/>
                  </w:tcBorders>
                  <w:noWrap w:val="0"/>
                  <w:vAlign w:val="center"/>
                </w:tcPr>
                <w:p w14:paraId="512DDDB3">
                  <w:pPr>
                    <w:pStyle w:val="41"/>
                    <w:bidi w:val="0"/>
                    <w:rPr>
                      <w:rFonts w:hint="default"/>
                      <w:color w:val="auto"/>
                      <w:highlight w:val="none"/>
                      <w:lang w:val="en-US" w:eastAsia="zh-CN"/>
                    </w:rPr>
                  </w:pPr>
                  <w:r>
                    <w:rPr>
                      <w:rFonts w:hint="eastAsia"/>
                      <w:color w:val="auto"/>
                      <w:highlight w:val="none"/>
                      <w:lang w:val="en-US" w:eastAsia="zh-CN"/>
                    </w:rPr>
                    <w:t>2.81</w:t>
                  </w:r>
                </w:p>
              </w:tc>
              <w:tc>
                <w:tcPr>
                  <w:tcW w:w="575" w:type="pct"/>
                  <w:tcBorders>
                    <w:tl2br w:val="nil"/>
                    <w:tr2bl w:val="nil"/>
                  </w:tcBorders>
                  <w:noWrap w:val="0"/>
                  <w:vAlign w:val="center"/>
                </w:tcPr>
                <w:p w14:paraId="2A7EEB40">
                  <w:pPr>
                    <w:pStyle w:val="41"/>
                    <w:bidi w:val="0"/>
                    <w:rPr>
                      <w:rFonts w:hint="default"/>
                      <w:color w:val="auto"/>
                      <w:highlight w:val="none"/>
                      <w:lang w:val="en-US" w:eastAsia="zh-CN"/>
                    </w:rPr>
                  </w:pPr>
                  <w:r>
                    <w:rPr>
                      <w:rFonts w:hint="eastAsia"/>
                      <w:color w:val="auto"/>
                      <w:highlight w:val="none"/>
                      <w:lang w:val="en-US" w:eastAsia="zh-CN"/>
                    </w:rPr>
                    <w:t>2.78</w:t>
                  </w:r>
                </w:p>
              </w:tc>
              <w:tc>
                <w:tcPr>
                  <w:tcW w:w="575" w:type="pct"/>
                  <w:tcBorders>
                    <w:tl2br w:val="nil"/>
                    <w:tr2bl w:val="nil"/>
                  </w:tcBorders>
                  <w:noWrap w:val="0"/>
                  <w:vAlign w:val="center"/>
                </w:tcPr>
                <w:p w14:paraId="6F6A9895">
                  <w:pPr>
                    <w:pStyle w:val="41"/>
                    <w:bidi w:val="0"/>
                    <w:rPr>
                      <w:rFonts w:hint="default"/>
                      <w:color w:val="auto"/>
                      <w:highlight w:val="none"/>
                      <w:lang w:val="en-US" w:eastAsia="zh-CN"/>
                    </w:rPr>
                  </w:pPr>
                  <w:r>
                    <w:rPr>
                      <w:rFonts w:hint="eastAsia"/>
                      <w:color w:val="auto"/>
                      <w:highlight w:val="none"/>
                      <w:lang w:val="en-US" w:eastAsia="zh-CN"/>
                    </w:rPr>
                    <w:t>2.83</w:t>
                  </w:r>
                </w:p>
              </w:tc>
              <w:tc>
                <w:tcPr>
                  <w:tcW w:w="427" w:type="pct"/>
                  <w:tcBorders>
                    <w:tl2br w:val="nil"/>
                    <w:tr2bl w:val="nil"/>
                  </w:tcBorders>
                  <w:noWrap w:val="0"/>
                  <w:vAlign w:val="center"/>
                </w:tcPr>
                <w:p w14:paraId="12A50185">
                  <w:pPr>
                    <w:pStyle w:val="41"/>
                    <w:bidi w:val="0"/>
                    <w:jc w:val="center"/>
                    <w:rPr>
                      <w:rFonts w:hint="eastAsia" w:eastAsia="宋体"/>
                      <w:color w:val="auto"/>
                      <w:highlight w:val="none"/>
                      <w:lang w:val="en-US" w:eastAsia="zh-CN"/>
                    </w:rPr>
                  </w:pPr>
                  <w:r>
                    <w:rPr>
                      <w:rFonts w:hint="eastAsia"/>
                      <w:color w:val="auto"/>
                      <w:highlight w:val="none"/>
                    </w:rPr>
                    <w:t>2.8</w:t>
                  </w:r>
                  <w:r>
                    <w:rPr>
                      <w:rFonts w:hint="eastAsia"/>
                      <w:color w:val="auto"/>
                      <w:highlight w:val="none"/>
                      <w:lang w:val="en-US" w:eastAsia="zh-CN"/>
                    </w:rPr>
                    <w:t>1</w:t>
                  </w:r>
                </w:p>
              </w:tc>
              <w:tc>
                <w:tcPr>
                  <w:tcW w:w="311" w:type="pct"/>
                  <w:tcBorders>
                    <w:tl2br w:val="nil"/>
                    <w:tr2bl w:val="nil"/>
                  </w:tcBorders>
                  <w:noWrap w:val="0"/>
                  <w:vAlign w:val="center"/>
                </w:tcPr>
                <w:p w14:paraId="79915E54">
                  <w:pPr>
                    <w:pStyle w:val="41"/>
                    <w:bidi w:val="0"/>
                    <w:ind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8</w:t>
                  </w:r>
                </w:p>
              </w:tc>
            </w:tr>
            <w:tr w14:paraId="764A5D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continue"/>
                  <w:tcBorders>
                    <w:tl2br w:val="nil"/>
                    <w:tr2bl w:val="nil"/>
                  </w:tcBorders>
                  <w:noWrap w:val="0"/>
                  <w:vAlign w:val="center"/>
                </w:tcPr>
                <w:p w14:paraId="08D9F20E">
                  <w:pPr>
                    <w:pStyle w:val="41"/>
                    <w:bidi w:val="0"/>
                    <w:rPr>
                      <w:rFonts w:hint="default"/>
                      <w:color w:val="auto"/>
                      <w:highlight w:val="none"/>
                    </w:rPr>
                  </w:pPr>
                </w:p>
              </w:tc>
              <w:tc>
                <w:tcPr>
                  <w:tcW w:w="475" w:type="pct"/>
                  <w:vMerge w:val="continue"/>
                  <w:tcBorders>
                    <w:tl2br w:val="nil"/>
                    <w:tr2bl w:val="nil"/>
                  </w:tcBorders>
                  <w:noWrap w:val="0"/>
                  <w:vAlign w:val="center"/>
                </w:tcPr>
                <w:p w14:paraId="4347A32E">
                  <w:pPr>
                    <w:pStyle w:val="41"/>
                    <w:bidi w:val="0"/>
                    <w:rPr>
                      <w:rFonts w:hint="default"/>
                      <w:color w:val="auto"/>
                      <w:highlight w:val="none"/>
                    </w:rPr>
                  </w:pPr>
                </w:p>
              </w:tc>
              <w:tc>
                <w:tcPr>
                  <w:tcW w:w="641" w:type="pct"/>
                  <w:tcBorders>
                    <w:tl2br w:val="nil"/>
                    <w:tr2bl w:val="nil"/>
                  </w:tcBorders>
                  <w:noWrap w:val="0"/>
                  <w:vAlign w:val="center"/>
                </w:tcPr>
                <w:p w14:paraId="55F1F0B6">
                  <w:pPr>
                    <w:pStyle w:val="41"/>
                    <w:bidi w:val="0"/>
                    <w:rPr>
                      <w:rFonts w:hint="default"/>
                      <w:color w:val="auto"/>
                      <w:highlight w:val="none"/>
                      <w:lang w:val="en-US" w:eastAsia="zh-CN"/>
                    </w:rPr>
                  </w:pPr>
                  <w:r>
                    <w:rPr>
                      <w:rFonts w:hint="eastAsia"/>
                      <w:color w:val="auto"/>
                      <w:highlight w:val="none"/>
                      <w:lang w:eastAsia="zh-CN"/>
                    </w:rPr>
                    <w:t>总氮</w:t>
                  </w:r>
                </w:p>
              </w:tc>
              <w:tc>
                <w:tcPr>
                  <w:tcW w:w="413" w:type="pct"/>
                  <w:tcBorders>
                    <w:tl2br w:val="nil"/>
                    <w:tr2bl w:val="nil"/>
                  </w:tcBorders>
                  <w:noWrap w:val="0"/>
                  <w:vAlign w:val="center"/>
                </w:tcPr>
                <w:p w14:paraId="24E90832">
                  <w:pPr>
                    <w:pStyle w:val="41"/>
                    <w:bidi w:val="0"/>
                    <w:rPr>
                      <w:rFonts w:hint="default"/>
                      <w:color w:val="auto"/>
                      <w:highlight w:val="none"/>
                      <w:lang w:val="en-US" w:eastAsia="zh-CN"/>
                    </w:rPr>
                  </w:pPr>
                  <w:r>
                    <w:rPr>
                      <w:rFonts w:hint="default"/>
                      <w:color w:val="auto"/>
                      <w:highlight w:val="none"/>
                    </w:rPr>
                    <w:t>mg/L</w:t>
                  </w:r>
                </w:p>
              </w:tc>
              <w:tc>
                <w:tcPr>
                  <w:tcW w:w="575" w:type="pct"/>
                  <w:tcBorders>
                    <w:tl2br w:val="nil"/>
                    <w:tr2bl w:val="nil"/>
                  </w:tcBorders>
                  <w:noWrap w:val="0"/>
                  <w:vAlign w:val="center"/>
                </w:tcPr>
                <w:p w14:paraId="6383944D">
                  <w:pPr>
                    <w:pStyle w:val="41"/>
                    <w:bidi w:val="0"/>
                    <w:rPr>
                      <w:rFonts w:hint="default"/>
                      <w:color w:val="auto"/>
                      <w:highlight w:val="none"/>
                      <w:lang w:val="en-US" w:eastAsia="zh-CN"/>
                    </w:rPr>
                  </w:pPr>
                  <w:r>
                    <w:rPr>
                      <w:rFonts w:hint="eastAsia"/>
                      <w:color w:val="auto"/>
                      <w:highlight w:val="none"/>
                      <w:lang w:val="en-US" w:eastAsia="zh-CN"/>
                    </w:rPr>
                    <w:t>6.58</w:t>
                  </w:r>
                </w:p>
              </w:tc>
              <w:tc>
                <w:tcPr>
                  <w:tcW w:w="575" w:type="pct"/>
                  <w:tcBorders>
                    <w:tl2br w:val="nil"/>
                    <w:tr2bl w:val="nil"/>
                  </w:tcBorders>
                  <w:noWrap w:val="0"/>
                  <w:vAlign w:val="center"/>
                </w:tcPr>
                <w:p w14:paraId="50CE43D6">
                  <w:pPr>
                    <w:pStyle w:val="41"/>
                    <w:bidi w:val="0"/>
                    <w:rPr>
                      <w:rFonts w:hint="default"/>
                      <w:color w:val="auto"/>
                      <w:highlight w:val="none"/>
                      <w:lang w:val="en-US" w:eastAsia="zh-CN"/>
                    </w:rPr>
                  </w:pPr>
                  <w:r>
                    <w:rPr>
                      <w:rFonts w:hint="eastAsia"/>
                      <w:color w:val="auto"/>
                      <w:highlight w:val="none"/>
                      <w:lang w:val="en-US" w:eastAsia="zh-CN"/>
                    </w:rPr>
                    <w:t>6.70</w:t>
                  </w:r>
                </w:p>
              </w:tc>
              <w:tc>
                <w:tcPr>
                  <w:tcW w:w="575" w:type="pct"/>
                  <w:tcBorders>
                    <w:tl2br w:val="nil"/>
                    <w:tr2bl w:val="nil"/>
                  </w:tcBorders>
                  <w:noWrap w:val="0"/>
                  <w:vAlign w:val="center"/>
                </w:tcPr>
                <w:p w14:paraId="70E1B4BF">
                  <w:pPr>
                    <w:pStyle w:val="41"/>
                    <w:bidi w:val="0"/>
                    <w:rPr>
                      <w:rFonts w:hint="default"/>
                      <w:color w:val="auto"/>
                      <w:highlight w:val="none"/>
                      <w:lang w:val="en-US" w:eastAsia="zh-CN"/>
                    </w:rPr>
                  </w:pPr>
                  <w:r>
                    <w:rPr>
                      <w:rFonts w:hint="eastAsia"/>
                      <w:color w:val="auto"/>
                      <w:highlight w:val="none"/>
                      <w:lang w:val="en-US" w:eastAsia="zh-CN"/>
                    </w:rPr>
                    <w:t>6.56</w:t>
                  </w:r>
                </w:p>
              </w:tc>
              <w:tc>
                <w:tcPr>
                  <w:tcW w:w="575" w:type="pct"/>
                  <w:tcBorders>
                    <w:tl2br w:val="nil"/>
                    <w:tr2bl w:val="nil"/>
                  </w:tcBorders>
                  <w:noWrap w:val="0"/>
                  <w:vAlign w:val="center"/>
                </w:tcPr>
                <w:p w14:paraId="276DB3B0">
                  <w:pPr>
                    <w:pStyle w:val="41"/>
                    <w:bidi w:val="0"/>
                    <w:rPr>
                      <w:rFonts w:hint="default"/>
                      <w:color w:val="auto"/>
                      <w:highlight w:val="none"/>
                      <w:lang w:val="en-US" w:eastAsia="zh-CN"/>
                    </w:rPr>
                  </w:pPr>
                  <w:r>
                    <w:rPr>
                      <w:rFonts w:hint="eastAsia"/>
                      <w:color w:val="auto"/>
                      <w:highlight w:val="none"/>
                      <w:lang w:val="en-US" w:eastAsia="zh-CN"/>
                    </w:rPr>
                    <w:t>6.72</w:t>
                  </w:r>
                </w:p>
              </w:tc>
              <w:tc>
                <w:tcPr>
                  <w:tcW w:w="427" w:type="pct"/>
                  <w:tcBorders>
                    <w:tl2br w:val="nil"/>
                    <w:tr2bl w:val="nil"/>
                  </w:tcBorders>
                  <w:noWrap w:val="0"/>
                  <w:vAlign w:val="center"/>
                </w:tcPr>
                <w:p w14:paraId="7171BDE0">
                  <w:pPr>
                    <w:pStyle w:val="41"/>
                    <w:bidi w:val="0"/>
                    <w:jc w:val="center"/>
                    <w:rPr>
                      <w:rFonts w:hint="eastAsia"/>
                      <w:color w:val="auto"/>
                      <w:highlight w:val="none"/>
                      <w:lang w:val="en-US" w:eastAsia="zh-CN"/>
                    </w:rPr>
                  </w:pPr>
                  <w:r>
                    <w:rPr>
                      <w:rFonts w:hint="eastAsia"/>
                      <w:color w:val="auto"/>
                      <w:highlight w:val="none"/>
                    </w:rPr>
                    <w:t>6.64</w:t>
                  </w:r>
                </w:p>
              </w:tc>
              <w:tc>
                <w:tcPr>
                  <w:tcW w:w="311" w:type="pct"/>
                  <w:tcBorders>
                    <w:tl2br w:val="nil"/>
                    <w:tr2bl w:val="nil"/>
                  </w:tcBorders>
                  <w:noWrap w:val="0"/>
                  <w:vAlign w:val="center"/>
                </w:tcPr>
                <w:p w14:paraId="3533E0EC">
                  <w:pPr>
                    <w:pStyle w:val="41"/>
                    <w:bidi w:val="0"/>
                    <w:ind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20</w:t>
                  </w:r>
                </w:p>
              </w:tc>
            </w:tr>
            <w:tr w14:paraId="574B33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vMerge w:val="continue"/>
                  <w:tcBorders>
                    <w:tl2br w:val="nil"/>
                    <w:tr2bl w:val="nil"/>
                  </w:tcBorders>
                  <w:noWrap w:val="0"/>
                  <w:vAlign w:val="center"/>
                </w:tcPr>
                <w:p w14:paraId="33E47A3C">
                  <w:pPr>
                    <w:pStyle w:val="41"/>
                    <w:bidi w:val="0"/>
                    <w:rPr>
                      <w:rFonts w:hint="default"/>
                      <w:color w:val="auto"/>
                      <w:highlight w:val="none"/>
                    </w:rPr>
                  </w:pPr>
                </w:p>
              </w:tc>
              <w:tc>
                <w:tcPr>
                  <w:tcW w:w="475" w:type="pct"/>
                  <w:vMerge w:val="continue"/>
                  <w:tcBorders>
                    <w:tl2br w:val="nil"/>
                    <w:tr2bl w:val="nil"/>
                  </w:tcBorders>
                  <w:noWrap w:val="0"/>
                  <w:vAlign w:val="center"/>
                </w:tcPr>
                <w:p w14:paraId="1C2A143A">
                  <w:pPr>
                    <w:pStyle w:val="41"/>
                    <w:bidi w:val="0"/>
                    <w:rPr>
                      <w:rFonts w:hint="default"/>
                      <w:color w:val="auto"/>
                      <w:highlight w:val="none"/>
                    </w:rPr>
                  </w:pPr>
                </w:p>
              </w:tc>
              <w:tc>
                <w:tcPr>
                  <w:tcW w:w="641" w:type="pct"/>
                  <w:tcBorders>
                    <w:tl2br w:val="nil"/>
                    <w:tr2bl w:val="nil"/>
                  </w:tcBorders>
                  <w:noWrap w:val="0"/>
                  <w:vAlign w:val="center"/>
                </w:tcPr>
                <w:p w14:paraId="2767142E">
                  <w:pPr>
                    <w:pStyle w:val="41"/>
                    <w:bidi w:val="0"/>
                    <w:rPr>
                      <w:rFonts w:hint="default"/>
                      <w:color w:val="auto"/>
                      <w:highlight w:val="none"/>
                      <w:lang w:val="en-US" w:eastAsia="zh-CN"/>
                    </w:rPr>
                  </w:pPr>
                  <w:r>
                    <w:rPr>
                      <w:rFonts w:hint="default"/>
                      <w:color w:val="auto"/>
                      <w:highlight w:val="none"/>
                      <w:lang w:eastAsia="zh-CN"/>
                    </w:rPr>
                    <w:t>总磷</w:t>
                  </w:r>
                </w:p>
              </w:tc>
              <w:tc>
                <w:tcPr>
                  <w:tcW w:w="413" w:type="pct"/>
                  <w:tcBorders>
                    <w:tl2br w:val="nil"/>
                    <w:tr2bl w:val="nil"/>
                  </w:tcBorders>
                  <w:noWrap w:val="0"/>
                  <w:vAlign w:val="center"/>
                </w:tcPr>
                <w:p w14:paraId="236E91A9">
                  <w:pPr>
                    <w:pStyle w:val="41"/>
                    <w:bidi w:val="0"/>
                    <w:rPr>
                      <w:rFonts w:hint="default"/>
                      <w:color w:val="auto"/>
                      <w:highlight w:val="none"/>
                      <w:lang w:val="en-US" w:eastAsia="zh-CN"/>
                    </w:rPr>
                  </w:pPr>
                  <w:r>
                    <w:rPr>
                      <w:rFonts w:hint="default"/>
                      <w:color w:val="auto"/>
                      <w:highlight w:val="none"/>
                    </w:rPr>
                    <w:t>mg/L</w:t>
                  </w:r>
                </w:p>
              </w:tc>
              <w:tc>
                <w:tcPr>
                  <w:tcW w:w="575" w:type="pct"/>
                  <w:tcBorders>
                    <w:tl2br w:val="nil"/>
                    <w:tr2bl w:val="nil"/>
                  </w:tcBorders>
                  <w:noWrap w:val="0"/>
                  <w:vAlign w:val="center"/>
                </w:tcPr>
                <w:p w14:paraId="024DB274">
                  <w:pPr>
                    <w:pStyle w:val="41"/>
                    <w:bidi w:val="0"/>
                    <w:rPr>
                      <w:rFonts w:hint="default"/>
                      <w:color w:val="auto"/>
                      <w:highlight w:val="none"/>
                      <w:lang w:val="en-US" w:eastAsia="zh-CN"/>
                    </w:rPr>
                  </w:pPr>
                  <w:r>
                    <w:rPr>
                      <w:rFonts w:hint="eastAsia"/>
                      <w:color w:val="auto"/>
                      <w:highlight w:val="none"/>
                      <w:lang w:val="en-US" w:eastAsia="zh-CN"/>
                    </w:rPr>
                    <w:t>0.25</w:t>
                  </w:r>
                </w:p>
              </w:tc>
              <w:tc>
                <w:tcPr>
                  <w:tcW w:w="575" w:type="pct"/>
                  <w:tcBorders>
                    <w:tl2br w:val="nil"/>
                    <w:tr2bl w:val="nil"/>
                  </w:tcBorders>
                  <w:noWrap w:val="0"/>
                  <w:vAlign w:val="center"/>
                </w:tcPr>
                <w:p w14:paraId="0812F418">
                  <w:pPr>
                    <w:pStyle w:val="41"/>
                    <w:bidi w:val="0"/>
                    <w:rPr>
                      <w:rFonts w:hint="default"/>
                      <w:color w:val="auto"/>
                      <w:highlight w:val="none"/>
                      <w:lang w:val="en-US" w:eastAsia="zh-CN"/>
                    </w:rPr>
                  </w:pPr>
                  <w:r>
                    <w:rPr>
                      <w:rFonts w:hint="eastAsia"/>
                      <w:color w:val="auto"/>
                      <w:highlight w:val="none"/>
                      <w:lang w:val="en-US" w:eastAsia="zh-CN"/>
                    </w:rPr>
                    <w:t>0.24</w:t>
                  </w:r>
                </w:p>
              </w:tc>
              <w:tc>
                <w:tcPr>
                  <w:tcW w:w="575" w:type="pct"/>
                  <w:tcBorders>
                    <w:tl2br w:val="nil"/>
                    <w:tr2bl w:val="nil"/>
                  </w:tcBorders>
                  <w:noWrap w:val="0"/>
                  <w:vAlign w:val="center"/>
                </w:tcPr>
                <w:p w14:paraId="227473D3">
                  <w:pPr>
                    <w:pStyle w:val="41"/>
                    <w:bidi w:val="0"/>
                    <w:rPr>
                      <w:rFonts w:hint="default"/>
                      <w:color w:val="auto"/>
                      <w:highlight w:val="none"/>
                      <w:lang w:val="en-US" w:eastAsia="zh-CN"/>
                    </w:rPr>
                  </w:pPr>
                  <w:r>
                    <w:rPr>
                      <w:rFonts w:hint="eastAsia"/>
                      <w:color w:val="auto"/>
                      <w:highlight w:val="none"/>
                      <w:lang w:val="en-US" w:eastAsia="zh-CN"/>
                    </w:rPr>
                    <w:t>0.25</w:t>
                  </w:r>
                </w:p>
              </w:tc>
              <w:tc>
                <w:tcPr>
                  <w:tcW w:w="575" w:type="pct"/>
                  <w:tcBorders>
                    <w:tl2br w:val="nil"/>
                    <w:tr2bl w:val="nil"/>
                  </w:tcBorders>
                  <w:noWrap w:val="0"/>
                  <w:vAlign w:val="center"/>
                </w:tcPr>
                <w:p w14:paraId="2AC9F16E">
                  <w:pPr>
                    <w:pStyle w:val="41"/>
                    <w:bidi w:val="0"/>
                    <w:rPr>
                      <w:rFonts w:hint="default"/>
                      <w:color w:val="auto"/>
                      <w:highlight w:val="none"/>
                      <w:lang w:val="en-US" w:eastAsia="zh-CN"/>
                    </w:rPr>
                  </w:pPr>
                  <w:r>
                    <w:rPr>
                      <w:rFonts w:hint="eastAsia"/>
                      <w:color w:val="auto"/>
                      <w:highlight w:val="none"/>
                      <w:lang w:val="en-US" w:eastAsia="zh-CN"/>
                    </w:rPr>
                    <w:t>0.24</w:t>
                  </w:r>
                </w:p>
              </w:tc>
              <w:tc>
                <w:tcPr>
                  <w:tcW w:w="427" w:type="pct"/>
                  <w:tcBorders>
                    <w:tl2br w:val="nil"/>
                    <w:tr2bl w:val="nil"/>
                  </w:tcBorders>
                  <w:noWrap w:val="0"/>
                  <w:vAlign w:val="center"/>
                </w:tcPr>
                <w:p w14:paraId="7F8B89FA">
                  <w:pPr>
                    <w:pStyle w:val="41"/>
                    <w:bidi w:val="0"/>
                    <w:jc w:val="center"/>
                    <w:rPr>
                      <w:rFonts w:hint="eastAsia" w:eastAsia="宋体"/>
                      <w:color w:val="auto"/>
                      <w:highlight w:val="none"/>
                      <w:lang w:val="en-US" w:eastAsia="zh-CN"/>
                    </w:rPr>
                  </w:pPr>
                  <w:r>
                    <w:rPr>
                      <w:rFonts w:hint="eastAsia"/>
                      <w:color w:val="auto"/>
                      <w:highlight w:val="none"/>
                    </w:rPr>
                    <w:t>0.2</w:t>
                  </w:r>
                  <w:r>
                    <w:rPr>
                      <w:rFonts w:hint="eastAsia"/>
                      <w:color w:val="auto"/>
                      <w:highlight w:val="none"/>
                      <w:lang w:val="en-US" w:eastAsia="zh-CN"/>
                    </w:rPr>
                    <w:t>5</w:t>
                  </w:r>
                </w:p>
              </w:tc>
              <w:tc>
                <w:tcPr>
                  <w:tcW w:w="311" w:type="pct"/>
                  <w:tcBorders>
                    <w:tl2br w:val="nil"/>
                    <w:tr2bl w:val="nil"/>
                  </w:tcBorders>
                  <w:noWrap w:val="0"/>
                  <w:vAlign w:val="center"/>
                </w:tcPr>
                <w:p w14:paraId="4B355F32">
                  <w:pPr>
                    <w:pStyle w:val="41"/>
                    <w:bidi w:val="0"/>
                    <w:ind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0.5</w:t>
                  </w:r>
                </w:p>
              </w:tc>
            </w:tr>
            <w:bookmarkEnd w:id="32"/>
            <w:tr w14:paraId="397076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31" w:type="pct"/>
                  <w:tcBorders>
                    <w:tl2br w:val="nil"/>
                    <w:tr2bl w:val="nil"/>
                  </w:tcBorders>
                  <w:noWrap w:val="0"/>
                  <w:vAlign w:val="center"/>
                </w:tcPr>
                <w:p w14:paraId="0ED986AB">
                  <w:pPr>
                    <w:pStyle w:val="41"/>
                    <w:bidi w:val="0"/>
                    <w:rPr>
                      <w:rFonts w:hint="eastAsia"/>
                      <w:color w:val="auto"/>
                      <w:highlight w:val="none"/>
                      <w:lang w:eastAsia="zh-CN"/>
                    </w:rPr>
                  </w:pPr>
                  <w:r>
                    <w:rPr>
                      <w:rFonts w:hint="eastAsia"/>
                      <w:color w:val="auto"/>
                      <w:highlight w:val="none"/>
                      <w:lang w:val="en-US" w:eastAsia="zh-CN"/>
                    </w:rPr>
                    <w:t>备注</w:t>
                  </w:r>
                </w:p>
              </w:tc>
              <w:tc>
                <w:tcPr>
                  <w:tcW w:w="4568" w:type="pct"/>
                  <w:gridSpan w:val="9"/>
                  <w:tcBorders>
                    <w:tl2br w:val="nil"/>
                    <w:tr2bl w:val="nil"/>
                  </w:tcBorders>
                  <w:noWrap w:val="0"/>
                  <w:vAlign w:val="center"/>
                </w:tcPr>
                <w:p w14:paraId="5C705846">
                  <w:pPr>
                    <w:pStyle w:val="41"/>
                    <w:bidi w:val="0"/>
                    <w:rPr>
                      <w:rFonts w:hint="eastAsia"/>
                      <w:color w:val="auto"/>
                      <w:highlight w:val="none"/>
                      <w:lang w:val="en-US" w:eastAsia="zh-CN"/>
                    </w:rPr>
                  </w:pPr>
                  <w:r>
                    <w:rPr>
                      <w:rFonts w:hint="eastAsia"/>
                      <w:color w:val="auto"/>
                      <w:highlight w:val="none"/>
                      <w:lang w:val="en-US" w:eastAsia="zh-CN"/>
                    </w:rPr>
                    <w:t>排放限值为《生物制药行业水和大气污染物排放限值》（DB32/3560-2019）表2生物医药研发机构废水直接排放限值</w:t>
                  </w:r>
                </w:p>
              </w:tc>
            </w:tr>
          </w:tbl>
          <w:p w14:paraId="2CC876DA">
            <w:pPr>
              <w:pStyle w:val="41"/>
              <w:bidi w:val="0"/>
              <w:rPr>
                <w:rFonts w:hint="eastAsia"/>
                <w:lang w:val="en-US" w:eastAsia="zh-CN"/>
              </w:rPr>
            </w:pPr>
          </w:p>
          <w:p w14:paraId="0246C020">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val="en-US" w:eastAsia="zh-CN"/>
              </w:rPr>
            </w:pPr>
            <w:r>
              <w:rPr>
                <w:rFonts w:hint="eastAsia"/>
                <w:b/>
                <w:bCs/>
                <w:lang w:val="en-US" w:eastAsia="zh-CN"/>
              </w:rPr>
              <w:t>②已批在建项目</w:t>
            </w:r>
          </w:p>
          <w:p w14:paraId="59A07B67">
            <w:pPr>
              <w:bidi w:val="0"/>
              <w:ind w:firstLine="480" w:firstLineChars="200"/>
              <w:rPr>
                <w:rFonts w:hint="eastAsia"/>
                <w:lang w:val="en-US" w:eastAsia="zh-CN"/>
              </w:rPr>
            </w:pPr>
            <w:r>
              <w:rPr>
                <w:rFonts w:hint="eastAsia"/>
                <w:lang w:val="en-US" w:eastAsia="zh-CN"/>
              </w:rPr>
              <w:t>根据“康缘医药科技园6号楼改建项目”环评数据，在建项目废水处理后满足《生物制药行业水和大气污染物排放限值》（DB32/3560-2019）表2生物医药研发机构废水直接排放限值，具体废水产排情况见下表。</w:t>
            </w:r>
          </w:p>
          <w:p w14:paraId="1FD86F17">
            <w:pPr>
              <w:bidi w:val="0"/>
              <w:ind w:firstLine="480" w:firstLineChars="200"/>
              <w:rPr>
                <w:rFonts w:hint="eastAsia"/>
                <w:lang w:val="en-US" w:eastAsia="zh-CN"/>
              </w:rPr>
            </w:pPr>
          </w:p>
          <w:p w14:paraId="1AF3C41C">
            <w:pPr>
              <w:bidi w:val="0"/>
              <w:ind w:firstLine="480" w:firstLineChars="200"/>
              <w:rPr>
                <w:rFonts w:hint="default"/>
                <w:lang w:val="en-US" w:eastAsia="zh-CN"/>
              </w:rPr>
            </w:pPr>
          </w:p>
          <w:p w14:paraId="6C3BCED1">
            <w:pPr>
              <w:pStyle w:val="44"/>
              <w:bidi w:val="0"/>
              <w:rPr>
                <w:rFonts w:hint="eastAsia"/>
                <w:lang w:val="en-US" w:eastAsia="zh-CN"/>
              </w:rPr>
            </w:pPr>
            <w:r>
              <w:rPr>
                <w:rFonts w:hint="eastAsia"/>
                <w:lang w:val="en-US" w:eastAsia="zh-CN"/>
              </w:rPr>
              <w:t>已批在建项目废水排放情况一览表</w:t>
            </w:r>
          </w:p>
          <w:tbl>
            <w:tblPr>
              <w:tblStyle w:val="32"/>
              <w:tblW w:w="789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1"/>
              <w:gridCol w:w="961"/>
              <w:gridCol w:w="986"/>
              <w:gridCol w:w="988"/>
              <w:gridCol w:w="1221"/>
              <w:gridCol w:w="1067"/>
              <w:gridCol w:w="1067"/>
              <w:gridCol w:w="904"/>
            </w:tblGrid>
            <w:tr w14:paraId="4B8D21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23" w:hRule="atLeast"/>
                <w:jc w:val="center"/>
              </w:trPr>
              <w:tc>
                <w:tcPr>
                  <w:tcW w:w="444" w:type="pct"/>
                  <w:noWrap w:val="0"/>
                  <w:vAlign w:val="center"/>
                </w:tcPr>
                <w:p w14:paraId="6F882393">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污水种类</w:t>
                  </w:r>
                </w:p>
              </w:tc>
              <w:tc>
                <w:tcPr>
                  <w:tcW w:w="608" w:type="pct"/>
                  <w:noWrap w:val="0"/>
                  <w:vAlign w:val="center"/>
                </w:tcPr>
                <w:p w14:paraId="6D53B54E">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污染物名称</w:t>
                  </w:r>
                </w:p>
              </w:tc>
              <w:tc>
                <w:tcPr>
                  <w:tcW w:w="624" w:type="pct"/>
                  <w:noWrap w:val="0"/>
                  <w:tcMar>
                    <w:top w:w="57" w:type="dxa"/>
                    <w:left w:w="28" w:type="dxa"/>
                    <w:bottom w:w="57" w:type="dxa"/>
                    <w:right w:w="28" w:type="dxa"/>
                  </w:tcMar>
                  <w:vAlign w:val="center"/>
                </w:tcPr>
                <w:p w14:paraId="05EFF07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b/>
                      <w:color w:val="auto"/>
                      <w:sz w:val="21"/>
                      <w:szCs w:val="21"/>
                      <w:highlight w:val="none"/>
                      <w:lang w:val="en-US" w:eastAsia="zh-CN"/>
                    </w:rPr>
                  </w:pPr>
                  <w:r>
                    <w:rPr>
                      <w:rFonts w:hint="eastAsia"/>
                      <w:b/>
                      <w:color w:val="auto"/>
                      <w:sz w:val="21"/>
                      <w:szCs w:val="21"/>
                      <w:highlight w:val="none"/>
                      <w:lang w:val="en-US" w:eastAsia="zh-CN"/>
                    </w:rPr>
                    <w:t>接管浓度（mg/L）</w:t>
                  </w:r>
                </w:p>
              </w:tc>
              <w:tc>
                <w:tcPr>
                  <w:tcW w:w="625" w:type="pct"/>
                  <w:noWrap w:val="0"/>
                  <w:tcMar>
                    <w:top w:w="57" w:type="dxa"/>
                    <w:left w:w="28" w:type="dxa"/>
                    <w:bottom w:w="57" w:type="dxa"/>
                    <w:right w:w="28" w:type="dxa"/>
                  </w:tcMar>
                  <w:vAlign w:val="center"/>
                </w:tcPr>
                <w:p w14:paraId="1A6CD2C6">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b/>
                      <w:color w:val="auto"/>
                      <w:sz w:val="21"/>
                      <w:szCs w:val="21"/>
                      <w:highlight w:val="none"/>
                      <w:lang w:val="en-US" w:eastAsia="zh-CN"/>
                    </w:rPr>
                  </w:pPr>
                  <w:r>
                    <w:rPr>
                      <w:rFonts w:hint="eastAsia" w:ascii="Times New Roman" w:hAnsi="Times New Roman" w:eastAsia="宋体"/>
                      <w:b/>
                      <w:color w:val="auto"/>
                      <w:sz w:val="21"/>
                      <w:szCs w:val="21"/>
                      <w:highlight w:val="none"/>
                      <w:lang w:val="en-US" w:eastAsia="zh-CN"/>
                    </w:rPr>
                    <w:t>接管量（t/a）</w:t>
                  </w:r>
                </w:p>
              </w:tc>
              <w:tc>
                <w:tcPr>
                  <w:tcW w:w="773" w:type="pct"/>
                  <w:noWrap w:val="0"/>
                  <w:tcMar>
                    <w:top w:w="57" w:type="dxa"/>
                    <w:left w:w="28" w:type="dxa"/>
                    <w:bottom w:w="57" w:type="dxa"/>
                    <w:right w:w="28" w:type="dxa"/>
                  </w:tcMar>
                  <w:vAlign w:val="center"/>
                </w:tcPr>
                <w:p w14:paraId="576E501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b/>
                      <w:color w:val="auto"/>
                      <w:sz w:val="21"/>
                      <w:szCs w:val="21"/>
                      <w:highlight w:val="none"/>
                      <w:lang w:val="en-US" w:eastAsia="zh-CN"/>
                    </w:rPr>
                  </w:pPr>
                  <w:r>
                    <w:rPr>
                      <w:rFonts w:hint="eastAsia"/>
                      <w:b/>
                      <w:color w:val="auto"/>
                      <w:sz w:val="21"/>
                      <w:szCs w:val="21"/>
                      <w:highlight w:val="none"/>
                      <w:lang w:val="en-US" w:eastAsia="zh-CN"/>
                    </w:rPr>
                    <w:t>接管去向</w:t>
                  </w:r>
                </w:p>
              </w:tc>
              <w:tc>
                <w:tcPr>
                  <w:tcW w:w="675" w:type="pct"/>
                  <w:noWrap w:val="0"/>
                  <w:tcMar>
                    <w:top w:w="57" w:type="dxa"/>
                    <w:left w:w="28" w:type="dxa"/>
                    <w:bottom w:w="57" w:type="dxa"/>
                    <w:right w:w="28" w:type="dxa"/>
                  </w:tcMar>
                  <w:vAlign w:val="center"/>
                </w:tcPr>
                <w:p w14:paraId="3DA9D3E8">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b/>
                      <w:color w:val="auto"/>
                      <w:sz w:val="21"/>
                      <w:szCs w:val="21"/>
                      <w:highlight w:val="none"/>
                      <w:lang w:val="en-US" w:eastAsia="zh-CN"/>
                    </w:rPr>
                  </w:pPr>
                  <w:r>
                    <w:rPr>
                      <w:rFonts w:hint="eastAsia"/>
                      <w:b/>
                      <w:color w:val="auto"/>
                      <w:sz w:val="21"/>
                      <w:szCs w:val="21"/>
                      <w:highlight w:val="none"/>
                      <w:lang w:val="en-US" w:eastAsia="zh-CN"/>
                    </w:rPr>
                    <w:t>排放浓度（mg/L）</w:t>
                  </w:r>
                </w:p>
              </w:tc>
              <w:tc>
                <w:tcPr>
                  <w:tcW w:w="675" w:type="pct"/>
                  <w:noWrap w:val="0"/>
                  <w:tcMar>
                    <w:top w:w="57" w:type="dxa"/>
                    <w:left w:w="28" w:type="dxa"/>
                    <w:bottom w:w="57" w:type="dxa"/>
                    <w:right w:w="28" w:type="dxa"/>
                  </w:tcMar>
                  <w:vAlign w:val="center"/>
                </w:tcPr>
                <w:p w14:paraId="6083EE3D">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b/>
                      <w:color w:val="auto"/>
                      <w:sz w:val="21"/>
                      <w:szCs w:val="21"/>
                      <w:highlight w:val="none"/>
                      <w:lang w:val="en-US" w:eastAsia="zh-CN"/>
                    </w:rPr>
                  </w:pPr>
                  <w:r>
                    <w:rPr>
                      <w:rFonts w:hint="eastAsia"/>
                      <w:b/>
                      <w:color w:val="auto"/>
                      <w:sz w:val="21"/>
                      <w:szCs w:val="21"/>
                      <w:highlight w:val="none"/>
                      <w:lang w:val="en-US" w:eastAsia="zh-CN"/>
                    </w:rPr>
                    <w:t>排放量</w:t>
                  </w:r>
                  <w:r>
                    <w:rPr>
                      <w:rFonts w:hint="eastAsia" w:ascii="Times New Roman" w:hAnsi="Times New Roman" w:eastAsia="宋体"/>
                      <w:b/>
                      <w:color w:val="auto"/>
                      <w:sz w:val="21"/>
                      <w:szCs w:val="21"/>
                      <w:highlight w:val="none"/>
                      <w:lang w:val="en-US" w:eastAsia="zh-CN"/>
                    </w:rPr>
                    <w:t>（t/a）</w:t>
                  </w:r>
                </w:p>
              </w:tc>
              <w:tc>
                <w:tcPr>
                  <w:tcW w:w="572" w:type="pct"/>
                  <w:noWrap w:val="0"/>
                  <w:tcMar>
                    <w:top w:w="57" w:type="dxa"/>
                    <w:left w:w="28" w:type="dxa"/>
                    <w:bottom w:w="57" w:type="dxa"/>
                    <w:right w:w="28" w:type="dxa"/>
                  </w:tcMar>
                  <w:vAlign w:val="center"/>
                </w:tcPr>
                <w:p w14:paraId="7B9501BA">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排放去向</w:t>
                  </w:r>
                </w:p>
              </w:tc>
            </w:tr>
            <w:tr w14:paraId="116087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444" w:type="pct"/>
                  <w:vMerge w:val="restart"/>
                  <w:noWrap w:val="0"/>
                  <w:tcMar>
                    <w:top w:w="57" w:type="dxa"/>
                    <w:bottom w:w="57" w:type="dxa"/>
                  </w:tcMar>
                  <w:vAlign w:val="center"/>
                </w:tcPr>
                <w:p w14:paraId="69B318EF">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综合废水</w:t>
                  </w:r>
                </w:p>
              </w:tc>
              <w:tc>
                <w:tcPr>
                  <w:tcW w:w="608" w:type="pct"/>
                  <w:noWrap w:val="0"/>
                  <w:tcMar>
                    <w:top w:w="57" w:type="dxa"/>
                    <w:bottom w:w="57" w:type="dxa"/>
                  </w:tcMar>
                  <w:vAlign w:val="center"/>
                </w:tcPr>
                <w:p w14:paraId="0145A0C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olor w:val="auto"/>
                      <w:sz w:val="21"/>
                      <w:szCs w:val="21"/>
                      <w:highlight w:val="none"/>
                      <w:lang w:eastAsia="zh-CN"/>
                    </w:rPr>
                  </w:pPr>
                  <w:r>
                    <w:rPr>
                      <w:rFonts w:hint="eastAsia"/>
                      <w:color w:val="auto"/>
                      <w:sz w:val="21"/>
                      <w:szCs w:val="21"/>
                      <w:highlight w:val="none"/>
                      <w:lang w:eastAsia="zh-CN"/>
                    </w:rPr>
                    <w:t>水量</w:t>
                  </w:r>
                </w:p>
              </w:tc>
              <w:tc>
                <w:tcPr>
                  <w:tcW w:w="624" w:type="pct"/>
                  <w:noWrap w:val="0"/>
                  <w:tcMar>
                    <w:top w:w="57" w:type="dxa"/>
                    <w:bottom w:w="57" w:type="dxa"/>
                  </w:tcMar>
                  <w:vAlign w:val="center"/>
                </w:tcPr>
                <w:p w14:paraId="090AC258">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625" w:type="pct"/>
                  <w:noWrap w:val="0"/>
                  <w:tcMar>
                    <w:top w:w="57" w:type="dxa"/>
                    <w:bottom w:w="57" w:type="dxa"/>
                  </w:tcMar>
                  <w:vAlign w:val="center"/>
                </w:tcPr>
                <w:p w14:paraId="2EB3795D">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662.1</w:t>
                  </w:r>
                </w:p>
              </w:tc>
              <w:tc>
                <w:tcPr>
                  <w:tcW w:w="773" w:type="pct"/>
                  <w:vMerge w:val="restart"/>
                  <w:noWrap w:val="0"/>
                  <w:tcMar>
                    <w:top w:w="57" w:type="dxa"/>
                    <w:bottom w:w="57" w:type="dxa"/>
                  </w:tcMar>
                  <w:vAlign w:val="center"/>
                </w:tcPr>
                <w:p w14:paraId="7B37FEC7">
                  <w:pPr>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南京市江宁区高新区污水处理厂</w:t>
                  </w:r>
                </w:p>
              </w:tc>
              <w:tc>
                <w:tcPr>
                  <w:tcW w:w="675" w:type="pct"/>
                  <w:noWrap w:val="0"/>
                  <w:tcMar>
                    <w:top w:w="57" w:type="dxa"/>
                    <w:bottom w:w="57" w:type="dxa"/>
                  </w:tcMar>
                  <w:vAlign w:val="center"/>
                </w:tcPr>
                <w:p w14:paraId="314E8097">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675" w:type="pct"/>
                  <w:noWrap w:val="0"/>
                  <w:tcMar>
                    <w:top w:w="57" w:type="dxa"/>
                    <w:bottom w:w="57" w:type="dxa"/>
                  </w:tcMar>
                  <w:vAlign w:val="center"/>
                </w:tcPr>
                <w:p w14:paraId="7B465C0F">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662.1</w:t>
                  </w:r>
                </w:p>
              </w:tc>
              <w:tc>
                <w:tcPr>
                  <w:tcW w:w="572" w:type="pct"/>
                  <w:vMerge w:val="restart"/>
                  <w:noWrap w:val="0"/>
                  <w:tcMar>
                    <w:top w:w="57" w:type="dxa"/>
                    <w:bottom w:w="57" w:type="dxa"/>
                  </w:tcMar>
                  <w:vAlign w:val="center"/>
                </w:tcPr>
                <w:p w14:paraId="616D50C7">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olor w:val="auto"/>
                      <w:sz w:val="21"/>
                      <w:szCs w:val="21"/>
                      <w:highlight w:val="none"/>
                      <w:lang w:eastAsia="zh-CN"/>
                    </w:rPr>
                  </w:pPr>
                  <w:r>
                    <w:rPr>
                      <w:rFonts w:hint="eastAsia"/>
                      <w:color w:val="auto"/>
                      <w:sz w:val="21"/>
                      <w:szCs w:val="21"/>
                      <w:highlight w:val="none"/>
                      <w:lang w:val="en-US" w:eastAsia="zh-CN"/>
                    </w:rPr>
                    <w:t>秦淮河</w:t>
                  </w:r>
                </w:p>
              </w:tc>
            </w:tr>
            <w:tr w14:paraId="3AAAE3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444" w:type="pct"/>
                  <w:vMerge w:val="continue"/>
                  <w:noWrap w:val="0"/>
                  <w:tcMar>
                    <w:top w:w="57" w:type="dxa"/>
                    <w:bottom w:w="57" w:type="dxa"/>
                  </w:tcMar>
                  <w:vAlign w:val="center"/>
                </w:tcPr>
                <w:p w14:paraId="2E8DD7E6">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Times New Roman" w:hAnsi="Times New Roman" w:eastAsia="宋体"/>
                      <w:color w:val="auto"/>
                      <w:sz w:val="21"/>
                      <w:szCs w:val="21"/>
                      <w:highlight w:val="none"/>
                    </w:rPr>
                  </w:pPr>
                </w:p>
              </w:tc>
              <w:tc>
                <w:tcPr>
                  <w:tcW w:w="608" w:type="pct"/>
                  <w:noWrap w:val="0"/>
                  <w:tcMar>
                    <w:top w:w="57" w:type="dxa"/>
                    <w:bottom w:w="57" w:type="dxa"/>
                  </w:tcMar>
                  <w:vAlign w:val="center"/>
                </w:tcPr>
                <w:p w14:paraId="6E7FDAB6">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COD</w:t>
                  </w:r>
                </w:p>
              </w:tc>
              <w:tc>
                <w:tcPr>
                  <w:tcW w:w="624" w:type="pct"/>
                  <w:noWrap w:val="0"/>
                  <w:tcMar>
                    <w:top w:w="57" w:type="dxa"/>
                    <w:bottom w:w="57" w:type="dxa"/>
                  </w:tcMar>
                  <w:vAlign w:val="center"/>
                </w:tcPr>
                <w:p w14:paraId="00AA26F9">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365.8</w:t>
                  </w:r>
                </w:p>
              </w:tc>
              <w:tc>
                <w:tcPr>
                  <w:tcW w:w="625" w:type="pct"/>
                  <w:noWrap w:val="0"/>
                  <w:tcMar>
                    <w:top w:w="57" w:type="dxa"/>
                    <w:bottom w:w="57" w:type="dxa"/>
                  </w:tcMar>
                  <w:vAlign w:val="center"/>
                </w:tcPr>
                <w:p w14:paraId="6F18DE9B">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0.2422</w:t>
                  </w:r>
                </w:p>
              </w:tc>
              <w:tc>
                <w:tcPr>
                  <w:tcW w:w="773" w:type="pct"/>
                  <w:vMerge w:val="continue"/>
                  <w:noWrap w:val="0"/>
                  <w:tcMar>
                    <w:top w:w="57" w:type="dxa"/>
                    <w:bottom w:w="57" w:type="dxa"/>
                  </w:tcMar>
                  <w:vAlign w:val="center"/>
                </w:tcPr>
                <w:p w14:paraId="796742F9">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color w:val="auto"/>
                      <w:sz w:val="21"/>
                      <w:szCs w:val="21"/>
                      <w:highlight w:val="none"/>
                      <w:lang w:val="en-US" w:eastAsia="zh-CN"/>
                    </w:rPr>
                  </w:pPr>
                </w:p>
              </w:tc>
              <w:tc>
                <w:tcPr>
                  <w:tcW w:w="675" w:type="pct"/>
                  <w:noWrap w:val="0"/>
                  <w:tcMar>
                    <w:top w:w="57" w:type="dxa"/>
                    <w:bottom w:w="57" w:type="dxa"/>
                  </w:tcMar>
                  <w:vAlign w:val="center"/>
                </w:tcPr>
                <w:p w14:paraId="7E7ECF20">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rPr>
                    <w:t>30</w:t>
                  </w:r>
                </w:p>
              </w:tc>
              <w:tc>
                <w:tcPr>
                  <w:tcW w:w="675" w:type="pct"/>
                  <w:noWrap w:val="0"/>
                  <w:tcMar>
                    <w:top w:w="57" w:type="dxa"/>
                    <w:bottom w:w="57" w:type="dxa"/>
                  </w:tcMar>
                  <w:vAlign w:val="center"/>
                </w:tcPr>
                <w:p w14:paraId="233840DA">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szCs w:val="24"/>
                      <w:highlight w:val="none"/>
                    </w:rPr>
                    <w:t>0.0</w:t>
                  </w:r>
                  <w:r>
                    <w:rPr>
                      <w:rFonts w:hint="eastAsia" w:ascii="Times New Roman" w:hAnsi="Times New Roman" w:cs="Times New Roman"/>
                      <w:color w:val="auto"/>
                      <w:sz w:val="21"/>
                      <w:szCs w:val="24"/>
                      <w:highlight w:val="none"/>
                      <w:lang w:val="en-US" w:eastAsia="zh-CN"/>
                    </w:rPr>
                    <w:t>2</w:t>
                  </w:r>
                </w:p>
              </w:tc>
              <w:tc>
                <w:tcPr>
                  <w:tcW w:w="572" w:type="pct"/>
                  <w:vMerge w:val="continue"/>
                  <w:noWrap w:val="0"/>
                  <w:tcMar>
                    <w:top w:w="57" w:type="dxa"/>
                    <w:bottom w:w="57" w:type="dxa"/>
                  </w:tcMar>
                  <w:vAlign w:val="center"/>
                </w:tcPr>
                <w:p w14:paraId="7B347C53">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olor w:val="auto"/>
                      <w:sz w:val="21"/>
                      <w:szCs w:val="21"/>
                      <w:highlight w:val="none"/>
                      <w:lang w:eastAsia="zh-CN"/>
                    </w:rPr>
                  </w:pPr>
                </w:p>
              </w:tc>
            </w:tr>
            <w:tr w14:paraId="694E81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444" w:type="pct"/>
                  <w:vMerge w:val="continue"/>
                  <w:noWrap w:val="0"/>
                  <w:tcMar>
                    <w:top w:w="57" w:type="dxa"/>
                    <w:bottom w:w="57" w:type="dxa"/>
                  </w:tcMar>
                  <w:vAlign w:val="center"/>
                </w:tcPr>
                <w:p w14:paraId="574CCD8E">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Times New Roman" w:hAnsi="Times New Roman" w:eastAsia="宋体"/>
                      <w:color w:val="auto"/>
                      <w:sz w:val="21"/>
                      <w:szCs w:val="21"/>
                      <w:highlight w:val="none"/>
                    </w:rPr>
                  </w:pPr>
                </w:p>
              </w:tc>
              <w:tc>
                <w:tcPr>
                  <w:tcW w:w="608" w:type="pct"/>
                  <w:noWrap w:val="0"/>
                  <w:tcMar>
                    <w:top w:w="57" w:type="dxa"/>
                    <w:bottom w:w="57" w:type="dxa"/>
                  </w:tcMar>
                  <w:vAlign w:val="center"/>
                </w:tcPr>
                <w:p w14:paraId="0B1CC3FC">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SS</w:t>
                  </w:r>
                </w:p>
              </w:tc>
              <w:tc>
                <w:tcPr>
                  <w:tcW w:w="624" w:type="pct"/>
                  <w:noWrap w:val="0"/>
                  <w:tcMar>
                    <w:top w:w="57" w:type="dxa"/>
                    <w:bottom w:w="57" w:type="dxa"/>
                  </w:tcMar>
                  <w:vAlign w:val="center"/>
                </w:tcPr>
                <w:p w14:paraId="78354976">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139.9</w:t>
                  </w:r>
                </w:p>
              </w:tc>
              <w:tc>
                <w:tcPr>
                  <w:tcW w:w="625" w:type="pct"/>
                  <w:noWrap w:val="0"/>
                  <w:tcMar>
                    <w:top w:w="57" w:type="dxa"/>
                    <w:bottom w:w="57" w:type="dxa"/>
                  </w:tcMar>
                  <w:vAlign w:val="center"/>
                </w:tcPr>
                <w:p w14:paraId="684AA95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0.0926</w:t>
                  </w:r>
                </w:p>
              </w:tc>
              <w:tc>
                <w:tcPr>
                  <w:tcW w:w="773" w:type="pct"/>
                  <w:vMerge w:val="continue"/>
                  <w:noWrap w:val="0"/>
                  <w:tcMar>
                    <w:top w:w="57" w:type="dxa"/>
                    <w:bottom w:w="57" w:type="dxa"/>
                  </w:tcMar>
                  <w:vAlign w:val="center"/>
                </w:tcPr>
                <w:p w14:paraId="69CE107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color w:val="auto"/>
                      <w:sz w:val="21"/>
                      <w:szCs w:val="21"/>
                      <w:highlight w:val="none"/>
                      <w:lang w:val="en-US" w:eastAsia="zh-CN"/>
                    </w:rPr>
                  </w:pPr>
                </w:p>
              </w:tc>
              <w:tc>
                <w:tcPr>
                  <w:tcW w:w="675" w:type="pct"/>
                  <w:noWrap w:val="0"/>
                  <w:tcMar>
                    <w:top w:w="57" w:type="dxa"/>
                    <w:bottom w:w="57" w:type="dxa"/>
                  </w:tcMar>
                  <w:vAlign w:val="center"/>
                </w:tcPr>
                <w:p w14:paraId="23771226">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rPr>
                    <w:t>5</w:t>
                  </w:r>
                </w:p>
              </w:tc>
              <w:tc>
                <w:tcPr>
                  <w:tcW w:w="675" w:type="pct"/>
                  <w:noWrap w:val="0"/>
                  <w:tcMar>
                    <w:top w:w="57" w:type="dxa"/>
                    <w:bottom w:w="57" w:type="dxa"/>
                  </w:tcMar>
                  <w:vAlign w:val="center"/>
                </w:tcPr>
                <w:p w14:paraId="56741710">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szCs w:val="24"/>
                      <w:highlight w:val="none"/>
                    </w:rPr>
                    <w:t>0.0033</w:t>
                  </w:r>
                </w:p>
              </w:tc>
              <w:tc>
                <w:tcPr>
                  <w:tcW w:w="572" w:type="pct"/>
                  <w:vMerge w:val="continue"/>
                  <w:noWrap w:val="0"/>
                  <w:tcMar>
                    <w:top w:w="57" w:type="dxa"/>
                    <w:bottom w:w="57" w:type="dxa"/>
                  </w:tcMar>
                  <w:vAlign w:val="center"/>
                </w:tcPr>
                <w:p w14:paraId="02FACE50">
                  <w:pPr>
                    <w:pStyle w:val="142"/>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outlineLvl w:val="9"/>
                    <w:rPr>
                      <w:rFonts w:ascii="Times New Roman" w:hAnsi="Times New Roman" w:eastAsia="宋体" w:cs="Times New Roman"/>
                      <w:bCs w:val="0"/>
                      <w:color w:val="auto"/>
                      <w:sz w:val="21"/>
                      <w:szCs w:val="21"/>
                      <w:highlight w:val="none"/>
                    </w:rPr>
                  </w:pPr>
                </w:p>
              </w:tc>
            </w:tr>
            <w:tr w14:paraId="039D9C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444" w:type="pct"/>
                  <w:vMerge w:val="continue"/>
                  <w:noWrap w:val="0"/>
                  <w:tcMar>
                    <w:top w:w="57" w:type="dxa"/>
                    <w:bottom w:w="57" w:type="dxa"/>
                  </w:tcMar>
                  <w:vAlign w:val="center"/>
                </w:tcPr>
                <w:p w14:paraId="15850288">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Times New Roman" w:hAnsi="Times New Roman" w:eastAsia="宋体"/>
                      <w:color w:val="auto"/>
                      <w:sz w:val="21"/>
                      <w:szCs w:val="21"/>
                      <w:highlight w:val="none"/>
                    </w:rPr>
                  </w:pPr>
                </w:p>
              </w:tc>
              <w:tc>
                <w:tcPr>
                  <w:tcW w:w="608" w:type="pct"/>
                  <w:noWrap w:val="0"/>
                  <w:tcMar>
                    <w:top w:w="57" w:type="dxa"/>
                    <w:bottom w:w="57" w:type="dxa"/>
                  </w:tcMar>
                  <w:vAlign w:val="center"/>
                </w:tcPr>
                <w:p w14:paraId="19CED82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NH</w:t>
                  </w:r>
                  <w:r>
                    <w:rPr>
                      <w:rFonts w:ascii="Times New Roman" w:hAnsi="Times New Roman" w:eastAsia="宋体"/>
                      <w:color w:val="auto"/>
                      <w:sz w:val="21"/>
                      <w:szCs w:val="21"/>
                      <w:highlight w:val="none"/>
                      <w:vertAlign w:val="subscript"/>
                    </w:rPr>
                    <w:t>3</w:t>
                  </w:r>
                  <w:r>
                    <w:rPr>
                      <w:rFonts w:ascii="Times New Roman" w:hAnsi="Times New Roman" w:eastAsia="宋体"/>
                      <w:color w:val="auto"/>
                      <w:sz w:val="21"/>
                      <w:szCs w:val="21"/>
                      <w:highlight w:val="none"/>
                    </w:rPr>
                    <w:t>-N</w:t>
                  </w:r>
                </w:p>
              </w:tc>
              <w:tc>
                <w:tcPr>
                  <w:tcW w:w="624" w:type="pct"/>
                  <w:noWrap w:val="0"/>
                  <w:tcMar>
                    <w:top w:w="57" w:type="dxa"/>
                    <w:bottom w:w="57" w:type="dxa"/>
                  </w:tcMar>
                  <w:vAlign w:val="center"/>
                </w:tcPr>
                <w:p w14:paraId="47DF259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24</w:t>
                  </w:r>
                </w:p>
              </w:tc>
              <w:tc>
                <w:tcPr>
                  <w:tcW w:w="625" w:type="pct"/>
                  <w:noWrap w:val="0"/>
                  <w:tcMar>
                    <w:top w:w="57" w:type="dxa"/>
                    <w:bottom w:w="57" w:type="dxa"/>
                  </w:tcMar>
                  <w:vAlign w:val="center"/>
                </w:tcPr>
                <w:p w14:paraId="3C8B2A5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0.0159</w:t>
                  </w:r>
                </w:p>
              </w:tc>
              <w:tc>
                <w:tcPr>
                  <w:tcW w:w="773" w:type="pct"/>
                  <w:vMerge w:val="continue"/>
                  <w:noWrap w:val="0"/>
                  <w:tcMar>
                    <w:top w:w="57" w:type="dxa"/>
                    <w:bottom w:w="57" w:type="dxa"/>
                  </w:tcMar>
                  <w:vAlign w:val="center"/>
                </w:tcPr>
                <w:p w14:paraId="5F297B06">
                  <w:pPr>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sz w:val="21"/>
                      <w:szCs w:val="21"/>
                      <w:highlight w:val="none"/>
                      <w:lang w:val="en-US" w:eastAsia="zh-CN"/>
                    </w:rPr>
                  </w:pPr>
                </w:p>
              </w:tc>
              <w:tc>
                <w:tcPr>
                  <w:tcW w:w="675" w:type="pct"/>
                  <w:noWrap w:val="0"/>
                  <w:tcMar>
                    <w:top w:w="57" w:type="dxa"/>
                    <w:bottom w:w="57" w:type="dxa"/>
                  </w:tcMar>
                  <w:vAlign w:val="center"/>
                </w:tcPr>
                <w:p w14:paraId="0EDC8F69">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rPr>
                    <w:t>3</w:t>
                  </w:r>
                </w:p>
              </w:tc>
              <w:tc>
                <w:tcPr>
                  <w:tcW w:w="675" w:type="pct"/>
                  <w:noWrap w:val="0"/>
                  <w:tcMar>
                    <w:top w:w="57" w:type="dxa"/>
                    <w:bottom w:w="57" w:type="dxa"/>
                  </w:tcMar>
                  <w:vAlign w:val="center"/>
                </w:tcPr>
                <w:p w14:paraId="32342F9E">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szCs w:val="24"/>
                      <w:highlight w:val="none"/>
                    </w:rPr>
                    <w:t>0.00</w:t>
                  </w:r>
                  <w:r>
                    <w:rPr>
                      <w:rFonts w:hint="eastAsia" w:ascii="Times New Roman" w:hAnsi="Times New Roman" w:cs="Times New Roman"/>
                      <w:color w:val="auto"/>
                      <w:sz w:val="21"/>
                      <w:szCs w:val="24"/>
                      <w:highlight w:val="none"/>
                      <w:lang w:val="en-US" w:eastAsia="zh-CN"/>
                    </w:rPr>
                    <w:t>20</w:t>
                  </w:r>
                </w:p>
              </w:tc>
              <w:tc>
                <w:tcPr>
                  <w:tcW w:w="572" w:type="pct"/>
                  <w:vMerge w:val="continue"/>
                  <w:noWrap w:val="0"/>
                  <w:tcMar>
                    <w:top w:w="57" w:type="dxa"/>
                    <w:bottom w:w="57" w:type="dxa"/>
                  </w:tcMar>
                  <w:vAlign w:val="center"/>
                </w:tcPr>
                <w:p w14:paraId="2481F50F">
                  <w:pPr>
                    <w:pStyle w:val="142"/>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outlineLvl w:val="9"/>
                    <w:rPr>
                      <w:rFonts w:ascii="Times New Roman" w:hAnsi="Times New Roman" w:eastAsia="宋体" w:cs="Times New Roman"/>
                      <w:bCs w:val="0"/>
                      <w:color w:val="auto"/>
                      <w:sz w:val="21"/>
                      <w:szCs w:val="21"/>
                      <w:highlight w:val="none"/>
                    </w:rPr>
                  </w:pPr>
                </w:p>
              </w:tc>
            </w:tr>
            <w:tr w14:paraId="799DBE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444" w:type="pct"/>
                  <w:vMerge w:val="continue"/>
                  <w:noWrap w:val="0"/>
                  <w:tcMar>
                    <w:top w:w="57" w:type="dxa"/>
                    <w:bottom w:w="57" w:type="dxa"/>
                  </w:tcMar>
                  <w:vAlign w:val="center"/>
                </w:tcPr>
                <w:p w14:paraId="54EF15A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Times New Roman" w:hAnsi="Times New Roman" w:eastAsia="宋体"/>
                      <w:color w:val="auto"/>
                      <w:sz w:val="21"/>
                      <w:szCs w:val="21"/>
                      <w:highlight w:val="none"/>
                    </w:rPr>
                  </w:pPr>
                </w:p>
              </w:tc>
              <w:tc>
                <w:tcPr>
                  <w:tcW w:w="608" w:type="pct"/>
                  <w:noWrap w:val="0"/>
                  <w:tcMar>
                    <w:top w:w="57" w:type="dxa"/>
                    <w:bottom w:w="57" w:type="dxa"/>
                  </w:tcMar>
                  <w:vAlign w:val="center"/>
                </w:tcPr>
                <w:p w14:paraId="121BA1B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TP</w:t>
                  </w:r>
                </w:p>
              </w:tc>
              <w:tc>
                <w:tcPr>
                  <w:tcW w:w="624" w:type="pct"/>
                  <w:noWrap w:val="0"/>
                  <w:tcMar>
                    <w:top w:w="57" w:type="dxa"/>
                    <w:bottom w:w="57" w:type="dxa"/>
                  </w:tcMar>
                  <w:vAlign w:val="center"/>
                </w:tcPr>
                <w:p w14:paraId="5082C5A8">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3.6</w:t>
                  </w:r>
                </w:p>
              </w:tc>
              <w:tc>
                <w:tcPr>
                  <w:tcW w:w="625" w:type="pct"/>
                  <w:noWrap w:val="0"/>
                  <w:tcMar>
                    <w:top w:w="57" w:type="dxa"/>
                    <w:bottom w:w="57" w:type="dxa"/>
                  </w:tcMar>
                  <w:vAlign w:val="center"/>
                </w:tcPr>
                <w:p w14:paraId="590D49A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0.0024</w:t>
                  </w:r>
                </w:p>
              </w:tc>
              <w:tc>
                <w:tcPr>
                  <w:tcW w:w="773" w:type="pct"/>
                  <w:vMerge w:val="continue"/>
                  <w:noWrap w:val="0"/>
                  <w:tcMar>
                    <w:top w:w="57" w:type="dxa"/>
                    <w:bottom w:w="57" w:type="dxa"/>
                  </w:tcMar>
                  <w:vAlign w:val="center"/>
                </w:tcPr>
                <w:p w14:paraId="484A7E84">
                  <w:pPr>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sz w:val="21"/>
                      <w:szCs w:val="21"/>
                      <w:highlight w:val="none"/>
                      <w:lang w:val="en-US" w:eastAsia="zh-CN"/>
                    </w:rPr>
                  </w:pPr>
                </w:p>
              </w:tc>
              <w:tc>
                <w:tcPr>
                  <w:tcW w:w="675" w:type="pct"/>
                  <w:noWrap w:val="0"/>
                  <w:tcMar>
                    <w:top w:w="57" w:type="dxa"/>
                    <w:bottom w:w="57" w:type="dxa"/>
                  </w:tcMar>
                  <w:vAlign w:val="center"/>
                </w:tcPr>
                <w:p w14:paraId="575A5870">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rPr>
                    <w:t>0.3</w:t>
                  </w:r>
                </w:p>
              </w:tc>
              <w:tc>
                <w:tcPr>
                  <w:tcW w:w="675" w:type="pct"/>
                  <w:noWrap w:val="0"/>
                  <w:tcMar>
                    <w:top w:w="57" w:type="dxa"/>
                    <w:bottom w:w="57" w:type="dxa"/>
                  </w:tcMar>
                  <w:vAlign w:val="center"/>
                </w:tcPr>
                <w:p w14:paraId="2E3A5B6D">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szCs w:val="24"/>
                      <w:highlight w:val="none"/>
                    </w:rPr>
                    <w:t>0.000</w:t>
                  </w:r>
                  <w:r>
                    <w:rPr>
                      <w:rFonts w:hint="eastAsia" w:cs="Times New Roman"/>
                      <w:color w:val="auto"/>
                      <w:sz w:val="21"/>
                      <w:szCs w:val="24"/>
                      <w:highlight w:val="none"/>
                      <w:lang w:val="en-US" w:eastAsia="zh-CN"/>
                    </w:rPr>
                    <w:t>20</w:t>
                  </w:r>
                </w:p>
              </w:tc>
              <w:tc>
                <w:tcPr>
                  <w:tcW w:w="572" w:type="pct"/>
                  <w:vMerge w:val="continue"/>
                  <w:noWrap w:val="0"/>
                  <w:tcMar>
                    <w:top w:w="57" w:type="dxa"/>
                    <w:bottom w:w="57" w:type="dxa"/>
                  </w:tcMar>
                  <w:vAlign w:val="center"/>
                </w:tcPr>
                <w:p w14:paraId="6A43C6AC">
                  <w:pPr>
                    <w:pStyle w:val="142"/>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outlineLvl w:val="9"/>
                    <w:rPr>
                      <w:rFonts w:ascii="Times New Roman" w:hAnsi="Times New Roman" w:eastAsia="宋体" w:cs="Times New Roman"/>
                      <w:bCs w:val="0"/>
                      <w:color w:val="auto"/>
                      <w:sz w:val="21"/>
                      <w:szCs w:val="21"/>
                      <w:highlight w:val="none"/>
                    </w:rPr>
                  </w:pPr>
                </w:p>
              </w:tc>
            </w:tr>
          </w:tbl>
          <w:p w14:paraId="097C7AFF">
            <w:pPr>
              <w:pStyle w:val="41"/>
              <w:bidi w:val="0"/>
              <w:jc w:val="both"/>
              <w:rPr>
                <w:rFonts w:hint="eastAsia"/>
                <w:lang w:val="en-US" w:eastAsia="zh-CN"/>
              </w:rPr>
            </w:pPr>
          </w:p>
          <w:p w14:paraId="63761C05">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val="en-US" w:eastAsia="zh-CN"/>
              </w:rPr>
            </w:pPr>
            <w:r>
              <w:rPr>
                <w:rFonts w:hint="eastAsia"/>
                <w:b/>
                <w:bCs/>
                <w:lang w:val="en-US" w:eastAsia="zh-CN"/>
              </w:rPr>
              <w:t>2）废气</w:t>
            </w:r>
          </w:p>
          <w:p w14:paraId="6C213EA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lang w:val="en-US" w:eastAsia="zh-CN"/>
              </w:rPr>
            </w:pPr>
            <w:r>
              <w:rPr>
                <w:rFonts w:hint="eastAsia"/>
                <w:b w:val="0"/>
                <w:bCs w:val="0"/>
                <w:lang w:val="en-US" w:eastAsia="zh-CN"/>
              </w:rPr>
              <w:t>现有项目废气产排情况见下表。</w:t>
            </w:r>
          </w:p>
          <w:p w14:paraId="5D9FDC6E">
            <w:pPr>
              <w:pStyle w:val="44"/>
              <w:bidi w:val="0"/>
              <w:rPr>
                <w:rFonts w:hint="eastAsia"/>
                <w:lang w:val="en-US" w:eastAsia="zh-CN"/>
              </w:rPr>
            </w:pPr>
            <w:r>
              <w:rPr>
                <w:rFonts w:hint="eastAsia"/>
                <w:lang w:val="en-US" w:eastAsia="zh-CN"/>
              </w:rPr>
              <w:t>现有项目废气污染物产生及处理情况表</w:t>
            </w:r>
          </w:p>
          <w:tbl>
            <w:tblPr>
              <w:tblStyle w:val="164"/>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96"/>
              <w:gridCol w:w="1052"/>
              <w:gridCol w:w="1561"/>
              <w:gridCol w:w="1530"/>
              <w:gridCol w:w="2549"/>
              <w:gridCol w:w="616"/>
            </w:tblGrid>
            <w:tr w14:paraId="411D5F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318" w:type="pct"/>
                  <w:tcBorders>
                    <w:tl2br w:val="nil"/>
                    <w:tr2bl w:val="nil"/>
                  </w:tcBorders>
                  <w:vAlign w:val="center"/>
                </w:tcPr>
                <w:p w14:paraId="44519A20">
                  <w:pPr>
                    <w:pStyle w:val="41"/>
                    <w:bidi w:val="0"/>
                    <w:jc w:val="center"/>
                    <w:rPr>
                      <w:b/>
                      <w:bCs/>
                      <w:color w:val="auto"/>
                      <w:highlight w:val="none"/>
                    </w:rPr>
                  </w:pPr>
                  <w:r>
                    <w:rPr>
                      <w:b/>
                      <w:bCs/>
                      <w:color w:val="auto"/>
                      <w:highlight w:val="none"/>
                    </w:rPr>
                    <w:t>类别</w:t>
                  </w:r>
                </w:p>
              </w:tc>
              <w:tc>
                <w:tcPr>
                  <w:tcW w:w="674" w:type="pct"/>
                  <w:tcBorders>
                    <w:tl2br w:val="nil"/>
                    <w:tr2bl w:val="nil"/>
                  </w:tcBorders>
                  <w:vAlign w:val="center"/>
                </w:tcPr>
                <w:p w14:paraId="0BE6C55A">
                  <w:pPr>
                    <w:pStyle w:val="41"/>
                    <w:bidi w:val="0"/>
                    <w:jc w:val="center"/>
                    <w:rPr>
                      <w:b/>
                      <w:bCs/>
                      <w:color w:val="auto"/>
                      <w:highlight w:val="none"/>
                    </w:rPr>
                  </w:pPr>
                  <w:r>
                    <w:rPr>
                      <w:b/>
                      <w:bCs/>
                      <w:color w:val="auto"/>
                      <w:highlight w:val="none"/>
                    </w:rPr>
                    <w:t>污染源名称</w:t>
                  </w:r>
                </w:p>
              </w:tc>
              <w:tc>
                <w:tcPr>
                  <w:tcW w:w="1000" w:type="pct"/>
                  <w:tcBorders>
                    <w:tl2br w:val="nil"/>
                    <w:tr2bl w:val="nil"/>
                  </w:tcBorders>
                  <w:vAlign w:val="center"/>
                </w:tcPr>
                <w:p w14:paraId="2BDC0E7E">
                  <w:pPr>
                    <w:pStyle w:val="41"/>
                    <w:bidi w:val="0"/>
                    <w:jc w:val="center"/>
                    <w:rPr>
                      <w:b/>
                      <w:bCs/>
                      <w:color w:val="auto"/>
                      <w:highlight w:val="none"/>
                    </w:rPr>
                  </w:pPr>
                  <w:r>
                    <w:rPr>
                      <w:b/>
                      <w:bCs/>
                      <w:color w:val="auto"/>
                      <w:highlight w:val="none"/>
                    </w:rPr>
                    <w:t>污染物名称</w:t>
                  </w:r>
                </w:p>
              </w:tc>
              <w:tc>
                <w:tcPr>
                  <w:tcW w:w="2613" w:type="pct"/>
                  <w:gridSpan w:val="2"/>
                  <w:tcBorders>
                    <w:tl2br w:val="nil"/>
                    <w:tr2bl w:val="nil"/>
                  </w:tcBorders>
                  <w:vAlign w:val="center"/>
                </w:tcPr>
                <w:p w14:paraId="6777FE99">
                  <w:pPr>
                    <w:pStyle w:val="41"/>
                    <w:bidi w:val="0"/>
                    <w:jc w:val="center"/>
                    <w:rPr>
                      <w:b/>
                      <w:bCs/>
                      <w:color w:val="auto"/>
                      <w:highlight w:val="none"/>
                    </w:rPr>
                  </w:pPr>
                  <w:r>
                    <w:rPr>
                      <w:b/>
                      <w:bCs/>
                      <w:color w:val="auto"/>
                      <w:highlight w:val="none"/>
                    </w:rPr>
                    <w:t>治理措施</w:t>
                  </w:r>
                </w:p>
              </w:tc>
              <w:tc>
                <w:tcPr>
                  <w:tcW w:w="394" w:type="pct"/>
                  <w:tcBorders>
                    <w:tl2br w:val="nil"/>
                    <w:tr2bl w:val="nil"/>
                  </w:tcBorders>
                  <w:vAlign w:val="center"/>
                </w:tcPr>
                <w:p w14:paraId="59394FF1">
                  <w:pPr>
                    <w:pStyle w:val="41"/>
                    <w:bidi w:val="0"/>
                    <w:jc w:val="center"/>
                    <w:rPr>
                      <w:rFonts w:hint="eastAsia" w:eastAsia="宋体"/>
                      <w:b/>
                      <w:bCs/>
                      <w:color w:val="auto"/>
                      <w:highlight w:val="none"/>
                      <w:lang w:val="en-US" w:eastAsia="zh-CN"/>
                    </w:rPr>
                  </w:pPr>
                  <w:r>
                    <w:rPr>
                      <w:rFonts w:hint="eastAsia"/>
                      <w:b/>
                      <w:bCs/>
                      <w:color w:val="auto"/>
                      <w:highlight w:val="none"/>
                      <w:lang w:val="en-US" w:eastAsia="zh-CN"/>
                    </w:rPr>
                    <w:t>备注</w:t>
                  </w:r>
                </w:p>
              </w:tc>
            </w:tr>
            <w:tr w14:paraId="3DAA8E8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318" w:type="pct"/>
                  <w:tcBorders>
                    <w:tl2br w:val="nil"/>
                    <w:tr2bl w:val="nil"/>
                  </w:tcBorders>
                  <w:vAlign w:val="center"/>
                </w:tcPr>
                <w:p w14:paraId="7ABB07B3">
                  <w:pPr>
                    <w:pStyle w:val="41"/>
                    <w:bidi w:val="0"/>
                    <w:jc w:val="center"/>
                    <w:rPr>
                      <w:rFonts w:hint="default" w:eastAsia="宋体"/>
                      <w:color w:val="auto"/>
                      <w:highlight w:val="none"/>
                      <w:lang w:val="en-US" w:eastAsia="zh-CN"/>
                    </w:rPr>
                  </w:pPr>
                  <w:r>
                    <w:rPr>
                      <w:rFonts w:hint="eastAsia"/>
                      <w:color w:val="auto"/>
                      <w:highlight w:val="none"/>
                      <w:lang w:val="en-US" w:eastAsia="zh-CN"/>
                    </w:rPr>
                    <w:t>3号楼</w:t>
                  </w:r>
                </w:p>
              </w:tc>
              <w:tc>
                <w:tcPr>
                  <w:tcW w:w="674" w:type="pct"/>
                  <w:tcBorders>
                    <w:tl2br w:val="nil"/>
                    <w:tr2bl w:val="nil"/>
                  </w:tcBorders>
                  <w:vAlign w:val="center"/>
                </w:tcPr>
                <w:p w14:paraId="5A99ECCD">
                  <w:pPr>
                    <w:pStyle w:val="41"/>
                    <w:bidi w:val="0"/>
                    <w:jc w:val="center"/>
                    <w:rPr>
                      <w:color w:val="auto"/>
                      <w:highlight w:val="none"/>
                    </w:rPr>
                  </w:pPr>
                  <w:r>
                    <w:rPr>
                      <w:rFonts w:hint="eastAsia"/>
                      <w:color w:val="auto"/>
                      <w:highlight w:val="none"/>
                      <w:lang w:val="en-US" w:eastAsia="zh-CN"/>
                    </w:rPr>
                    <w:t>细胞培养</w:t>
                  </w:r>
                  <w:r>
                    <w:rPr>
                      <w:color w:val="auto"/>
                      <w:highlight w:val="none"/>
                    </w:rPr>
                    <w:t>废气</w:t>
                  </w:r>
                </w:p>
              </w:tc>
              <w:tc>
                <w:tcPr>
                  <w:tcW w:w="1000" w:type="pct"/>
                  <w:tcBorders>
                    <w:tl2br w:val="nil"/>
                    <w:tr2bl w:val="nil"/>
                  </w:tcBorders>
                  <w:vAlign w:val="center"/>
                </w:tcPr>
                <w:p w14:paraId="0CEB16EA">
                  <w:pPr>
                    <w:pStyle w:val="41"/>
                    <w:bidi w:val="0"/>
                    <w:jc w:val="center"/>
                    <w:rPr>
                      <w:rFonts w:hint="default" w:eastAsia="宋体"/>
                      <w:color w:val="auto"/>
                      <w:highlight w:val="none"/>
                      <w:lang w:val="en-US" w:eastAsia="zh-CN"/>
                    </w:rPr>
                  </w:pPr>
                  <w:r>
                    <w:rPr>
                      <w:rFonts w:hint="default" w:ascii="Times New Roman" w:hAnsi="Times New Roman" w:eastAsia="宋体"/>
                      <w:color w:val="auto"/>
                      <w:sz w:val="21"/>
                      <w:szCs w:val="21"/>
                      <w:highlight w:val="none"/>
                    </w:rPr>
                    <w:t>NH</w:t>
                  </w:r>
                  <w:r>
                    <w:rPr>
                      <w:rFonts w:hint="default"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臭气浓度、气溶胶</w:t>
                  </w:r>
                </w:p>
              </w:tc>
              <w:tc>
                <w:tcPr>
                  <w:tcW w:w="980" w:type="pct"/>
                  <w:tcBorders>
                    <w:tl2br w:val="nil"/>
                    <w:tr2bl w:val="nil"/>
                  </w:tcBorders>
                  <w:vAlign w:val="center"/>
                </w:tcPr>
                <w:p w14:paraId="19DAB452">
                  <w:pPr>
                    <w:pStyle w:val="41"/>
                    <w:bidi w:val="0"/>
                    <w:jc w:val="center"/>
                    <w:rPr>
                      <w:rFonts w:hint="default" w:eastAsia="宋体"/>
                      <w:color w:val="auto"/>
                      <w:highlight w:val="none"/>
                      <w:lang w:val="en-US" w:eastAsia="zh-CN"/>
                    </w:rPr>
                  </w:pPr>
                  <w:r>
                    <w:rPr>
                      <w:rFonts w:hint="eastAsia"/>
                      <w:color w:val="auto"/>
                      <w:highlight w:val="none"/>
                      <w:lang w:val="en-US" w:eastAsia="zh-CN"/>
                    </w:rPr>
                    <w:t>生物安全柜收集</w:t>
                  </w:r>
                </w:p>
              </w:tc>
              <w:tc>
                <w:tcPr>
                  <w:tcW w:w="1632" w:type="pct"/>
                  <w:tcBorders>
                    <w:tl2br w:val="nil"/>
                    <w:tr2bl w:val="nil"/>
                  </w:tcBorders>
                  <w:vAlign w:val="center"/>
                </w:tcPr>
                <w:p w14:paraId="4604FC48">
                  <w:pPr>
                    <w:pStyle w:val="41"/>
                    <w:bidi w:val="0"/>
                    <w:ind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olor w:val="auto"/>
                      <w:sz w:val="21"/>
                      <w:szCs w:val="21"/>
                      <w:highlight w:val="none"/>
                      <w:lang w:val="en-US" w:eastAsia="zh-CN"/>
                    </w:rPr>
                    <w:t>生物安全柜</w:t>
                  </w:r>
                  <w:r>
                    <w:rPr>
                      <w:rFonts w:hint="eastAsia"/>
                      <w:color w:val="auto"/>
                      <w:sz w:val="21"/>
                      <w:szCs w:val="21"/>
                      <w:highlight w:val="none"/>
                      <w:lang w:val="en-US" w:eastAsia="zh-CN"/>
                    </w:rPr>
                    <w:t>自带的</w:t>
                  </w:r>
                  <w:r>
                    <w:rPr>
                      <w:rFonts w:hint="eastAsia" w:ascii="Times New Roman" w:hAnsi="Times New Roman" w:eastAsia="宋体"/>
                      <w:color w:val="auto"/>
                      <w:sz w:val="21"/>
                      <w:szCs w:val="21"/>
                      <w:highlight w:val="none"/>
                      <w:lang w:eastAsia="zh-CN"/>
                    </w:rPr>
                    <w:t>ULPA过滤器</w:t>
                  </w:r>
                  <w:r>
                    <w:rPr>
                      <w:rFonts w:hint="eastAsia"/>
                      <w:color w:val="auto"/>
                      <w:sz w:val="21"/>
                      <w:szCs w:val="21"/>
                      <w:highlight w:val="none"/>
                      <w:lang w:val="en-US" w:eastAsia="zh-CN"/>
                    </w:rPr>
                    <w:t>处理后无组织排放</w:t>
                  </w:r>
                </w:p>
              </w:tc>
              <w:tc>
                <w:tcPr>
                  <w:tcW w:w="394" w:type="pct"/>
                  <w:tcBorders>
                    <w:tl2br w:val="nil"/>
                    <w:tr2bl w:val="nil"/>
                  </w:tcBorders>
                  <w:vAlign w:val="center"/>
                </w:tcPr>
                <w:p w14:paraId="6A651E4B">
                  <w:pPr>
                    <w:pStyle w:val="41"/>
                    <w:bidi w:val="0"/>
                    <w:ind w:firstLine="0" w:firstLineChars="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已批已验</w:t>
                  </w:r>
                </w:p>
              </w:tc>
            </w:tr>
            <w:tr w14:paraId="2DC48A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318" w:type="pct"/>
                  <w:tcBorders>
                    <w:tl2br w:val="nil"/>
                    <w:tr2bl w:val="nil"/>
                  </w:tcBorders>
                  <w:vAlign w:val="center"/>
                </w:tcPr>
                <w:p w14:paraId="42406147">
                  <w:pPr>
                    <w:pStyle w:val="41"/>
                    <w:bidi w:val="0"/>
                    <w:jc w:val="center"/>
                    <w:rPr>
                      <w:color w:val="auto"/>
                      <w:highlight w:val="none"/>
                    </w:rPr>
                  </w:pPr>
                  <w:r>
                    <w:rPr>
                      <w:rFonts w:hint="eastAsia"/>
                      <w:color w:val="auto"/>
                      <w:highlight w:val="none"/>
                      <w:lang w:val="en-US" w:eastAsia="zh-CN"/>
                    </w:rPr>
                    <w:t>5号楼</w:t>
                  </w:r>
                </w:p>
              </w:tc>
              <w:tc>
                <w:tcPr>
                  <w:tcW w:w="674" w:type="pct"/>
                  <w:tcBorders>
                    <w:tl2br w:val="nil"/>
                    <w:tr2bl w:val="nil"/>
                  </w:tcBorders>
                  <w:vAlign w:val="center"/>
                </w:tcPr>
                <w:p w14:paraId="692D10FD">
                  <w:pPr>
                    <w:pStyle w:val="41"/>
                    <w:bidi w:val="0"/>
                    <w:jc w:val="center"/>
                    <w:rPr>
                      <w:color w:val="auto"/>
                      <w:highlight w:val="none"/>
                    </w:rPr>
                  </w:pPr>
                  <w:r>
                    <w:rPr>
                      <w:rFonts w:hint="eastAsia"/>
                      <w:color w:val="auto"/>
                      <w:highlight w:val="none"/>
                      <w:lang w:val="en-US" w:eastAsia="zh-CN"/>
                    </w:rPr>
                    <w:t>研发</w:t>
                  </w:r>
                  <w:r>
                    <w:rPr>
                      <w:color w:val="auto"/>
                      <w:highlight w:val="none"/>
                    </w:rPr>
                    <w:t>废气</w:t>
                  </w:r>
                </w:p>
              </w:tc>
              <w:tc>
                <w:tcPr>
                  <w:tcW w:w="1000" w:type="pct"/>
                  <w:tcBorders>
                    <w:tl2br w:val="nil"/>
                    <w:tr2bl w:val="nil"/>
                  </w:tcBorders>
                  <w:vAlign w:val="center"/>
                </w:tcPr>
                <w:p w14:paraId="7EF39FA8">
                  <w:pPr>
                    <w:pStyle w:val="41"/>
                    <w:bidi w:val="0"/>
                    <w:jc w:val="center"/>
                    <w:rPr>
                      <w:color w:val="auto"/>
                      <w:highlight w:val="none"/>
                    </w:rPr>
                  </w:pPr>
                  <w:r>
                    <w:rPr>
                      <w:rFonts w:hint="eastAsia"/>
                      <w:lang w:val="en-US" w:eastAsia="zh-CN"/>
                    </w:rPr>
                    <w:t>NMHC、乙醇</w:t>
                  </w:r>
                </w:p>
              </w:tc>
              <w:tc>
                <w:tcPr>
                  <w:tcW w:w="980" w:type="pct"/>
                  <w:tcBorders>
                    <w:tl2br w:val="nil"/>
                    <w:tr2bl w:val="nil"/>
                  </w:tcBorders>
                  <w:vAlign w:val="center"/>
                </w:tcPr>
                <w:p w14:paraId="53D28490">
                  <w:pPr>
                    <w:pStyle w:val="41"/>
                    <w:bidi w:val="0"/>
                    <w:jc w:val="center"/>
                    <w:rPr>
                      <w:rFonts w:hint="default" w:eastAsia="宋体"/>
                      <w:color w:val="auto"/>
                      <w:highlight w:val="none"/>
                      <w:lang w:val="en-US" w:eastAsia="zh-CN"/>
                    </w:rPr>
                  </w:pPr>
                  <w:r>
                    <w:rPr>
                      <w:rFonts w:hint="eastAsia"/>
                      <w:color w:val="auto"/>
                      <w:highlight w:val="none"/>
                      <w:lang w:val="en-US" w:eastAsia="zh-CN"/>
                    </w:rPr>
                    <w:t>通风橱、集气罩</w:t>
                  </w:r>
                </w:p>
              </w:tc>
              <w:tc>
                <w:tcPr>
                  <w:tcW w:w="1632" w:type="pct"/>
                  <w:tcBorders>
                    <w:tl2br w:val="nil"/>
                    <w:tr2bl w:val="nil"/>
                  </w:tcBorders>
                  <w:vAlign w:val="center"/>
                </w:tcPr>
                <w:p w14:paraId="5B238416">
                  <w:pPr>
                    <w:pStyle w:val="41"/>
                    <w:bidi w:val="0"/>
                    <w:ind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“UV光解+活性炭吸附装置”TA001</w:t>
                  </w:r>
                  <w:r>
                    <w:rPr>
                      <w:rFonts w:hint="eastAsia"/>
                      <w:color w:val="auto"/>
                      <w:highlight w:val="none"/>
                      <w:lang w:val="en-US" w:eastAsia="zh-CN"/>
                    </w:rPr>
                    <w:t>+30mDA001</w:t>
                  </w:r>
                </w:p>
              </w:tc>
              <w:tc>
                <w:tcPr>
                  <w:tcW w:w="394" w:type="pct"/>
                  <w:tcBorders>
                    <w:tl2br w:val="nil"/>
                    <w:tr2bl w:val="nil"/>
                  </w:tcBorders>
                  <w:vAlign w:val="center"/>
                </w:tcPr>
                <w:p w14:paraId="279A7C68">
                  <w:pPr>
                    <w:pStyle w:val="41"/>
                    <w:bidi w:val="0"/>
                    <w:ind w:firstLine="0" w:firstLineChars="0"/>
                    <w:jc w:val="center"/>
                    <w:rPr>
                      <w:rFonts w:hint="eastAsia"/>
                      <w:color w:val="auto"/>
                      <w:highlight w:val="none"/>
                    </w:rPr>
                  </w:pPr>
                  <w:r>
                    <w:rPr>
                      <w:rFonts w:hint="eastAsia"/>
                      <w:color w:val="auto"/>
                      <w:sz w:val="21"/>
                      <w:szCs w:val="21"/>
                      <w:highlight w:val="none"/>
                      <w:lang w:val="en-US" w:eastAsia="zh-CN"/>
                    </w:rPr>
                    <w:t>已批已验</w:t>
                  </w:r>
                </w:p>
              </w:tc>
            </w:tr>
            <w:tr w14:paraId="02476A8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6" w:hRule="atLeast"/>
              </w:trPr>
              <w:tc>
                <w:tcPr>
                  <w:tcW w:w="318" w:type="pct"/>
                  <w:tcBorders>
                    <w:tl2br w:val="nil"/>
                    <w:tr2bl w:val="nil"/>
                  </w:tcBorders>
                  <w:vAlign w:val="center"/>
                </w:tcPr>
                <w:p w14:paraId="223717A4">
                  <w:pPr>
                    <w:pStyle w:val="41"/>
                    <w:bidi w:val="0"/>
                    <w:jc w:val="center"/>
                    <w:rPr>
                      <w:rFonts w:hint="default" w:eastAsia="宋体"/>
                      <w:color w:val="auto"/>
                      <w:highlight w:val="none"/>
                      <w:lang w:val="en-US" w:eastAsia="zh-CN"/>
                    </w:rPr>
                  </w:pPr>
                  <w:r>
                    <w:rPr>
                      <w:rFonts w:hint="eastAsia"/>
                      <w:color w:val="auto"/>
                      <w:highlight w:val="none"/>
                      <w:lang w:val="en-US" w:eastAsia="zh-CN"/>
                    </w:rPr>
                    <w:t>6号楼</w:t>
                  </w:r>
                </w:p>
              </w:tc>
              <w:tc>
                <w:tcPr>
                  <w:tcW w:w="674" w:type="pct"/>
                  <w:tcBorders>
                    <w:tl2br w:val="nil"/>
                    <w:tr2bl w:val="nil"/>
                  </w:tcBorders>
                  <w:shd w:val="clear" w:color="auto" w:fill="auto"/>
                  <w:vAlign w:val="center"/>
                </w:tcPr>
                <w:p w14:paraId="67968B38">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细胞培养</w:t>
                  </w:r>
                  <w:r>
                    <w:rPr>
                      <w:color w:val="auto"/>
                      <w:highlight w:val="none"/>
                    </w:rPr>
                    <w:t>废气</w:t>
                  </w:r>
                </w:p>
              </w:tc>
              <w:tc>
                <w:tcPr>
                  <w:tcW w:w="1000" w:type="pct"/>
                  <w:tcBorders>
                    <w:tl2br w:val="nil"/>
                    <w:tr2bl w:val="nil"/>
                  </w:tcBorders>
                  <w:shd w:val="clear" w:color="auto" w:fill="auto"/>
                  <w:vAlign w:val="center"/>
                </w:tcPr>
                <w:p w14:paraId="344CEADC">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olor w:val="auto"/>
                      <w:sz w:val="21"/>
                      <w:szCs w:val="21"/>
                      <w:highlight w:val="none"/>
                    </w:rPr>
                    <w:t>NH</w:t>
                  </w:r>
                  <w:r>
                    <w:rPr>
                      <w:rFonts w:hint="default"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臭气浓度、气溶胶</w:t>
                  </w:r>
                </w:p>
              </w:tc>
              <w:tc>
                <w:tcPr>
                  <w:tcW w:w="980" w:type="pct"/>
                  <w:tcBorders>
                    <w:tl2br w:val="nil"/>
                    <w:tr2bl w:val="nil"/>
                  </w:tcBorders>
                  <w:shd w:val="clear" w:color="auto" w:fill="auto"/>
                  <w:vAlign w:val="center"/>
                </w:tcPr>
                <w:p w14:paraId="7FD64CFC">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通风橱、集气罩</w:t>
                  </w:r>
                </w:p>
              </w:tc>
              <w:tc>
                <w:tcPr>
                  <w:tcW w:w="1632" w:type="pct"/>
                  <w:tcBorders>
                    <w:tl2br w:val="nil"/>
                    <w:tr2bl w:val="nil"/>
                  </w:tcBorders>
                  <w:shd w:val="clear" w:color="auto" w:fill="auto"/>
                  <w:vAlign w:val="center"/>
                </w:tcPr>
                <w:p w14:paraId="4A6A4DD5">
                  <w:pPr>
                    <w:pStyle w:val="41"/>
                    <w:bidi w:val="0"/>
                    <w:ind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olor w:val="auto"/>
                      <w:sz w:val="21"/>
                      <w:szCs w:val="21"/>
                      <w:highlight w:val="none"/>
                      <w:lang w:val="en-US" w:eastAsia="zh-CN"/>
                    </w:rPr>
                    <w:t>生物安全柜</w:t>
                  </w:r>
                  <w:r>
                    <w:rPr>
                      <w:rFonts w:hint="eastAsia"/>
                      <w:color w:val="auto"/>
                      <w:sz w:val="21"/>
                      <w:szCs w:val="21"/>
                      <w:highlight w:val="none"/>
                      <w:lang w:val="en-US" w:eastAsia="zh-CN"/>
                    </w:rPr>
                    <w:t>自带的</w:t>
                  </w:r>
                  <w:r>
                    <w:rPr>
                      <w:rFonts w:hint="eastAsia" w:ascii="Times New Roman" w:hAnsi="Times New Roman" w:eastAsia="宋体"/>
                      <w:color w:val="auto"/>
                      <w:sz w:val="21"/>
                      <w:szCs w:val="21"/>
                      <w:highlight w:val="none"/>
                      <w:lang w:eastAsia="zh-CN"/>
                    </w:rPr>
                    <w:t>ULPA过滤器</w:t>
                  </w:r>
                  <w:r>
                    <w:rPr>
                      <w:rFonts w:hint="eastAsia"/>
                      <w:color w:val="auto"/>
                      <w:sz w:val="21"/>
                      <w:szCs w:val="21"/>
                      <w:highlight w:val="none"/>
                      <w:lang w:val="en-US" w:eastAsia="zh-CN"/>
                    </w:rPr>
                    <w:t>处理后无组织排放</w:t>
                  </w:r>
                </w:p>
              </w:tc>
              <w:tc>
                <w:tcPr>
                  <w:tcW w:w="394" w:type="pct"/>
                  <w:tcBorders>
                    <w:tl2br w:val="nil"/>
                    <w:tr2bl w:val="nil"/>
                  </w:tcBorders>
                  <w:shd w:val="clear" w:color="auto" w:fill="auto"/>
                  <w:vAlign w:val="center"/>
                </w:tcPr>
                <w:p w14:paraId="6A4494FE">
                  <w:pPr>
                    <w:pStyle w:val="41"/>
                    <w:bidi w:val="0"/>
                    <w:ind w:firstLine="0" w:firstLineChars="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已批在建</w:t>
                  </w:r>
                </w:p>
              </w:tc>
            </w:tr>
            <w:tr w14:paraId="7810DEC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318" w:type="pct"/>
                  <w:vMerge w:val="restart"/>
                  <w:tcBorders>
                    <w:tl2br w:val="nil"/>
                    <w:tr2bl w:val="nil"/>
                  </w:tcBorders>
                  <w:vAlign w:val="center"/>
                </w:tcPr>
                <w:p w14:paraId="011AA61B">
                  <w:pPr>
                    <w:pStyle w:val="41"/>
                    <w:bidi w:val="0"/>
                    <w:jc w:val="center"/>
                    <w:rPr>
                      <w:rFonts w:hint="default" w:eastAsia="宋体"/>
                      <w:color w:val="auto"/>
                      <w:highlight w:val="none"/>
                      <w:lang w:val="en-US" w:eastAsia="zh-CN"/>
                    </w:rPr>
                  </w:pPr>
                  <w:r>
                    <w:rPr>
                      <w:rFonts w:hint="eastAsia"/>
                      <w:color w:val="auto"/>
                      <w:highlight w:val="none"/>
                      <w:lang w:val="en-US" w:eastAsia="zh-CN"/>
                    </w:rPr>
                    <w:t>7号楼</w:t>
                  </w:r>
                </w:p>
              </w:tc>
              <w:tc>
                <w:tcPr>
                  <w:tcW w:w="674" w:type="pct"/>
                  <w:tcBorders>
                    <w:tl2br w:val="nil"/>
                    <w:tr2bl w:val="nil"/>
                  </w:tcBorders>
                  <w:shd w:val="clear" w:color="auto" w:fill="auto"/>
                  <w:vAlign w:val="center"/>
                </w:tcPr>
                <w:p w14:paraId="247300E6">
                  <w:pPr>
                    <w:pStyle w:val="41"/>
                    <w:bidi w:val="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研发废气</w:t>
                  </w:r>
                </w:p>
              </w:tc>
              <w:tc>
                <w:tcPr>
                  <w:tcW w:w="1000" w:type="pct"/>
                  <w:tcBorders>
                    <w:tl2br w:val="nil"/>
                    <w:tr2bl w:val="nil"/>
                  </w:tcBorders>
                  <w:vAlign w:val="center"/>
                </w:tcPr>
                <w:p w14:paraId="461A8467">
                  <w:pPr>
                    <w:pStyle w:val="41"/>
                    <w:bidi w:val="0"/>
                    <w:jc w:val="center"/>
                    <w:rPr>
                      <w:color w:val="auto"/>
                      <w:highlight w:val="none"/>
                    </w:rPr>
                  </w:pPr>
                  <w:r>
                    <w:rPr>
                      <w:rFonts w:hint="eastAsia"/>
                      <w:lang w:val="en-US" w:eastAsia="zh-CN"/>
                    </w:rPr>
                    <w:t>NMHC</w:t>
                  </w:r>
                </w:p>
              </w:tc>
              <w:tc>
                <w:tcPr>
                  <w:tcW w:w="980" w:type="pct"/>
                  <w:tcBorders>
                    <w:tl2br w:val="nil"/>
                    <w:tr2bl w:val="nil"/>
                  </w:tcBorders>
                  <w:vAlign w:val="center"/>
                </w:tcPr>
                <w:p w14:paraId="152A7452">
                  <w:pPr>
                    <w:pStyle w:val="41"/>
                    <w:bidi w:val="0"/>
                    <w:jc w:val="center"/>
                    <w:rPr>
                      <w:rFonts w:hint="eastAsia" w:eastAsia="宋体"/>
                      <w:color w:val="auto"/>
                      <w:highlight w:val="none"/>
                      <w:lang w:val="en-US" w:eastAsia="zh-CN"/>
                    </w:rPr>
                  </w:pPr>
                  <w:r>
                    <w:rPr>
                      <w:rFonts w:hint="eastAsia"/>
                      <w:color w:val="auto"/>
                      <w:highlight w:val="none"/>
                      <w:lang w:val="en-US" w:eastAsia="zh-CN"/>
                    </w:rPr>
                    <w:t>设备密闭收集</w:t>
                  </w:r>
                </w:p>
              </w:tc>
              <w:tc>
                <w:tcPr>
                  <w:tcW w:w="1632" w:type="pct"/>
                  <w:tcBorders>
                    <w:tl2br w:val="nil"/>
                    <w:tr2bl w:val="nil"/>
                  </w:tcBorders>
                  <w:vAlign w:val="center"/>
                </w:tcPr>
                <w:p w14:paraId="037BF746">
                  <w:pPr>
                    <w:pStyle w:val="41"/>
                    <w:bidi w:val="0"/>
                    <w:ind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“活性炭吸附装置”TA00</w:t>
                  </w:r>
                  <w:r>
                    <w:rPr>
                      <w:rFonts w:hint="eastAsia"/>
                      <w:color w:val="auto"/>
                      <w:highlight w:val="none"/>
                      <w:lang w:val="en-US" w:eastAsia="zh-CN"/>
                    </w:rPr>
                    <w:t>2+30mDA002</w:t>
                  </w:r>
                </w:p>
              </w:tc>
              <w:tc>
                <w:tcPr>
                  <w:tcW w:w="394" w:type="pct"/>
                  <w:vMerge w:val="restart"/>
                  <w:tcBorders>
                    <w:tl2br w:val="nil"/>
                    <w:tr2bl w:val="nil"/>
                  </w:tcBorders>
                  <w:vAlign w:val="center"/>
                </w:tcPr>
                <w:p w14:paraId="262A6A7B">
                  <w:pPr>
                    <w:pStyle w:val="41"/>
                    <w:bidi w:val="0"/>
                    <w:ind w:firstLine="0" w:firstLineChars="0"/>
                    <w:jc w:val="center"/>
                    <w:rPr>
                      <w:rFonts w:hint="eastAsia"/>
                      <w:color w:val="auto"/>
                      <w:highlight w:val="none"/>
                    </w:rPr>
                  </w:pPr>
                  <w:r>
                    <w:rPr>
                      <w:rFonts w:hint="eastAsia"/>
                      <w:color w:val="auto"/>
                      <w:sz w:val="21"/>
                      <w:szCs w:val="21"/>
                      <w:highlight w:val="none"/>
                      <w:lang w:val="en-US" w:eastAsia="zh-CN"/>
                    </w:rPr>
                    <w:t>已批已验</w:t>
                  </w:r>
                </w:p>
              </w:tc>
            </w:tr>
            <w:tr w14:paraId="030DBA3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318" w:type="pct"/>
                  <w:vMerge w:val="continue"/>
                  <w:tcBorders>
                    <w:tl2br w:val="nil"/>
                    <w:tr2bl w:val="nil"/>
                  </w:tcBorders>
                  <w:vAlign w:val="center"/>
                </w:tcPr>
                <w:p w14:paraId="2037EAE1">
                  <w:pPr>
                    <w:pStyle w:val="41"/>
                    <w:bidi w:val="0"/>
                    <w:jc w:val="center"/>
                    <w:rPr>
                      <w:rFonts w:hint="default" w:eastAsia="宋体"/>
                      <w:color w:val="auto"/>
                      <w:highlight w:val="none"/>
                      <w:lang w:val="en-US" w:eastAsia="zh-CN"/>
                    </w:rPr>
                  </w:pPr>
                </w:p>
              </w:tc>
              <w:tc>
                <w:tcPr>
                  <w:tcW w:w="674" w:type="pct"/>
                  <w:tcBorders>
                    <w:tl2br w:val="nil"/>
                    <w:tr2bl w:val="nil"/>
                  </w:tcBorders>
                  <w:shd w:val="clear" w:color="auto" w:fill="auto"/>
                  <w:vAlign w:val="center"/>
                </w:tcPr>
                <w:p w14:paraId="25587F0E">
                  <w:pPr>
                    <w:pStyle w:val="41"/>
                    <w:bidi w:val="0"/>
                    <w:rPr>
                      <w:rFonts w:hint="default" w:ascii="Times New Roman" w:hAnsi="Times New Roman" w:eastAsia="宋体" w:cs="Times New Roman"/>
                      <w:color w:val="auto"/>
                      <w:kern w:val="0"/>
                      <w:sz w:val="21"/>
                      <w:szCs w:val="24"/>
                      <w:lang w:val="en-US" w:eastAsia="zh-CN" w:bidi="ar-SA"/>
                    </w:rPr>
                  </w:pPr>
                  <w:r>
                    <w:rPr>
                      <w:rFonts w:hint="eastAsia"/>
                      <w:color w:val="auto"/>
                      <w:lang w:val="en-US" w:eastAsia="zh-CN"/>
                    </w:rPr>
                    <w:t>发酵废气</w:t>
                  </w:r>
                </w:p>
              </w:tc>
              <w:tc>
                <w:tcPr>
                  <w:tcW w:w="1000" w:type="pct"/>
                  <w:tcBorders>
                    <w:tl2br w:val="nil"/>
                    <w:tr2bl w:val="nil"/>
                  </w:tcBorders>
                  <w:vAlign w:val="center"/>
                </w:tcPr>
                <w:p w14:paraId="66FA83E5">
                  <w:pPr>
                    <w:pStyle w:val="41"/>
                    <w:bidi w:val="0"/>
                    <w:jc w:val="center"/>
                    <w:rPr>
                      <w:rFonts w:hint="default"/>
                      <w:color w:val="auto"/>
                      <w:highlight w:val="none"/>
                      <w:lang w:val="en-US" w:eastAsia="zh-CN"/>
                    </w:rPr>
                  </w:pPr>
                  <w:r>
                    <w:rPr>
                      <w:rFonts w:hint="default" w:ascii="Times New Roman" w:hAnsi="Times New Roman" w:eastAsia="宋体"/>
                      <w:color w:val="auto"/>
                      <w:sz w:val="21"/>
                      <w:szCs w:val="21"/>
                      <w:highlight w:val="none"/>
                    </w:rPr>
                    <w:t>NH</w:t>
                  </w:r>
                  <w:r>
                    <w:rPr>
                      <w:rFonts w:hint="default" w:ascii="Times New Roman" w:hAnsi="Times New Roman" w:eastAsia="宋体"/>
                      <w:color w:val="auto"/>
                      <w:sz w:val="21"/>
                      <w:szCs w:val="21"/>
                      <w:highlight w:val="none"/>
                      <w:vertAlign w:val="subscript"/>
                    </w:rPr>
                    <w:t>3</w:t>
                  </w:r>
                </w:p>
              </w:tc>
              <w:tc>
                <w:tcPr>
                  <w:tcW w:w="980" w:type="pct"/>
                  <w:tcBorders>
                    <w:tl2br w:val="nil"/>
                    <w:tr2bl w:val="nil"/>
                  </w:tcBorders>
                  <w:vAlign w:val="center"/>
                </w:tcPr>
                <w:p w14:paraId="22ADF34E">
                  <w:pPr>
                    <w:pStyle w:val="41"/>
                    <w:bidi w:val="0"/>
                    <w:jc w:val="center"/>
                    <w:rPr>
                      <w:color w:val="auto"/>
                      <w:highlight w:val="none"/>
                    </w:rPr>
                  </w:pPr>
                  <w:r>
                    <w:rPr>
                      <w:rFonts w:hint="eastAsia"/>
                      <w:color w:val="auto"/>
                      <w:highlight w:val="none"/>
                      <w:lang w:val="en-US" w:eastAsia="zh-CN"/>
                    </w:rPr>
                    <w:t>设备密闭收集</w:t>
                  </w:r>
                </w:p>
              </w:tc>
              <w:tc>
                <w:tcPr>
                  <w:tcW w:w="1632" w:type="pct"/>
                  <w:tcBorders>
                    <w:tl2br w:val="nil"/>
                    <w:tr2bl w:val="nil"/>
                  </w:tcBorders>
                  <w:vAlign w:val="center"/>
                </w:tcPr>
                <w:p w14:paraId="736C201A">
                  <w:pPr>
                    <w:pStyle w:val="41"/>
                    <w:bidi w:val="0"/>
                    <w:ind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25m排气筒DA003</w:t>
                  </w:r>
                </w:p>
              </w:tc>
              <w:tc>
                <w:tcPr>
                  <w:tcW w:w="394" w:type="pct"/>
                  <w:vMerge w:val="continue"/>
                  <w:tcBorders>
                    <w:tl2br w:val="nil"/>
                    <w:tr2bl w:val="nil"/>
                  </w:tcBorders>
                  <w:vAlign w:val="center"/>
                </w:tcPr>
                <w:p w14:paraId="632B2E0D">
                  <w:pPr>
                    <w:pStyle w:val="41"/>
                    <w:bidi w:val="0"/>
                    <w:ind w:firstLine="0" w:firstLineChars="0"/>
                    <w:jc w:val="center"/>
                    <w:rPr>
                      <w:rFonts w:hint="eastAsia"/>
                      <w:color w:val="auto"/>
                      <w:highlight w:val="none"/>
                      <w:lang w:val="en-US" w:eastAsia="zh-CN"/>
                    </w:rPr>
                  </w:pPr>
                </w:p>
              </w:tc>
            </w:tr>
            <w:tr w14:paraId="00A2EF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6" w:hRule="atLeast"/>
              </w:trPr>
              <w:tc>
                <w:tcPr>
                  <w:tcW w:w="318" w:type="pct"/>
                  <w:vMerge w:val="continue"/>
                  <w:tcBorders>
                    <w:tl2br w:val="nil"/>
                    <w:tr2bl w:val="nil"/>
                  </w:tcBorders>
                  <w:vAlign w:val="center"/>
                </w:tcPr>
                <w:p w14:paraId="3CAA7F11">
                  <w:pPr>
                    <w:pStyle w:val="41"/>
                    <w:bidi w:val="0"/>
                    <w:jc w:val="center"/>
                    <w:rPr>
                      <w:color w:val="auto"/>
                      <w:highlight w:val="none"/>
                    </w:rPr>
                  </w:pPr>
                </w:p>
              </w:tc>
              <w:tc>
                <w:tcPr>
                  <w:tcW w:w="674" w:type="pct"/>
                  <w:tcBorders>
                    <w:tl2br w:val="nil"/>
                    <w:tr2bl w:val="nil"/>
                  </w:tcBorders>
                  <w:shd w:val="clear" w:color="auto" w:fill="auto"/>
                  <w:vAlign w:val="center"/>
                </w:tcPr>
                <w:p w14:paraId="36542A43">
                  <w:pPr>
                    <w:pStyle w:val="41"/>
                    <w:bidi w:val="0"/>
                    <w:rPr>
                      <w:rFonts w:hint="default" w:ascii="Times New Roman" w:hAnsi="Times New Roman" w:eastAsia="宋体" w:cs="Times New Roman"/>
                      <w:color w:val="auto"/>
                      <w:kern w:val="0"/>
                      <w:sz w:val="21"/>
                      <w:szCs w:val="24"/>
                      <w:lang w:val="en-US" w:eastAsia="zh-CN" w:bidi="ar-SA"/>
                    </w:rPr>
                  </w:pPr>
                  <w:r>
                    <w:rPr>
                      <w:rFonts w:hint="eastAsia"/>
                      <w:color w:val="auto"/>
                      <w:lang w:val="en-US" w:eastAsia="zh-CN"/>
                    </w:rPr>
                    <w:t>锅炉燃烧废气</w:t>
                  </w:r>
                </w:p>
              </w:tc>
              <w:tc>
                <w:tcPr>
                  <w:tcW w:w="1000" w:type="pct"/>
                  <w:tcBorders>
                    <w:tl2br w:val="nil"/>
                    <w:tr2bl w:val="nil"/>
                  </w:tcBorders>
                  <w:vAlign w:val="center"/>
                </w:tcPr>
                <w:p w14:paraId="1F7C8B1E">
                  <w:pPr>
                    <w:pStyle w:val="41"/>
                    <w:bidi w:val="0"/>
                    <w:jc w:val="center"/>
                    <w:rPr>
                      <w:rFonts w:hint="default" w:eastAsia="宋体"/>
                      <w:color w:val="auto"/>
                      <w:highlight w:val="none"/>
                      <w:lang w:val="en-US" w:eastAsia="zh-CN"/>
                    </w:rPr>
                  </w:pPr>
                  <w:r>
                    <w:rPr>
                      <w:rFonts w:hint="eastAsia"/>
                      <w:color w:val="auto"/>
                      <w:highlight w:val="none"/>
                      <w:lang w:val="en-US" w:eastAsia="zh-CN"/>
                    </w:rPr>
                    <w:t>颗粒物</w:t>
                  </w:r>
                  <w:r>
                    <w:rPr>
                      <w:color w:val="auto"/>
                      <w:highlight w:val="none"/>
                    </w:rPr>
                    <w:t>、</w:t>
                  </w:r>
                  <w:r>
                    <w:rPr>
                      <w:rFonts w:hint="eastAsia"/>
                      <w:color w:val="auto"/>
                      <w:highlight w:val="none"/>
                      <w:lang w:val="en-US" w:eastAsia="zh-CN"/>
                    </w:rPr>
                    <w:t>二氧化硫、氮氧化物</w:t>
                  </w:r>
                </w:p>
              </w:tc>
              <w:tc>
                <w:tcPr>
                  <w:tcW w:w="980" w:type="pct"/>
                  <w:tcBorders>
                    <w:tl2br w:val="nil"/>
                    <w:tr2bl w:val="nil"/>
                  </w:tcBorders>
                  <w:vAlign w:val="center"/>
                </w:tcPr>
                <w:p w14:paraId="3186F93E">
                  <w:pPr>
                    <w:pStyle w:val="41"/>
                    <w:bidi w:val="0"/>
                    <w:jc w:val="center"/>
                    <w:rPr>
                      <w:rFonts w:hint="eastAsia" w:eastAsia="宋体"/>
                      <w:color w:val="auto"/>
                      <w:highlight w:val="none"/>
                      <w:lang w:val="en-US" w:eastAsia="zh-CN"/>
                    </w:rPr>
                  </w:pPr>
                  <w:r>
                    <w:rPr>
                      <w:rFonts w:hint="eastAsia"/>
                      <w:color w:val="auto"/>
                      <w:highlight w:val="none"/>
                      <w:lang w:val="en-US" w:eastAsia="zh-CN"/>
                    </w:rPr>
                    <w:t>设备密闭收集</w:t>
                  </w:r>
                </w:p>
              </w:tc>
              <w:tc>
                <w:tcPr>
                  <w:tcW w:w="1632" w:type="pct"/>
                  <w:tcBorders>
                    <w:tl2br w:val="nil"/>
                    <w:tr2bl w:val="nil"/>
                  </w:tcBorders>
                  <w:vAlign w:val="center"/>
                </w:tcPr>
                <w:p w14:paraId="134282D4">
                  <w:pPr>
                    <w:pStyle w:val="41"/>
                    <w:bidi w:val="0"/>
                    <w:ind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30m排气筒DA004</w:t>
                  </w:r>
                </w:p>
              </w:tc>
              <w:tc>
                <w:tcPr>
                  <w:tcW w:w="394" w:type="pct"/>
                  <w:vMerge w:val="continue"/>
                  <w:tcBorders>
                    <w:tl2br w:val="nil"/>
                    <w:tr2bl w:val="nil"/>
                  </w:tcBorders>
                  <w:vAlign w:val="center"/>
                </w:tcPr>
                <w:p w14:paraId="676B89D9">
                  <w:pPr>
                    <w:pStyle w:val="41"/>
                    <w:bidi w:val="0"/>
                    <w:ind w:firstLine="0" w:firstLineChars="0"/>
                    <w:jc w:val="center"/>
                    <w:rPr>
                      <w:rFonts w:hint="eastAsia"/>
                      <w:color w:val="auto"/>
                      <w:highlight w:val="none"/>
                      <w:lang w:val="en-US" w:eastAsia="zh-CN"/>
                    </w:rPr>
                  </w:pPr>
                </w:p>
              </w:tc>
            </w:tr>
          </w:tbl>
          <w:p w14:paraId="77EBB211">
            <w:pPr>
              <w:pStyle w:val="41"/>
              <w:bidi w:val="0"/>
              <w:rPr>
                <w:rFonts w:hint="eastAsia"/>
                <w:lang w:val="en-US" w:eastAsia="zh-CN"/>
              </w:rPr>
            </w:pPr>
          </w:p>
          <w:p w14:paraId="2BEDDDBF">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val="en-US" w:eastAsia="zh-CN"/>
              </w:rPr>
            </w:pPr>
            <w:r>
              <w:rPr>
                <w:rFonts w:hint="eastAsia"/>
                <w:b/>
                <w:bCs/>
                <w:lang w:val="en-US" w:eastAsia="zh-CN"/>
              </w:rPr>
              <w:t>①已批已验项目</w:t>
            </w:r>
          </w:p>
          <w:p w14:paraId="42AFA31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由于企业仅对5号楼废气排放情况进行了例行监测，此处根据企业“康缘医药科技园项目”验收监测报告对现有项目废气排放情况进行评价。根据验收监测报告（附件8），现有项目排气筒DA001、DA002的NMHC有组织排放满足《制药工业大气污染物排放标准》（DB32/4042-2021）表1限值，排气筒DA003的NH</w:t>
            </w:r>
            <w:r>
              <w:rPr>
                <w:rFonts w:hint="eastAsia"/>
                <w:vertAlign w:val="subscript"/>
                <w:lang w:val="en-US" w:eastAsia="zh-CN"/>
              </w:rPr>
              <w:t>3</w:t>
            </w:r>
            <w:r>
              <w:rPr>
                <w:rFonts w:hint="eastAsia"/>
                <w:lang w:val="en-US" w:eastAsia="zh-CN"/>
              </w:rPr>
              <w:t>有组织排放满足《制药工业大气污染物排放标准》（DB32/4042-2021）表2限值，排气筒DA004的颗粒物、SO</w:t>
            </w:r>
            <w:r>
              <w:rPr>
                <w:rFonts w:hint="eastAsia"/>
                <w:vertAlign w:val="subscript"/>
                <w:lang w:val="en-US" w:eastAsia="zh-CN"/>
              </w:rPr>
              <w:t>2</w:t>
            </w:r>
            <w:r>
              <w:rPr>
                <w:rFonts w:hint="eastAsia"/>
                <w:lang w:val="en-US" w:eastAsia="zh-CN"/>
              </w:rPr>
              <w:t>、NO</w:t>
            </w:r>
            <w:r>
              <w:rPr>
                <w:rFonts w:hint="eastAsia"/>
                <w:vertAlign w:val="subscript"/>
                <w:lang w:val="en-US" w:eastAsia="zh-CN"/>
              </w:rPr>
              <w:t>X</w:t>
            </w:r>
            <w:r>
              <w:rPr>
                <w:rFonts w:hint="eastAsia"/>
                <w:lang w:val="en-US" w:eastAsia="zh-CN"/>
              </w:rPr>
              <w:t>有组织排放满足《锅炉大气污染物排放标准》（DB32/4385-2022）表1限值，厂界NH</w:t>
            </w:r>
            <w:r>
              <w:rPr>
                <w:rFonts w:hint="eastAsia"/>
                <w:vertAlign w:val="subscript"/>
                <w:lang w:val="en-US" w:eastAsia="zh-CN"/>
              </w:rPr>
              <w:t>3</w:t>
            </w:r>
            <w:r>
              <w:rPr>
                <w:rFonts w:hint="eastAsia"/>
                <w:lang w:val="en-US" w:eastAsia="zh-CN"/>
              </w:rPr>
              <w:t>无组织排放满足《恶臭污染物排放标准》（GB14554-93）表1二级标准，厂界NMHC无组织排放满足《大气污染物综合排放标准》（DB32/4041-2021）表3限值，废气监测结果如下表。</w:t>
            </w:r>
          </w:p>
          <w:p w14:paraId="052A5EB3">
            <w:pPr>
              <w:pStyle w:val="44"/>
              <w:bidi w:val="0"/>
              <w:rPr>
                <w:rFonts w:hint="eastAsia"/>
                <w:lang w:val="en-US" w:eastAsia="zh-CN"/>
              </w:rPr>
            </w:pPr>
            <w:r>
              <w:rPr>
                <w:rFonts w:hint="eastAsia"/>
                <w:lang w:val="en-US" w:eastAsia="zh-CN"/>
              </w:rPr>
              <w:t>已批已验有组织废气监测情况一览表</w:t>
            </w:r>
          </w:p>
          <w:tbl>
            <w:tblPr>
              <w:tblStyle w:val="164"/>
              <w:tblW w:w="4996"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29"/>
              <w:gridCol w:w="982"/>
              <w:gridCol w:w="1149"/>
              <w:gridCol w:w="1244"/>
              <w:gridCol w:w="876"/>
              <w:gridCol w:w="2195"/>
              <w:gridCol w:w="726"/>
            </w:tblGrid>
            <w:tr w14:paraId="68CCB55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0" w:hRule="atLeast"/>
              </w:trPr>
              <w:tc>
                <w:tcPr>
                  <w:tcW w:w="403" w:type="pct"/>
                  <w:tcBorders>
                    <w:tl2br w:val="nil"/>
                    <w:tr2bl w:val="nil"/>
                  </w:tcBorders>
                  <w:vAlign w:val="center"/>
                </w:tcPr>
                <w:p w14:paraId="72CFBC87">
                  <w:pPr>
                    <w:spacing w:line="240" w:lineRule="auto"/>
                    <w:jc w:val="center"/>
                    <w:rPr>
                      <w:rFonts w:ascii="Times New Roman" w:hAnsi="Times New Roman" w:eastAsia="宋体" w:cs="Times New Roman"/>
                      <w:b/>
                      <w:bCs/>
                      <w:color w:val="auto"/>
                      <w:sz w:val="21"/>
                      <w:highlight w:val="none"/>
                      <w:lang w:val="zh-CN"/>
                    </w:rPr>
                  </w:pPr>
                  <w:r>
                    <w:rPr>
                      <w:rFonts w:ascii="Times New Roman" w:hAnsi="Times New Roman" w:eastAsia="宋体" w:cs="Times New Roman"/>
                      <w:b/>
                      <w:bCs/>
                      <w:color w:val="auto"/>
                      <w:sz w:val="21"/>
                      <w:highlight w:val="none"/>
                      <w:lang w:val="zh-CN"/>
                    </w:rPr>
                    <w:t>监测点位</w:t>
                  </w:r>
                </w:p>
              </w:tc>
              <w:tc>
                <w:tcPr>
                  <w:tcW w:w="629" w:type="pct"/>
                  <w:tcBorders>
                    <w:tl2br w:val="nil"/>
                    <w:tr2bl w:val="nil"/>
                  </w:tcBorders>
                  <w:vAlign w:val="center"/>
                </w:tcPr>
                <w:p w14:paraId="1A6BE4A7">
                  <w:pPr>
                    <w:spacing w:line="240" w:lineRule="auto"/>
                    <w:jc w:val="center"/>
                    <w:rPr>
                      <w:rFonts w:ascii="Times New Roman" w:hAnsi="Times New Roman" w:eastAsia="宋体" w:cs="Times New Roman"/>
                      <w:b/>
                      <w:bCs/>
                      <w:color w:val="auto"/>
                      <w:sz w:val="21"/>
                      <w:highlight w:val="none"/>
                      <w:lang w:val="zh-CN"/>
                    </w:rPr>
                  </w:pPr>
                  <w:r>
                    <w:rPr>
                      <w:rFonts w:ascii="Times New Roman" w:hAnsi="Times New Roman" w:eastAsia="宋体" w:cs="Times New Roman"/>
                      <w:b/>
                      <w:bCs/>
                      <w:color w:val="auto"/>
                      <w:sz w:val="21"/>
                      <w:highlight w:val="none"/>
                      <w:lang w:val="zh-CN"/>
                    </w:rPr>
                    <w:t>监测日期</w:t>
                  </w:r>
                </w:p>
              </w:tc>
              <w:tc>
                <w:tcPr>
                  <w:tcW w:w="736" w:type="pct"/>
                  <w:tcBorders>
                    <w:tl2br w:val="nil"/>
                    <w:tr2bl w:val="nil"/>
                  </w:tcBorders>
                  <w:vAlign w:val="center"/>
                </w:tcPr>
                <w:p w14:paraId="57FBDF5E">
                  <w:pPr>
                    <w:spacing w:line="240" w:lineRule="auto"/>
                    <w:jc w:val="center"/>
                    <w:rPr>
                      <w:rFonts w:ascii="Times New Roman" w:hAnsi="Times New Roman" w:eastAsia="宋体" w:cs="Times New Roman"/>
                      <w:b/>
                      <w:bCs/>
                      <w:color w:val="auto"/>
                      <w:sz w:val="21"/>
                      <w:highlight w:val="none"/>
                      <w:lang w:val="zh-CN"/>
                    </w:rPr>
                  </w:pPr>
                  <w:r>
                    <w:rPr>
                      <w:rFonts w:ascii="Times New Roman" w:hAnsi="Times New Roman" w:eastAsia="宋体" w:cs="Times New Roman"/>
                      <w:b/>
                      <w:bCs/>
                      <w:color w:val="auto"/>
                      <w:sz w:val="21"/>
                      <w:highlight w:val="none"/>
                      <w:lang w:val="zh-CN"/>
                    </w:rPr>
                    <w:t>监测因子</w:t>
                  </w:r>
                </w:p>
              </w:tc>
              <w:tc>
                <w:tcPr>
                  <w:tcW w:w="797" w:type="pct"/>
                  <w:tcBorders>
                    <w:tl2br w:val="nil"/>
                    <w:tr2bl w:val="nil"/>
                  </w:tcBorders>
                  <w:vAlign w:val="center"/>
                </w:tcPr>
                <w:p w14:paraId="2DEE08B4">
                  <w:pPr>
                    <w:spacing w:line="240" w:lineRule="auto"/>
                    <w:jc w:val="center"/>
                    <w:rPr>
                      <w:rFonts w:ascii="Times New Roman" w:hAnsi="Times New Roman" w:eastAsia="宋体" w:cs="Times New Roman"/>
                      <w:b/>
                      <w:bCs/>
                      <w:color w:val="auto"/>
                      <w:sz w:val="21"/>
                      <w:highlight w:val="none"/>
                      <w:lang w:val="zh-CN"/>
                    </w:rPr>
                  </w:pPr>
                  <w:r>
                    <w:rPr>
                      <w:rFonts w:hint="eastAsia" w:cs="Times New Roman"/>
                      <w:b/>
                      <w:bCs/>
                      <w:color w:val="auto"/>
                      <w:sz w:val="21"/>
                      <w:highlight w:val="none"/>
                      <w:lang w:val="en-US" w:eastAsia="zh-CN"/>
                    </w:rPr>
                    <w:t>监测结果</w:t>
                  </w:r>
                  <w:r>
                    <w:rPr>
                      <w:rFonts w:ascii="Times New Roman" w:hAnsi="Times New Roman" w:eastAsia="宋体" w:cs="Times New Roman"/>
                      <w:b/>
                      <w:bCs/>
                      <w:color w:val="auto"/>
                      <w:sz w:val="21"/>
                      <w:highlight w:val="none"/>
                      <w:lang w:val="zh-CN"/>
                    </w:rPr>
                    <w:t>(mg/</w:t>
                  </w:r>
                  <w:r>
                    <w:rPr>
                      <w:rFonts w:hint="eastAsia" w:cs="Times New Roman"/>
                      <w:b/>
                      <w:bCs/>
                      <w:color w:val="auto"/>
                      <w:sz w:val="21"/>
                      <w:highlight w:val="none"/>
                      <w:lang w:val="en-US" w:eastAsia="zh-CN"/>
                    </w:rPr>
                    <w:t>m</w:t>
                  </w:r>
                  <w:r>
                    <w:rPr>
                      <w:rFonts w:hint="eastAsia" w:cs="Times New Roman"/>
                      <w:b/>
                      <w:bCs/>
                      <w:color w:val="auto"/>
                      <w:sz w:val="21"/>
                      <w:highlight w:val="none"/>
                      <w:vertAlign w:val="superscript"/>
                      <w:lang w:val="en-US" w:eastAsia="zh-CN"/>
                    </w:rPr>
                    <w:t>3</w:t>
                  </w:r>
                  <w:r>
                    <w:rPr>
                      <w:rFonts w:ascii="Times New Roman" w:hAnsi="Times New Roman" w:eastAsia="宋体" w:cs="Times New Roman"/>
                      <w:b/>
                      <w:bCs/>
                      <w:color w:val="auto"/>
                      <w:sz w:val="21"/>
                      <w:highlight w:val="none"/>
                      <w:lang w:val="zh-CN"/>
                    </w:rPr>
                    <w:t>)</w:t>
                  </w:r>
                </w:p>
              </w:tc>
              <w:tc>
                <w:tcPr>
                  <w:tcW w:w="561" w:type="pct"/>
                  <w:tcBorders>
                    <w:tl2br w:val="nil"/>
                    <w:tr2bl w:val="nil"/>
                  </w:tcBorders>
                  <w:vAlign w:val="center"/>
                </w:tcPr>
                <w:p w14:paraId="57C7EF56">
                  <w:pPr>
                    <w:spacing w:line="240" w:lineRule="auto"/>
                    <w:jc w:val="center"/>
                    <w:rPr>
                      <w:rFonts w:ascii="Times New Roman" w:hAnsi="Times New Roman" w:eastAsia="宋体" w:cs="Times New Roman"/>
                      <w:b/>
                      <w:bCs/>
                      <w:color w:val="auto"/>
                      <w:sz w:val="21"/>
                      <w:highlight w:val="none"/>
                      <w:lang w:val="zh-CN"/>
                    </w:rPr>
                  </w:pPr>
                  <w:r>
                    <w:rPr>
                      <w:rFonts w:hint="eastAsia" w:cs="Times New Roman"/>
                      <w:b/>
                      <w:bCs/>
                      <w:color w:val="auto"/>
                      <w:sz w:val="21"/>
                      <w:highlight w:val="none"/>
                      <w:lang w:val="en-US" w:eastAsia="zh-CN"/>
                    </w:rPr>
                    <w:t>标准限值</w:t>
                  </w:r>
                  <w:r>
                    <w:rPr>
                      <w:rFonts w:ascii="Times New Roman" w:hAnsi="Times New Roman" w:eastAsia="宋体" w:cs="Times New Roman"/>
                      <w:b/>
                      <w:bCs/>
                      <w:color w:val="auto"/>
                      <w:sz w:val="21"/>
                      <w:highlight w:val="none"/>
                      <w:lang w:val="zh-CN"/>
                    </w:rPr>
                    <w:t>(mg/</w:t>
                  </w:r>
                  <w:r>
                    <w:rPr>
                      <w:rFonts w:hint="eastAsia" w:cs="Times New Roman"/>
                      <w:b/>
                      <w:bCs/>
                      <w:color w:val="auto"/>
                      <w:sz w:val="21"/>
                      <w:highlight w:val="none"/>
                      <w:lang w:val="en-US" w:eastAsia="zh-CN"/>
                    </w:rPr>
                    <w:t>m</w:t>
                  </w:r>
                  <w:r>
                    <w:rPr>
                      <w:rFonts w:hint="eastAsia" w:cs="Times New Roman"/>
                      <w:b/>
                      <w:bCs/>
                      <w:color w:val="auto"/>
                      <w:sz w:val="21"/>
                      <w:highlight w:val="none"/>
                      <w:vertAlign w:val="superscript"/>
                      <w:lang w:val="en-US" w:eastAsia="zh-CN"/>
                    </w:rPr>
                    <w:t>3</w:t>
                  </w:r>
                  <w:r>
                    <w:rPr>
                      <w:rFonts w:ascii="Times New Roman" w:hAnsi="Times New Roman" w:eastAsia="宋体" w:cs="Times New Roman"/>
                      <w:b/>
                      <w:bCs/>
                      <w:color w:val="auto"/>
                      <w:sz w:val="21"/>
                      <w:highlight w:val="none"/>
                      <w:lang w:val="zh-CN"/>
                    </w:rPr>
                    <w:t>)</w:t>
                  </w:r>
                </w:p>
              </w:tc>
              <w:tc>
                <w:tcPr>
                  <w:tcW w:w="1406" w:type="pct"/>
                  <w:tcBorders>
                    <w:tl2br w:val="nil"/>
                    <w:tr2bl w:val="nil"/>
                  </w:tcBorders>
                  <w:vAlign w:val="center"/>
                </w:tcPr>
                <w:p w14:paraId="6B4E2546">
                  <w:pPr>
                    <w:spacing w:line="240" w:lineRule="auto"/>
                    <w:jc w:val="center"/>
                    <w:rPr>
                      <w:rFonts w:hint="default" w:ascii="Times New Roman" w:hAnsi="Times New Roman" w:eastAsia="宋体" w:cs="Times New Roman"/>
                      <w:b/>
                      <w:bCs/>
                      <w:color w:val="auto"/>
                      <w:sz w:val="21"/>
                      <w:highlight w:val="none"/>
                      <w:lang w:val="en-US" w:eastAsia="zh-CN"/>
                    </w:rPr>
                  </w:pPr>
                  <w:r>
                    <w:rPr>
                      <w:rFonts w:hint="eastAsia" w:cs="Times New Roman"/>
                      <w:b/>
                      <w:bCs/>
                      <w:color w:val="auto"/>
                      <w:sz w:val="21"/>
                      <w:highlight w:val="none"/>
                      <w:lang w:val="en-US" w:eastAsia="zh-CN"/>
                    </w:rPr>
                    <w:t>标准来源</w:t>
                  </w:r>
                </w:p>
              </w:tc>
              <w:tc>
                <w:tcPr>
                  <w:tcW w:w="465" w:type="pct"/>
                  <w:tcBorders>
                    <w:tl2br w:val="nil"/>
                    <w:tr2bl w:val="nil"/>
                  </w:tcBorders>
                  <w:vAlign w:val="center"/>
                </w:tcPr>
                <w:p w14:paraId="4B147207">
                  <w:pPr>
                    <w:spacing w:line="240" w:lineRule="auto"/>
                    <w:jc w:val="center"/>
                    <w:rPr>
                      <w:rFonts w:ascii="Times New Roman" w:hAnsi="Times New Roman" w:eastAsia="宋体" w:cs="Times New Roman"/>
                      <w:b/>
                      <w:bCs/>
                      <w:color w:val="auto"/>
                      <w:sz w:val="21"/>
                      <w:highlight w:val="none"/>
                      <w:lang w:val="zh-CN"/>
                    </w:rPr>
                  </w:pPr>
                  <w:r>
                    <w:rPr>
                      <w:rFonts w:ascii="Times New Roman" w:hAnsi="Times New Roman" w:eastAsia="宋体" w:cs="Times New Roman"/>
                      <w:b/>
                      <w:bCs/>
                      <w:color w:val="auto"/>
                      <w:sz w:val="21"/>
                      <w:highlight w:val="none"/>
                      <w:lang w:val="zh-CN"/>
                    </w:rPr>
                    <w:t>达标情况</w:t>
                  </w:r>
                </w:p>
              </w:tc>
            </w:tr>
            <w:tr w14:paraId="4E553ED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trPr>
              <w:tc>
                <w:tcPr>
                  <w:tcW w:w="403" w:type="pct"/>
                  <w:vMerge w:val="restart"/>
                  <w:tcBorders>
                    <w:tl2br w:val="nil"/>
                    <w:tr2bl w:val="nil"/>
                  </w:tcBorders>
                  <w:vAlign w:val="center"/>
                </w:tcPr>
                <w:p w14:paraId="30B602A1">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DA001出口</w:t>
                  </w:r>
                </w:p>
              </w:tc>
              <w:tc>
                <w:tcPr>
                  <w:tcW w:w="629" w:type="pct"/>
                  <w:tcBorders>
                    <w:tl2br w:val="nil"/>
                    <w:tr2bl w:val="nil"/>
                  </w:tcBorders>
                  <w:vAlign w:val="center"/>
                </w:tcPr>
                <w:p w14:paraId="48BF8FEB">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2019.01.28</w:t>
                  </w:r>
                </w:p>
              </w:tc>
              <w:tc>
                <w:tcPr>
                  <w:tcW w:w="736" w:type="pct"/>
                  <w:tcBorders>
                    <w:tl2br w:val="nil"/>
                    <w:tr2bl w:val="nil"/>
                  </w:tcBorders>
                  <w:vAlign w:val="center"/>
                </w:tcPr>
                <w:p w14:paraId="5186AA92">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NMHC</w:t>
                  </w:r>
                </w:p>
              </w:tc>
              <w:tc>
                <w:tcPr>
                  <w:tcW w:w="797" w:type="pct"/>
                  <w:tcBorders>
                    <w:tl2br w:val="nil"/>
                    <w:tr2bl w:val="nil"/>
                  </w:tcBorders>
                  <w:vAlign w:val="center"/>
                </w:tcPr>
                <w:p w14:paraId="10DD34BC">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0.328</w:t>
                  </w:r>
                </w:p>
              </w:tc>
              <w:tc>
                <w:tcPr>
                  <w:tcW w:w="561" w:type="pct"/>
                  <w:vMerge w:val="restart"/>
                  <w:tcBorders>
                    <w:tl2br w:val="nil"/>
                    <w:tr2bl w:val="nil"/>
                  </w:tcBorders>
                  <w:vAlign w:val="center"/>
                </w:tcPr>
                <w:p w14:paraId="3E0F1E9A">
                  <w:pPr>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60</w:t>
                  </w:r>
                </w:p>
              </w:tc>
              <w:tc>
                <w:tcPr>
                  <w:tcW w:w="1406" w:type="pct"/>
                  <w:vMerge w:val="restart"/>
                  <w:tcBorders>
                    <w:tl2br w:val="nil"/>
                    <w:tr2bl w:val="nil"/>
                  </w:tcBorders>
                  <w:vAlign w:val="center"/>
                </w:tcPr>
                <w:p w14:paraId="48AD4825">
                  <w:pPr>
                    <w:spacing w:line="240" w:lineRule="auto"/>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zh-CN"/>
                    </w:rPr>
                    <w:t>《制药工业大气污染物排放标准》（DB32/4042-2021）</w:t>
                  </w:r>
                  <w:r>
                    <w:rPr>
                      <w:rFonts w:hint="eastAsia" w:cs="Times New Roman"/>
                      <w:color w:val="auto"/>
                      <w:sz w:val="21"/>
                      <w:highlight w:val="none"/>
                      <w:lang w:val="en-US" w:eastAsia="zh-CN"/>
                    </w:rPr>
                    <w:t>表1</w:t>
                  </w:r>
                </w:p>
              </w:tc>
              <w:tc>
                <w:tcPr>
                  <w:tcW w:w="465" w:type="pct"/>
                  <w:tcBorders>
                    <w:tl2br w:val="nil"/>
                    <w:tr2bl w:val="nil"/>
                  </w:tcBorders>
                  <w:vAlign w:val="center"/>
                </w:tcPr>
                <w:p w14:paraId="64AC22AC">
                  <w:pPr>
                    <w:spacing w:line="240" w:lineRule="auto"/>
                    <w:jc w:val="center"/>
                    <w:rPr>
                      <w:rFonts w:ascii="Times New Roman" w:hAnsi="Times New Roman" w:eastAsia="宋体" w:cs="Times New Roman"/>
                      <w:color w:val="auto"/>
                      <w:kern w:val="2"/>
                      <w:sz w:val="21"/>
                      <w:szCs w:val="24"/>
                      <w:highlight w:val="none"/>
                      <w:lang w:val="zh-CN" w:eastAsia="zh-CN" w:bidi="ar-SA"/>
                    </w:rPr>
                  </w:pPr>
                  <w:r>
                    <w:rPr>
                      <w:rFonts w:ascii="Times New Roman" w:hAnsi="Times New Roman" w:eastAsia="宋体" w:cs="Times New Roman"/>
                      <w:color w:val="auto"/>
                      <w:sz w:val="21"/>
                      <w:highlight w:val="none"/>
                      <w:lang w:val="zh-CN"/>
                    </w:rPr>
                    <w:t>达标</w:t>
                  </w:r>
                </w:p>
              </w:tc>
            </w:tr>
            <w:tr w14:paraId="5B0982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03" w:type="pct"/>
                  <w:vMerge w:val="continue"/>
                  <w:tcBorders>
                    <w:tl2br w:val="nil"/>
                    <w:tr2bl w:val="nil"/>
                  </w:tcBorders>
                  <w:vAlign w:val="center"/>
                </w:tcPr>
                <w:p w14:paraId="6C872948">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p>
              </w:tc>
              <w:tc>
                <w:tcPr>
                  <w:tcW w:w="629" w:type="pct"/>
                  <w:tcBorders>
                    <w:tl2br w:val="nil"/>
                    <w:tr2bl w:val="nil"/>
                  </w:tcBorders>
                  <w:vAlign w:val="center"/>
                </w:tcPr>
                <w:p w14:paraId="4BBD7EDD">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2019.01.29</w:t>
                  </w:r>
                </w:p>
              </w:tc>
              <w:tc>
                <w:tcPr>
                  <w:tcW w:w="736" w:type="pct"/>
                  <w:tcBorders>
                    <w:tl2br w:val="nil"/>
                    <w:tr2bl w:val="nil"/>
                  </w:tcBorders>
                  <w:vAlign w:val="center"/>
                </w:tcPr>
                <w:p w14:paraId="24631139">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NMHC</w:t>
                  </w:r>
                </w:p>
              </w:tc>
              <w:tc>
                <w:tcPr>
                  <w:tcW w:w="797" w:type="pct"/>
                  <w:tcBorders>
                    <w:tl2br w:val="nil"/>
                    <w:tr2bl w:val="nil"/>
                  </w:tcBorders>
                  <w:vAlign w:val="center"/>
                </w:tcPr>
                <w:p w14:paraId="36F58BBD">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0.16</w:t>
                  </w:r>
                </w:p>
              </w:tc>
              <w:tc>
                <w:tcPr>
                  <w:tcW w:w="561" w:type="pct"/>
                  <w:vMerge w:val="continue"/>
                  <w:tcBorders>
                    <w:tl2br w:val="nil"/>
                    <w:tr2bl w:val="nil"/>
                  </w:tcBorders>
                  <w:vAlign w:val="center"/>
                </w:tcPr>
                <w:p w14:paraId="65C3712C">
                  <w:pPr>
                    <w:spacing w:line="240" w:lineRule="auto"/>
                    <w:jc w:val="center"/>
                    <w:rPr>
                      <w:rFonts w:ascii="Times New Roman" w:hAnsi="Times New Roman" w:eastAsia="宋体" w:cs="Times New Roman"/>
                      <w:color w:val="auto"/>
                      <w:sz w:val="21"/>
                      <w:highlight w:val="none"/>
                      <w:lang w:val="zh-CN"/>
                    </w:rPr>
                  </w:pPr>
                </w:p>
              </w:tc>
              <w:tc>
                <w:tcPr>
                  <w:tcW w:w="1406" w:type="pct"/>
                  <w:vMerge w:val="continue"/>
                  <w:tcBorders>
                    <w:tl2br w:val="nil"/>
                    <w:tr2bl w:val="nil"/>
                  </w:tcBorders>
                  <w:vAlign w:val="center"/>
                </w:tcPr>
                <w:p w14:paraId="72A0C3B6">
                  <w:pPr>
                    <w:spacing w:line="240" w:lineRule="auto"/>
                    <w:jc w:val="center"/>
                    <w:rPr>
                      <w:rFonts w:hint="eastAsia" w:ascii="Times New Roman" w:hAnsi="Times New Roman" w:eastAsia="宋体" w:cs="Times New Roman"/>
                      <w:color w:val="auto"/>
                      <w:sz w:val="21"/>
                      <w:highlight w:val="none"/>
                      <w:lang w:val="zh-CN"/>
                    </w:rPr>
                  </w:pPr>
                </w:p>
              </w:tc>
              <w:tc>
                <w:tcPr>
                  <w:tcW w:w="465" w:type="pct"/>
                  <w:tcBorders>
                    <w:tl2br w:val="nil"/>
                    <w:tr2bl w:val="nil"/>
                  </w:tcBorders>
                  <w:vAlign w:val="center"/>
                </w:tcPr>
                <w:p w14:paraId="077EA390">
                  <w:pPr>
                    <w:spacing w:line="240" w:lineRule="auto"/>
                    <w:jc w:val="center"/>
                    <w:rPr>
                      <w:rFonts w:ascii="Times New Roman" w:hAnsi="Times New Roman" w:eastAsia="宋体" w:cs="Times New Roman"/>
                      <w:color w:val="auto"/>
                      <w:kern w:val="2"/>
                      <w:sz w:val="21"/>
                      <w:szCs w:val="24"/>
                      <w:highlight w:val="none"/>
                      <w:lang w:val="zh-CN" w:eastAsia="zh-CN" w:bidi="ar-SA"/>
                    </w:rPr>
                  </w:pPr>
                  <w:r>
                    <w:rPr>
                      <w:rFonts w:ascii="Times New Roman" w:hAnsi="Times New Roman" w:eastAsia="宋体" w:cs="Times New Roman"/>
                      <w:color w:val="auto"/>
                      <w:sz w:val="21"/>
                      <w:highlight w:val="none"/>
                      <w:lang w:val="zh-CN"/>
                    </w:rPr>
                    <w:t>达标</w:t>
                  </w:r>
                </w:p>
              </w:tc>
            </w:tr>
            <w:tr w14:paraId="0065B6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03" w:type="pct"/>
                  <w:vMerge w:val="restart"/>
                  <w:tcBorders>
                    <w:tl2br w:val="nil"/>
                    <w:tr2bl w:val="nil"/>
                  </w:tcBorders>
                  <w:vAlign w:val="center"/>
                </w:tcPr>
                <w:p w14:paraId="1B5A066F">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DA002出口</w:t>
                  </w:r>
                </w:p>
              </w:tc>
              <w:tc>
                <w:tcPr>
                  <w:tcW w:w="629" w:type="pct"/>
                  <w:tcBorders>
                    <w:tl2br w:val="nil"/>
                    <w:tr2bl w:val="nil"/>
                  </w:tcBorders>
                  <w:vAlign w:val="center"/>
                </w:tcPr>
                <w:p w14:paraId="39DA0573">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2019.01.28</w:t>
                  </w:r>
                </w:p>
              </w:tc>
              <w:tc>
                <w:tcPr>
                  <w:tcW w:w="736" w:type="pct"/>
                  <w:tcBorders>
                    <w:tl2br w:val="nil"/>
                    <w:tr2bl w:val="nil"/>
                  </w:tcBorders>
                  <w:vAlign w:val="center"/>
                </w:tcPr>
                <w:p w14:paraId="3031383C">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NMHC</w:t>
                  </w:r>
                </w:p>
              </w:tc>
              <w:tc>
                <w:tcPr>
                  <w:tcW w:w="797" w:type="pct"/>
                  <w:tcBorders>
                    <w:tl2br w:val="nil"/>
                    <w:tr2bl w:val="nil"/>
                  </w:tcBorders>
                  <w:vAlign w:val="center"/>
                </w:tcPr>
                <w:p w14:paraId="51E291F7">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0.228</w:t>
                  </w:r>
                </w:p>
              </w:tc>
              <w:tc>
                <w:tcPr>
                  <w:tcW w:w="561" w:type="pct"/>
                  <w:vMerge w:val="restart"/>
                  <w:tcBorders>
                    <w:tl2br w:val="nil"/>
                    <w:tr2bl w:val="nil"/>
                  </w:tcBorders>
                  <w:vAlign w:val="center"/>
                </w:tcPr>
                <w:p w14:paraId="4B747E5D">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60</w:t>
                  </w:r>
                </w:p>
              </w:tc>
              <w:tc>
                <w:tcPr>
                  <w:tcW w:w="1406" w:type="pct"/>
                  <w:vMerge w:val="restart"/>
                  <w:tcBorders>
                    <w:tl2br w:val="nil"/>
                    <w:tr2bl w:val="nil"/>
                  </w:tcBorders>
                  <w:vAlign w:val="center"/>
                </w:tcPr>
                <w:p w14:paraId="30408A97">
                  <w:pPr>
                    <w:spacing w:line="240" w:lineRule="auto"/>
                    <w:jc w:val="center"/>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sz w:val="21"/>
                      <w:highlight w:val="none"/>
                      <w:lang w:val="zh-CN"/>
                    </w:rPr>
                    <w:t>《制药工业大气污染物排放标准》（DB32/4042-2021）</w:t>
                  </w:r>
                  <w:r>
                    <w:rPr>
                      <w:rFonts w:hint="eastAsia" w:cs="Times New Roman"/>
                      <w:color w:val="auto"/>
                      <w:sz w:val="21"/>
                      <w:highlight w:val="none"/>
                      <w:lang w:val="en-US" w:eastAsia="zh-CN"/>
                    </w:rPr>
                    <w:t>表1</w:t>
                  </w:r>
                </w:p>
              </w:tc>
              <w:tc>
                <w:tcPr>
                  <w:tcW w:w="465" w:type="pct"/>
                  <w:tcBorders>
                    <w:tl2br w:val="nil"/>
                    <w:tr2bl w:val="nil"/>
                  </w:tcBorders>
                  <w:vAlign w:val="center"/>
                </w:tcPr>
                <w:p w14:paraId="7E79211A">
                  <w:pPr>
                    <w:spacing w:line="240" w:lineRule="auto"/>
                    <w:jc w:val="center"/>
                    <w:rPr>
                      <w:rFonts w:ascii="Times New Roman" w:hAnsi="Times New Roman" w:eastAsia="宋体" w:cs="Times New Roman"/>
                      <w:color w:val="auto"/>
                      <w:kern w:val="2"/>
                      <w:sz w:val="21"/>
                      <w:szCs w:val="24"/>
                      <w:highlight w:val="none"/>
                      <w:lang w:val="zh-CN" w:eastAsia="zh-CN" w:bidi="ar-SA"/>
                    </w:rPr>
                  </w:pPr>
                  <w:r>
                    <w:rPr>
                      <w:rFonts w:ascii="Times New Roman" w:hAnsi="Times New Roman" w:eastAsia="宋体" w:cs="Times New Roman"/>
                      <w:color w:val="auto"/>
                      <w:sz w:val="21"/>
                      <w:highlight w:val="none"/>
                      <w:lang w:val="zh-CN"/>
                    </w:rPr>
                    <w:t>达标</w:t>
                  </w:r>
                </w:p>
              </w:tc>
            </w:tr>
            <w:tr w14:paraId="439A93F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03" w:type="pct"/>
                  <w:vMerge w:val="continue"/>
                  <w:tcBorders>
                    <w:tl2br w:val="nil"/>
                    <w:tr2bl w:val="nil"/>
                  </w:tcBorders>
                  <w:vAlign w:val="center"/>
                </w:tcPr>
                <w:p w14:paraId="1AD349B9">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p>
              </w:tc>
              <w:tc>
                <w:tcPr>
                  <w:tcW w:w="629" w:type="pct"/>
                  <w:tcBorders>
                    <w:tl2br w:val="nil"/>
                    <w:tr2bl w:val="nil"/>
                  </w:tcBorders>
                  <w:vAlign w:val="center"/>
                </w:tcPr>
                <w:p w14:paraId="57C443B9">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2019.01.29</w:t>
                  </w:r>
                </w:p>
              </w:tc>
              <w:tc>
                <w:tcPr>
                  <w:tcW w:w="736" w:type="pct"/>
                  <w:tcBorders>
                    <w:tl2br w:val="nil"/>
                    <w:tr2bl w:val="nil"/>
                  </w:tcBorders>
                  <w:vAlign w:val="center"/>
                </w:tcPr>
                <w:p w14:paraId="1F6DEC5D">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NMHC</w:t>
                  </w:r>
                </w:p>
              </w:tc>
              <w:tc>
                <w:tcPr>
                  <w:tcW w:w="797" w:type="pct"/>
                  <w:tcBorders>
                    <w:tl2br w:val="nil"/>
                    <w:tr2bl w:val="nil"/>
                  </w:tcBorders>
                  <w:vAlign w:val="center"/>
                </w:tcPr>
                <w:p w14:paraId="6195F571">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0.313</w:t>
                  </w:r>
                </w:p>
              </w:tc>
              <w:tc>
                <w:tcPr>
                  <w:tcW w:w="561" w:type="pct"/>
                  <w:vMerge w:val="continue"/>
                  <w:tcBorders>
                    <w:tl2br w:val="nil"/>
                    <w:tr2bl w:val="nil"/>
                  </w:tcBorders>
                  <w:vAlign w:val="center"/>
                </w:tcPr>
                <w:p w14:paraId="7F096339">
                  <w:pPr>
                    <w:spacing w:line="240" w:lineRule="auto"/>
                    <w:jc w:val="center"/>
                    <w:rPr>
                      <w:rFonts w:ascii="Times New Roman" w:hAnsi="Times New Roman" w:eastAsia="宋体" w:cs="Times New Roman"/>
                      <w:color w:val="auto"/>
                      <w:sz w:val="21"/>
                      <w:highlight w:val="none"/>
                      <w:lang w:val="zh-CN"/>
                    </w:rPr>
                  </w:pPr>
                </w:p>
              </w:tc>
              <w:tc>
                <w:tcPr>
                  <w:tcW w:w="1406" w:type="pct"/>
                  <w:vMerge w:val="continue"/>
                  <w:tcBorders>
                    <w:tl2br w:val="nil"/>
                    <w:tr2bl w:val="nil"/>
                  </w:tcBorders>
                  <w:vAlign w:val="center"/>
                </w:tcPr>
                <w:p w14:paraId="0292E196">
                  <w:pPr>
                    <w:spacing w:line="240" w:lineRule="auto"/>
                    <w:jc w:val="center"/>
                    <w:rPr>
                      <w:rFonts w:hint="eastAsia" w:ascii="Times New Roman" w:hAnsi="Times New Roman" w:eastAsia="宋体" w:cs="Times New Roman"/>
                      <w:color w:val="auto"/>
                      <w:sz w:val="21"/>
                      <w:highlight w:val="none"/>
                      <w:lang w:val="zh-CN"/>
                    </w:rPr>
                  </w:pPr>
                </w:p>
              </w:tc>
              <w:tc>
                <w:tcPr>
                  <w:tcW w:w="465" w:type="pct"/>
                  <w:tcBorders>
                    <w:tl2br w:val="nil"/>
                    <w:tr2bl w:val="nil"/>
                  </w:tcBorders>
                  <w:vAlign w:val="center"/>
                </w:tcPr>
                <w:p w14:paraId="1EF62807">
                  <w:pPr>
                    <w:spacing w:line="240" w:lineRule="auto"/>
                    <w:jc w:val="center"/>
                    <w:rPr>
                      <w:rFonts w:ascii="Times New Roman" w:hAnsi="Times New Roman" w:eastAsia="宋体" w:cs="Times New Roman"/>
                      <w:color w:val="auto"/>
                      <w:kern w:val="2"/>
                      <w:sz w:val="21"/>
                      <w:szCs w:val="24"/>
                      <w:highlight w:val="none"/>
                      <w:lang w:val="zh-CN" w:eastAsia="zh-CN" w:bidi="ar-SA"/>
                    </w:rPr>
                  </w:pPr>
                  <w:r>
                    <w:rPr>
                      <w:rFonts w:ascii="Times New Roman" w:hAnsi="Times New Roman" w:eastAsia="宋体" w:cs="Times New Roman"/>
                      <w:color w:val="auto"/>
                      <w:sz w:val="21"/>
                      <w:highlight w:val="none"/>
                      <w:lang w:val="zh-CN"/>
                    </w:rPr>
                    <w:t>达标</w:t>
                  </w:r>
                </w:p>
              </w:tc>
            </w:tr>
            <w:tr w14:paraId="0742B1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03" w:type="pct"/>
                  <w:vMerge w:val="restart"/>
                  <w:tcBorders>
                    <w:tl2br w:val="nil"/>
                    <w:tr2bl w:val="nil"/>
                  </w:tcBorders>
                  <w:vAlign w:val="center"/>
                </w:tcPr>
                <w:p w14:paraId="39DF72B1">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DA003出口</w:t>
                  </w:r>
                </w:p>
              </w:tc>
              <w:tc>
                <w:tcPr>
                  <w:tcW w:w="629" w:type="pct"/>
                  <w:tcBorders>
                    <w:tl2br w:val="nil"/>
                    <w:tr2bl w:val="nil"/>
                  </w:tcBorders>
                  <w:vAlign w:val="center"/>
                </w:tcPr>
                <w:p w14:paraId="7BDE7BB7">
                  <w:pPr>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2019.02.27</w:t>
                  </w:r>
                </w:p>
              </w:tc>
              <w:tc>
                <w:tcPr>
                  <w:tcW w:w="736" w:type="pct"/>
                  <w:tcBorders>
                    <w:tl2br w:val="nil"/>
                    <w:tr2bl w:val="nil"/>
                  </w:tcBorders>
                  <w:vAlign w:val="center"/>
                </w:tcPr>
                <w:p w14:paraId="59FD81B1">
                  <w:pPr>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NH</w:t>
                  </w:r>
                  <w:r>
                    <w:rPr>
                      <w:rFonts w:hint="eastAsia" w:cs="Times New Roman"/>
                      <w:color w:val="auto"/>
                      <w:sz w:val="21"/>
                      <w:highlight w:val="none"/>
                      <w:vertAlign w:val="subscript"/>
                      <w:lang w:val="en-US" w:eastAsia="zh-CN"/>
                    </w:rPr>
                    <w:t>3</w:t>
                  </w:r>
                </w:p>
              </w:tc>
              <w:tc>
                <w:tcPr>
                  <w:tcW w:w="797" w:type="pct"/>
                  <w:tcBorders>
                    <w:tl2br w:val="nil"/>
                    <w:tr2bl w:val="nil"/>
                  </w:tcBorders>
                  <w:vAlign w:val="center"/>
                </w:tcPr>
                <w:p w14:paraId="061DABDC">
                  <w:pPr>
                    <w:spacing w:line="240" w:lineRule="auto"/>
                    <w:jc w:val="center"/>
                    <w:rPr>
                      <w:rFonts w:hint="eastAsia" w:cs="Times New Roman"/>
                      <w:color w:val="auto"/>
                      <w:sz w:val="21"/>
                      <w:highlight w:val="none"/>
                      <w:vertAlign w:val="superscript"/>
                      <w:lang w:val="en-US" w:eastAsia="zh-CN"/>
                    </w:rPr>
                  </w:pPr>
                  <w:r>
                    <w:rPr>
                      <w:rFonts w:hint="eastAsia" w:cs="Times New Roman"/>
                      <w:color w:val="auto"/>
                      <w:sz w:val="21"/>
                      <w:highlight w:val="none"/>
                      <w:lang w:val="en-US" w:eastAsia="zh-CN"/>
                    </w:rPr>
                    <w:t>7.22×10</w:t>
                  </w:r>
                  <w:r>
                    <w:rPr>
                      <w:rFonts w:hint="eastAsia" w:cs="Times New Roman"/>
                      <w:color w:val="auto"/>
                      <w:sz w:val="21"/>
                      <w:highlight w:val="none"/>
                      <w:vertAlign w:val="superscript"/>
                      <w:lang w:val="en-US" w:eastAsia="zh-CN"/>
                    </w:rPr>
                    <w:t>-5</w:t>
                  </w:r>
                </w:p>
                <w:p w14:paraId="78F5FFB9">
                  <w:pPr>
                    <w:spacing w:line="240" w:lineRule="auto"/>
                    <w:jc w:val="center"/>
                    <w:rPr>
                      <w:rFonts w:hint="default" w:cs="Times New Roman"/>
                      <w:color w:val="auto"/>
                      <w:sz w:val="21"/>
                      <w:highlight w:val="none"/>
                      <w:vertAlign w:val="baseline"/>
                      <w:lang w:val="en-US" w:eastAsia="zh-CN"/>
                    </w:rPr>
                  </w:pPr>
                  <w:r>
                    <w:rPr>
                      <w:rFonts w:hint="eastAsia" w:cs="Times New Roman"/>
                      <w:color w:val="auto"/>
                      <w:sz w:val="21"/>
                      <w:highlight w:val="none"/>
                      <w:lang w:val="en-US" w:eastAsia="zh-CN"/>
                    </w:rPr>
                    <w:t>（kg/h）</w:t>
                  </w:r>
                </w:p>
              </w:tc>
              <w:tc>
                <w:tcPr>
                  <w:tcW w:w="561" w:type="pct"/>
                  <w:vMerge w:val="restart"/>
                  <w:tcBorders>
                    <w:tl2br w:val="nil"/>
                    <w:tr2bl w:val="nil"/>
                  </w:tcBorders>
                  <w:vAlign w:val="center"/>
                </w:tcPr>
                <w:p w14:paraId="5711B407">
                  <w:pPr>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10（kg/h）</w:t>
                  </w:r>
                </w:p>
              </w:tc>
              <w:tc>
                <w:tcPr>
                  <w:tcW w:w="1406" w:type="pct"/>
                  <w:vMerge w:val="restart"/>
                  <w:tcBorders>
                    <w:tl2br w:val="nil"/>
                    <w:tr2bl w:val="nil"/>
                  </w:tcBorders>
                  <w:vAlign w:val="center"/>
                </w:tcPr>
                <w:p w14:paraId="659635E5">
                  <w:pPr>
                    <w:spacing w:line="240" w:lineRule="auto"/>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zh-CN"/>
                    </w:rPr>
                    <w:t>《制药工业大气污染物排放标准》（DB32/4042-2021）</w:t>
                  </w:r>
                  <w:r>
                    <w:rPr>
                      <w:rFonts w:hint="eastAsia" w:cs="Times New Roman"/>
                      <w:color w:val="auto"/>
                      <w:sz w:val="21"/>
                      <w:highlight w:val="none"/>
                      <w:lang w:val="en-US" w:eastAsia="zh-CN"/>
                    </w:rPr>
                    <w:t>表2</w:t>
                  </w:r>
                </w:p>
              </w:tc>
              <w:tc>
                <w:tcPr>
                  <w:tcW w:w="465" w:type="pct"/>
                  <w:tcBorders>
                    <w:tl2br w:val="nil"/>
                    <w:tr2bl w:val="nil"/>
                  </w:tcBorders>
                  <w:vAlign w:val="center"/>
                </w:tcPr>
                <w:p w14:paraId="365834B7">
                  <w:pPr>
                    <w:spacing w:line="240" w:lineRule="auto"/>
                    <w:jc w:val="center"/>
                    <w:rPr>
                      <w:rFonts w:hint="eastAsia" w:ascii="Times New Roman" w:hAnsi="Times New Roman" w:eastAsia="宋体" w:cs="Times New Roman"/>
                      <w:color w:val="auto"/>
                      <w:kern w:val="2"/>
                      <w:sz w:val="21"/>
                      <w:szCs w:val="24"/>
                      <w:highlight w:val="none"/>
                      <w:lang w:val="zh-CN" w:eastAsia="zh-CN" w:bidi="ar-SA"/>
                    </w:rPr>
                  </w:pPr>
                  <w:r>
                    <w:rPr>
                      <w:rFonts w:ascii="Times New Roman" w:hAnsi="Times New Roman" w:eastAsia="宋体" w:cs="Times New Roman"/>
                      <w:color w:val="auto"/>
                      <w:sz w:val="21"/>
                      <w:highlight w:val="none"/>
                      <w:lang w:val="zh-CN"/>
                    </w:rPr>
                    <w:t>达标</w:t>
                  </w:r>
                </w:p>
              </w:tc>
            </w:tr>
            <w:tr w14:paraId="4341F1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03" w:type="pct"/>
                  <w:vMerge w:val="continue"/>
                  <w:tcBorders>
                    <w:tl2br w:val="nil"/>
                    <w:tr2bl w:val="nil"/>
                  </w:tcBorders>
                  <w:vAlign w:val="center"/>
                </w:tcPr>
                <w:p w14:paraId="01E4AC63">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p>
              </w:tc>
              <w:tc>
                <w:tcPr>
                  <w:tcW w:w="629" w:type="pct"/>
                  <w:tcBorders>
                    <w:tl2br w:val="nil"/>
                    <w:tr2bl w:val="nil"/>
                  </w:tcBorders>
                  <w:vAlign w:val="center"/>
                </w:tcPr>
                <w:p w14:paraId="57738B19">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2019.02.28</w:t>
                  </w:r>
                </w:p>
              </w:tc>
              <w:tc>
                <w:tcPr>
                  <w:tcW w:w="736" w:type="pct"/>
                  <w:tcBorders>
                    <w:tl2br w:val="nil"/>
                    <w:tr2bl w:val="nil"/>
                  </w:tcBorders>
                  <w:vAlign w:val="center"/>
                </w:tcPr>
                <w:p w14:paraId="68C3EBD7">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NH</w:t>
                  </w:r>
                  <w:r>
                    <w:rPr>
                      <w:rFonts w:hint="eastAsia" w:cs="Times New Roman"/>
                      <w:color w:val="auto"/>
                      <w:sz w:val="21"/>
                      <w:highlight w:val="none"/>
                      <w:vertAlign w:val="subscript"/>
                      <w:lang w:val="en-US" w:eastAsia="zh-CN"/>
                    </w:rPr>
                    <w:t>3</w:t>
                  </w:r>
                </w:p>
              </w:tc>
              <w:tc>
                <w:tcPr>
                  <w:tcW w:w="797" w:type="pct"/>
                  <w:tcBorders>
                    <w:tl2br w:val="nil"/>
                    <w:tr2bl w:val="nil"/>
                  </w:tcBorders>
                  <w:vAlign w:val="center"/>
                </w:tcPr>
                <w:p w14:paraId="7BF159FA">
                  <w:pPr>
                    <w:spacing w:line="240" w:lineRule="auto"/>
                    <w:jc w:val="center"/>
                    <w:rPr>
                      <w:rFonts w:hint="eastAsia" w:cs="Times New Roman"/>
                      <w:color w:val="auto"/>
                      <w:sz w:val="21"/>
                      <w:highlight w:val="none"/>
                      <w:vertAlign w:val="superscript"/>
                      <w:lang w:val="en-US" w:eastAsia="zh-CN"/>
                    </w:rPr>
                  </w:pPr>
                  <w:r>
                    <w:rPr>
                      <w:rFonts w:hint="eastAsia" w:cs="Times New Roman"/>
                      <w:color w:val="auto"/>
                      <w:sz w:val="21"/>
                      <w:highlight w:val="none"/>
                      <w:lang w:val="en-US" w:eastAsia="zh-CN"/>
                    </w:rPr>
                    <w:t>9.75×10</w:t>
                  </w:r>
                  <w:r>
                    <w:rPr>
                      <w:rFonts w:hint="eastAsia" w:cs="Times New Roman"/>
                      <w:color w:val="auto"/>
                      <w:sz w:val="21"/>
                      <w:highlight w:val="none"/>
                      <w:vertAlign w:val="superscript"/>
                      <w:lang w:val="en-US" w:eastAsia="zh-CN"/>
                    </w:rPr>
                    <w:t>-5</w:t>
                  </w:r>
                </w:p>
                <w:p w14:paraId="5689A260">
                  <w:pPr>
                    <w:spacing w:line="240" w:lineRule="auto"/>
                    <w:jc w:val="center"/>
                    <w:rPr>
                      <w:rFonts w:hint="default" w:cs="Times New Roman"/>
                      <w:color w:val="auto"/>
                      <w:sz w:val="21"/>
                      <w:highlight w:val="none"/>
                      <w:lang w:val="en-US" w:eastAsia="zh-CN"/>
                    </w:rPr>
                  </w:pPr>
                  <w:r>
                    <w:rPr>
                      <w:rFonts w:hint="eastAsia" w:cs="Times New Roman"/>
                      <w:color w:val="auto"/>
                      <w:sz w:val="21"/>
                      <w:highlight w:val="none"/>
                      <w:lang w:val="en-US" w:eastAsia="zh-CN"/>
                    </w:rPr>
                    <w:t>（kg/h）</w:t>
                  </w:r>
                </w:p>
              </w:tc>
              <w:tc>
                <w:tcPr>
                  <w:tcW w:w="561" w:type="pct"/>
                  <w:vMerge w:val="continue"/>
                  <w:tcBorders>
                    <w:tl2br w:val="nil"/>
                    <w:tr2bl w:val="nil"/>
                  </w:tcBorders>
                  <w:vAlign w:val="center"/>
                </w:tcPr>
                <w:p w14:paraId="7B8C9CC1">
                  <w:pPr>
                    <w:spacing w:line="240" w:lineRule="auto"/>
                    <w:jc w:val="center"/>
                    <w:rPr>
                      <w:rFonts w:ascii="Times New Roman" w:hAnsi="Times New Roman" w:eastAsia="宋体" w:cs="Times New Roman"/>
                      <w:color w:val="auto"/>
                      <w:sz w:val="21"/>
                      <w:highlight w:val="none"/>
                      <w:lang w:val="zh-CN"/>
                    </w:rPr>
                  </w:pPr>
                </w:p>
              </w:tc>
              <w:tc>
                <w:tcPr>
                  <w:tcW w:w="1406" w:type="pct"/>
                  <w:vMerge w:val="continue"/>
                  <w:tcBorders>
                    <w:tl2br w:val="nil"/>
                    <w:tr2bl w:val="nil"/>
                  </w:tcBorders>
                  <w:vAlign w:val="center"/>
                </w:tcPr>
                <w:p w14:paraId="28AA000D">
                  <w:pPr>
                    <w:spacing w:line="240" w:lineRule="auto"/>
                    <w:jc w:val="center"/>
                    <w:rPr>
                      <w:rFonts w:hint="eastAsia" w:ascii="Times New Roman" w:hAnsi="Times New Roman" w:eastAsia="宋体" w:cs="Times New Roman"/>
                      <w:color w:val="auto"/>
                      <w:sz w:val="21"/>
                      <w:highlight w:val="none"/>
                      <w:lang w:val="zh-CN"/>
                    </w:rPr>
                  </w:pPr>
                </w:p>
              </w:tc>
              <w:tc>
                <w:tcPr>
                  <w:tcW w:w="465" w:type="pct"/>
                  <w:tcBorders>
                    <w:tl2br w:val="nil"/>
                    <w:tr2bl w:val="nil"/>
                  </w:tcBorders>
                  <w:vAlign w:val="center"/>
                </w:tcPr>
                <w:p w14:paraId="4DBBA1CB">
                  <w:pPr>
                    <w:spacing w:line="240" w:lineRule="auto"/>
                    <w:jc w:val="center"/>
                    <w:rPr>
                      <w:rFonts w:hint="eastAsia" w:ascii="Times New Roman" w:hAnsi="Times New Roman" w:eastAsia="宋体" w:cs="Times New Roman"/>
                      <w:color w:val="auto"/>
                      <w:kern w:val="2"/>
                      <w:sz w:val="21"/>
                      <w:szCs w:val="24"/>
                      <w:highlight w:val="none"/>
                      <w:lang w:val="zh-CN" w:eastAsia="zh-CN" w:bidi="ar-SA"/>
                    </w:rPr>
                  </w:pPr>
                  <w:r>
                    <w:rPr>
                      <w:rFonts w:ascii="Times New Roman" w:hAnsi="Times New Roman" w:eastAsia="宋体" w:cs="Times New Roman"/>
                      <w:color w:val="auto"/>
                      <w:sz w:val="21"/>
                      <w:highlight w:val="none"/>
                      <w:lang w:val="zh-CN"/>
                    </w:rPr>
                    <w:t>达标</w:t>
                  </w:r>
                </w:p>
              </w:tc>
            </w:tr>
            <w:tr w14:paraId="33476C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03" w:type="pct"/>
                  <w:vMerge w:val="restart"/>
                  <w:tcBorders>
                    <w:tl2br w:val="nil"/>
                    <w:tr2bl w:val="nil"/>
                  </w:tcBorders>
                  <w:vAlign w:val="center"/>
                </w:tcPr>
                <w:p w14:paraId="58CA7DA6">
                  <w:pPr>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DA004出口</w:t>
                  </w:r>
                </w:p>
              </w:tc>
              <w:tc>
                <w:tcPr>
                  <w:tcW w:w="629" w:type="pct"/>
                  <w:tcBorders>
                    <w:tl2br w:val="nil"/>
                    <w:tr2bl w:val="nil"/>
                  </w:tcBorders>
                  <w:vAlign w:val="center"/>
                </w:tcPr>
                <w:p w14:paraId="03DCA799">
                  <w:pPr>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2019.01.28</w:t>
                  </w:r>
                </w:p>
              </w:tc>
              <w:tc>
                <w:tcPr>
                  <w:tcW w:w="736" w:type="pct"/>
                  <w:tcBorders>
                    <w:tl2br w:val="nil"/>
                    <w:tr2bl w:val="nil"/>
                  </w:tcBorders>
                  <w:vAlign w:val="center"/>
                </w:tcPr>
                <w:p w14:paraId="2E89552D">
                  <w:pPr>
                    <w:spacing w:line="240" w:lineRule="auto"/>
                    <w:jc w:val="center"/>
                    <w:rPr>
                      <w:rFonts w:hint="default" w:cs="Times New Roman"/>
                      <w:color w:val="auto"/>
                      <w:sz w:val="21"/>
                      <w:highlight w:val="none"/>
                      <w:lang w:val="en-US" w:eastAsia="zh-CN"/>
                    </w:rPr>
                  </w:pPr>
                  <w:r>
                    <w:rPr>
                      <w:rFonts w:hint="eastAsia" w:cs="Times New Roman"/>
                      <w:color w:val="auto"/>
                      <w:sz w:val="21"/>
                      <w:highlight w:val="none"/>
                      <w:lang w:val="en-US" w:eastAsia="zh-CN"/>
                    </w:rPr>
                    <w:t>颗粒物</w:t>
                  </w:r>
                </w:p>
              </w:tc>
              <w:tc>
                <w:tcPr>
                  <w:tcW w:w="797" w:type="pct"/>
                  <w:tcBorders>
                    <w:tl2br w:val="nil"/>
                    <w:tr2bl w:val="nil"/>
                  </w:tcBorders>
                  <w:vAlign w:val="center"/>
                </w:tcPr>
                <w:p w14:paraId="1F84FEF9">
                  <w:pPr>
                    <w:spacing w:line="240" w:lineRule="auto"/>
                    <w:jc w:val="center"/>
                    <w:rPr>
                      <w:rFonts w:hint="default" w:cs="Times New Roman"/>
                      <w:color w:val="auto"/>
                      <w:sz w:val="21"/>
                      <w:highlight w:val="none"/>
                      <w:lang w:val="en-US" w:eastAsia="zh-CN"/>
                    </w:rPr>
                  </w:pPr>
                  <w:r>
                    <w:rPr>
                      <w:rFonts w:hint="eastAsia" w:cs="Times New Roman"/>
                      <w:color w:val="auto"/>
                      <w:sz w:val="21"/>
                      <w:highlight w:val="none"/>
                      <w:lang w:val="en-US" w:eastAsia="zh-CN"/>
                    </w:rPr>
                    <w:t>4.3</w:t>
                  </w:r>
                </w:p>
              </w:tc>
              <w:tc>
                <w:tcPr>
                  <w:tcW w:w="561" w:type="pct"/>
                  <w:vMerge w:val="restart"/>
                  <w:tcBorders>
                    <w:tl2br w:val="nil"/>
                    <w:tr2bl w:val="nil"/>
                  </w:tcBorders>
                  <w:vAlign w:val="center"/>
                </w:tcPr>
                <w:p w14:paraId="06CFFDAC">
                  <w:pPr>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20</w:t>
                  </w:r>
                </w:p>
              </w:tc>
              <w:tc>
                <w:tcPr>
                  <w:tcW w:w="1406" w:type="pct"/>
                  <w:vMerge w:val="restart"/>
                  <w:tcBorders>
                    <w:tl2br w:val="nil"/>
                    <w:tr2bl w:val="nil"/>
                  </w:tcBorders>
                  <w:vAlign w:val="center"/>
                </w:tcPr>
                <w:p w14:paraId="011A9119">
                  <w:pPr>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zh-CN"/>
                    </w:rPr>
                    <w:t>《</w:t>
                  </w:r>
                  <w:r>
                    <w:rPr>
                      <w:rFonts w:hint="eastAsia" w:cs="Times New Roman"/>
                      <w:color w:val="auto"/>
                      <w:sz w:val="21"/>
                      <w:highlight w:val="none"/>
                      <w:lang w:val="en-US" w:eastAsia="zh-CN"/>
                    </w:rPr>
                    <w:t>锅炉大气污染物排放标准</w:t>
                  </w:r>
                  <w:r>
                    <w:rPr>
                      <w:rFonts w:hint="eastAsia" w:cs="Times New Roman"/>
                      <w:color w:val="auto"/>
                      <w:sz w:val="21"/>
                      <w:highlight w:val="none"/>
                      <w:lang w:val="zh-CN"/>
                    </w:rPr>
                    <w:t>》（DB32/4385-2022）表1</w:t>
                  </w:r>
                </w:p>
              </w:tc>
              <w:tc>
                <w:tcPr>
                  <w:tcW w:w="465" w:type="pct"/>
                  <w:tcBorders>
                    <w:tl2br w:val="nil"/>
                    <w:tr2bl w:val="nil"/>
                  </w:tcBorders>
                  <w:vAlign w:val="center"/>
                </w:tcPr>
                <w:p w14:paraId="77FDB2C8">
                  <w:pPr>
                    <w:spacing w:line="240" w:lineRule="auto"/>
                    <w:jc w:val="center"/>
                    <w:rPr>
                      <w:rFonts w:ascii="Times New Roman" w:hAnsi="Times New Roman" w:eastAsia="宋体" w:cs="Times New Roman"/>
                      <w:color w:val="auto"/>
                      <w:kern w:val="2"/>
                      <w:sz w:val="21"/>
                      <w:szCs w:val="24"/>
                      <w:highlight w:val="none"/>
                      <w:lang w:val="zh-CN" w:eastAsia="zh-CN" w:bidi="ar-SA"/>
                    </w:rPr>
                  </w:pPr>
                  <w:r>
                    <w:rPr>
                      <w:rFonts w:ascii="Times New Roman" w:hAnsi="Times New Roman" w:eastAsia="宋体" w:cs="Times New Roman"/>
                      <w:color w:val="auto"/>
                      <w:sz w:val="21"/>
                      <w:highlight w:val="none"/>
                      <w:lang w:val="zh-CN"/>
                    </w:rPr>
                    <w:t>达标</w:t>
                  </w:r>
                </w:p>
              </w:tc>
            </w:tr>
            <w:tr w14:paraId="61C8F37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03" w:type="pct"/>
                  <w:vMerge w:val="continue"/>
                  <w:tcBorders>
                    <w:tl2br w:val="nil"/>
                    <w:tr2bl w:val="nil"/>
                  </w:tcBorders>
                  <w:vAlign w:val="center"/>
                </w:tcPr>
                <w:p w14:paraId="03E73718">
                  <w:pPr>
                    <w:spacing w:line="240" w:lineRule="auto"/>
                    <w:jc w:val="center"/>
                    <w:rPr>
                      <w:rFonts w:hint="eastAsia" w:cs="Times New Roman"/>
                      <w:color w:val="auto"/>
                      <w:sz w:val="21"/>
                      <w:highlight w:val="none"/>
                      <w:lang w:val="en-US" w:eastAsia="zh-CN"/>
                    </w:rPr>
                  </w:pPr>
                </w:p>
              </w:tc>
              <w:tc>
                <w:tcPr>
                  <w:tcW w:w="629" w:type="pct"/>
                  <w:tcBorders>
                    <w:tl2br w:val="nil"/>
                    <w:tr2bl w:val="nil"/>
                  </w:tcBorders>
                  <w:vAlign w:val="center"/>
                </w:tcPr>
                <w:p w14:paraId="2E2E5987">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2019.01.29</w:t>
                  </w:r>
                </w:p>
              </w:tc>
              <w:tc>
                <w:tcPr>
                  <w:tcW w:w="736" w:type="pct"/>
                  <w:tcBorders>
                    <w:tl2br w:val="nil"/>
                    <w:tr2bl w:val="nil"/>
                  </w:tcBorders>
                  <w:vAlign w:val="center"/>
                </w:tcPr>
                <w:p w14:paraId="2F1EB501">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颗粒物</w:t>
                  </w:r>
                </w:p>
              </w:tc>
              <w:tc>
                <w:tcPr>
                  <w:tcW w:w="797" w:type="pct"/>
                  <w:tcBorders>
                    <w:tl2br w:val="nil"/>
                    <w:tr2bl w:val="nil"/>
                  </w:tcBorders>
                  <w:vAlign w:val="center"/>
                </w:tcPr>
                <w:p w14:paraId="22CF3B2D">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4.4</w:t>
                  </w:r>
                </w:p>
              </w:tc>
              <w:tc>
                <w:tcPr>
                  <w:tcW w:w="561" w:type="pct"/>
                  <w:vMerge w:val="continue"/>
                  <w:tcBorders>
                    <w:tl2br w:val="nil"/>
                    <w:tr2bl w:val="nil"/>
                  </w:tcBorders>
                  <w:vAlign w:val="center"/>
                </w:tcPr>
                <w:p w14:paraId="3A7701BC">
                  <w:pPr>
                    <w:spacing w:line="240" w:lineRule="auto"/>
                    <w:jc w:val="center"/>
                    <w:rPr>
                      <w:rFonts w:ascii="Times New Roman" w:hAnsi="Times New Roman" w:eastAsia="宋体" w:cs="Times New Roman"/>
                      <w:color w:val="auto"/>
                      <w:sz w:val="21"/>
                      <w:highlight w:val="none"/>
                      <w:lang w:val="zh-CN"/>
                    </w:rPr>
                  </w:pPr>
                </w:p>
              </w:tc>
              <w:tc>
                <w:tcPr>
                  <w:tcW w:w="1406" w:type="pct"/>
                  <w:vMerge w:val="continue"/>
                  <w:tcBorders>
                    <w:tl2br w:val="nil"/>
                    <w:tr2bl w:val="nil"/>
                  </w:tcBorders>
                  <w:vAlign w:val="center"/>
                </w:tcPr>
                <w:p w14:paraId="234EE889">
                  <w:pPr>
                    <w:spacing w:line="240" w:lineRule="auto"/>
                    <w:jc w:val="center"/>
                    <w:rPr>
                      <w:rFonts w:hint="eastAsia" w:ascii="Times New Roman" w:hAnsi="Times New Roman" w:eastAsia="宋体" w:cs="Times New Roman"/>
                      <w:color w:val="auto"/>
                      <w:sz w:val="21"/>
                      <w:highlight w:val="none"/>
                      <w:lang w:val="zh-CN"/>
                    </w:rPr>
                  </w:pPr>
                </w:p>
              </w:tc>
              <w:tc>
                <w:tcPr>
                  <w:tcW w:w="465" w:type="pct"/>
                  <w:tcBorders>
                    <w:tl2br w:val="nil"/>
                    <w:tr2bl w:val="nil"/>
                  </w:tcBorders>
                  <w:vAlign w:val="center"/>
                </w:tcPr>
                <w:p w14:paraId="6647E445">
                  <w:pPr>
                    <w:spacing w:line="240" w:lineRule="auto"/>
                    <w:jc w:val="center"/>
                    <w:rPr>
                      <w:rFonts w:ascii="Times New Roman" w:hAnsi="Times New Roman" w:eastAsia="宋体" w:cs="Times New Roman"/>
                      <w:color w:val="auto"/>
                      <w:kern w:val="2"/>
                      <w:sz w:val="21"/>
                      <w:szCs w:val="24"/>
                      <w:highlight w:val="none"/>
                      <w:lang w:val="zh-CN" w:eastAsia="zh-CN" w:bidi="ar-SA"/>
                    </w:rPr>
                  </w:pPr>
                  <w:r>
                    <w:rPr>
                      <w:rFonts w:ascii="Times New Roman" w:hAnsi="Times New Roman" w:eastAsia="宋体" w:cs="Times New Roman"/>
                      <w:color w:val="auto"/>
                      <w:sz w:val="21"/>
                      <w:highlight w:val="none"/>
                      <w:lang w:val="zh-CN"/>
                    </w:rPr>
                    <w:t>达标</w:t>
                  </w:r>
                </w:p>
              </w:tc>
            </w:tr>
            <w:tr w14:paraId="078964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03" w:type="pct"/>
                  <w:vMerge w:val="continue"/>
                  <w:tcBorders>
                    <w:tl2br w:val="nil"/>
                    <w:tr2bl w:val="nil"/>
                  </w:tcBorders>
                  <w:vAlign w:val="center"/>
                </w:tcPr>
                <w:p w14:paraId="435185CC">
                  <w:pPr>
                    <w:spacing w:line="240" w:lineRule="auto"/>
                    <w:jc w:val="center"/>
                    <w:rPr>
                      <w:rFonts w:hint="eastAsia" w:cs="Times New Roman"/>
                      <w:color w:val="auto"/>
                      <w:sz w:val="21"/>
                      <w:highlight w:val="none"/>
                      <w:lang w:val="en-US" w:eastAsia="zh-CN"/>
                    </w:rPr>
                  </w:pPr>
                </w:p>
              </w:tc>
              <w:tc>
                <w:tcPr>
                  <w:tcW w:w="629" w:type="pct"/>
                  <w:tcBorders>
                    <w:tl2br w:val="nil"/>
                    <w:tr2bl w:val="nil"/>
                  </w:tcBorders>
                  <w:vAlign w:val="center"/>
                </w:tcPr>
                <w:p w14:paraId="569379A8">
                  <w:pPr>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2019.01.28</w:t>
                  </w:r>
                </w:p>
              </w:tc>
              <w:tc>
                <w:tcPr>
                  <w:tcW w:w="736" w:type="pct"/>
                  <w:tcBorders>
                    <w:tl2br w:val="nil"/>
                    <w:tr2bl w:val="nil"/>
                  </w:tcBorders>
                  <w:vAlign w:val="center"/>
                </w:tcPr>
                <w:p w14:paraId="74005EE5">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SO</w:t>
                  </w:r>
                  <w:r>
                    <w:rPr>
                      <w:rFonts w:hint="eastAsia" w:cs="Times New Roman"/>
                      <w:color w:val="auto"/>
                      <w:sz w:val="21"/>
                      <w:highlight w:val="none"/>
                      <w:vertAlign w:val="subscript"/>
                      <w:lang w:val="en-US" w:eastAsia="zh-CN"/>
                    </w:rPr>
                    <w:t>2</w:t>
                  </w:r>
                </w:p>
              </w:tc>
              <w:tc>
                <w:tcPr>
                  <w:tcW w:w="797" w:type="pct"/>
                  <w:tcBorders>
                    <w:tl2br w:val="nil"/>
                    <w:tr2bl w:val="nil"/>
                  </w:tcBorders>
                  <w:vAlign w:val="center"/>
                </w:tcPr>
                <w:p w14:paraId="666F64ED">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2</w:t>
                  </w:r>
                </w:p>
              </w:tc>
              <w:tc>
                <w:tcPr>
                  <w:tcW w:w="561" w:type="pct"/>
                  <w:vMerge w:val="restart"/>
                  <w:tcBorders>
                    <w:tl2br w:val="nil"/>
                    <w:tr2bl w:val="nil"/>
                  </w:tcBorders>
                  <w:vAlign w:val="center"/>
                </w:tcPr>
                <w:p w14:paraId="67C16FBA">
                  <w:pPr>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50</w:t>
                  </w:r>
                </w:p>
              </w:tc>
              <w:tc>
                <w:tcPr>
                  <w:tcW w:w="1406" w:type="pct"/>
                  <w:vMerge w:val="continue"/>
                  <w:tcBorders>
                    <w:tl2br w:val="nil"/>
                    <w:tr2bl w:val="nil"/>
                  </w:tcBorders>
                  <w:vAlign w:val="center"/>
                </w:tcPr>
                <w:p w14:paraId="49F8FBD0">
                  <w:pPr>
                    <w:spacing w:line="240" w:lineRule="auto"/>
                    <w:jc w:val="center"/>
                    <w:rPr>
                      <w:rFonts w:hint="eastAsia" w:ascii="Times New Roman" w:hAnsi="Times New Roman" w:eastAsia="宋体" w:cs="Times New Roman"/>
                      <w:color w:val="auto"/>
                      <w:sz w:val="21"/>
                      <w:highlight w:val="none"/>
                      <w:lang w:val="zh-CN"/>
                    </w:rPr>
                  </w:pPr>
                </w:p>
              </w:tc>
              <w:tc>
                <w:tcPr>
                  <w:tcW w:w="465" w:type="pct"/>
                  <w:tcBorders>
                    <w:tl2br w:val="nil"/>
                    <w:tr2bl w:val="nil"/>
                  </w:tcBorders>
                  <w:vAlign w:val="center"/>
                </w:tcPr>
                <w:p w14:paraId="0E233905">
                  <w:pPr>
                    <w:spacing w:line="240" w:lineRule="auto"/>
                    <w:jc w:val="center"/>
                    <w:rPr>
                      <w:rFonts w:ascii="Times New Roman" w:hAnsi="Times New Roman" w:eastAsia="宋体" w:cs="Times New Roman"/>
                      <w:color w:val="auto"/>
                      <w:kern w:val="2"/>
                      <w:sz w:val="21"/>
                      <w:szCs w:val="24"/>
                      <w:highlight w:val="none"/>
                      <w:lang w:val="zh-CN" w:eastAsia="zh-CN" w:bidi="ar-SA"/>
                    </w:rPr>
                  </w:pPr>
                  <w:r>
                    <w:rPr>
                      <w:rFonts w:ascii="Times New Roman" w:hAnsi="Times New Roman" w:eastAsia="宋体" w:cs="Times New Roman"/>
                      <w:color w:val="auto"/>
                      <w:sz w:val="21"/>
                      <w:highlight w:val="none"/>
                      <w:lang w:val="zh-CN"/>
                    </w:rPr>
                    <w:t>达标</w:t>
                  </w:r>
                </w:p>
              </w:tc>
            </w:tr>
            <w:tr w14:paraId="168A2E9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03" w:type="pct"/>
                  <w:vMerge w:val="continue"/>
                  <w:tcBorders>
                    <w:tl2br w:val="nil"/>
                    <w:tr2bl w:val="nil"/>
                  </w:tcBorders>
                  <w:vAlign w:val="center"/>
                </w:tcPr>
                <w:p w14:paraId="18194A00">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p>
              </w:tc>
              <w:tc>
                <w:tcPr>
                  <w:tcW w:w="629" w:type="pct"/>
                  <w:tcBorders>
                    <w:tl2br w:val="nil"/>
                    <w:tr2bl w:val="nil"/>
                  </w:tcBorders>
                  <w:vAlign w:val="center"/>
                </w:tcPr>
                <w:p w14:paraId="56D0376D">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2019.01.29</w:t>
                  </w:r>
                </w:p>
              </w:tc>
              <w:tc>
                <w:tcPr>
                  <w:tcW w:w="736" w:type="pct"/>
                  <w:tcBorders>
                    <w:tl2br w:val="nil"/>
                    <w:tr2bl w:val="nil"/>
                  </w:tcBorders>
                  <w:vAlign w:val="center"/>
                </w:tcPr>
                <w:p w14:paraId="7D65DED0">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SO</w:t>
                  </w:r>
                  <w:r>
                    <w:rPr>
                      <w:rFonts w:hint="eastAsia" w:cs="Times New Roman"/>
                      <w:color w:val="auto"/>
                      <w:sz w:val="21"/>
                      <w:highlight w:val="none"/>
                      <w:vertAlign w:val="subscript"/>
                      <w:lang w:val="en-US" w:eastAsia="zh-CN"/>
                    </w:rPr>
                    <w:t>2</w:t>
                  </w:r>
                </w:p>
              </w:tc>
              <w:tc>
                <w:tcPr>
                  <w:tcW w:w="797" w:type="pct"/>
                  <w:tcBorders>
                    <w:tl2br w:val="nil"/>
                    <w:tr2bl w:val="nil"/>
                  </w:tcBorders>
                  <w:vAlign w:val="center"/>
                </w:tcPr>
                <w:p w14:paraId="0F36AD5E">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2</w:t>
                  </w:r>
                </w:p>
              </w:tc>
              <w:tc>
                <w:tcPr>
                  <w:tcW w:w="561" w:type="pct"/>
                  <w:vMerge w:val="continue"/>
                  <w:tcBorders>
                    <w:tl2br w:val="nil"/>
                    <w:tr2bl w:val="nil"/>
                  </w:tcBorders>
                  <w:vAlign w:val="center"/>
                </w:tcPr>
                <w:p w14:paraId="5C562C8D">
                  <w:pPr>
                    <w:spacing w:line="240" w:lineRule="auto"/>
                    <w:jc w:val="center"/>
                    <w:rPr>
                      <w:rFonts w:ascii="Times New Roman" w:hAnsi="Times New Roman" w:eastAsia="宋体" w:cs="Times New Roman"/>
                      <w:color w:val="auto"/>
                      <w:sz w:val="21"/>
                      <w:highlight w:val="none"/>
                      <w:lang w:val="zh-CN"/>
                    </w:rPr>
                  </w:pPr>
                </w:p>
              </w:tc>
              <w:tc>
                <w:tcPr>
                  <w:tcW w:w="1406" w:type="pct"/>
                  <w:vMerge w:val="continue"/>
                  <w:tcBorders>
                    <w:tl2br w:val="nil"/>
                    <w:tr2bl w:val="nil"/>
                  </w:tcBorders>
                  <w:vAlign w:val="center"/>
                </w:tcPr>
                <w:p w14:paraId="681C4406">
                  <w:pPr>
                    <w:spacing w:line="240" w:lineRule="auto"/>
                    <w:jc w:val="center"/>
                    <w:rPr>
                      <w:rFonts w:hint="eastAsia" w:ascii="Times New Roman" w:hAnsi="Times New Roman" w:eastAsia="宋体" w:cs="Times New Roman"/>
                      <w:color w:val="auto"/>
                      <w:sz w:val="21"/>
                      <w:highlight w:val="none"/>
                      <w:lang w:val="zh-CN"/>
                    </w:rPr>
                  </w:pPr>
                </w:p>
              </w:tc>
              <w:tc>
                <w:tcPr>
                  <w:tcW w:w="465" w:type="pct"/>
                  <w:tcBorders>
                    <w:tl2br w:val="nil"/>
                    <w:tr2bl w:val="nil"/>
                  </w:tcBorders>
                  <w:vAlign w:val="center"/>
                </w:tcPr>
                <w:p w14:paraId="6823DAA3">
                  <w:pPr>
                    <w:spacing w:line="240" w:lineRule="auto"/>
                    <w:jc w:val="center"/>
                    <w:rPr>
                      <w:rFonts w:ascii="Times New Roman" w:hAnsi="Times New Roman" w:eastAsia="宋体" w:cs="Times New Roman"/>
                      <w:color w:val="auto"/>
                      <w:kern w:val="2"/>
                      <w:sz w:val="21"/>
                      <w:szCs w:val="24"/>
                      <w:highlight w:val="none"/>
                      <w:lang w:val="zh-CN" w:eastAsia="zh-CN" w:bidi="ar-SA"/>
                    </w:rPr>
                  </w:pPr>
                  <w:r>
                    <w:rPr>
                      <w:rFonts w:ascii="Times New Roman" w:hAnsi="Times New Roman" w:eastAsia="宋体" w:cs="Times New Roman"/>
                      <w:color w:val="auto"/>
                      <w:sz w:val="21"/>
                      <w:highlight w:val="none"/>
                      <w:lang w:val="zh-CN"/>
                    </w:rPr>
                    <w:t>达标</w:t>
                  </w:r>
                </w:p>
              </w:tc>
            </w:tr>
            <w:tr w14:paraId="277025E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03" w:type="pct"/>
                  <w:vMerge w:val="continue"/>
                  <w:tcBorders>
                    <w:tl2br w:val="nil"/>
                    <w:tr2bl w:val="nil"/>
                  </w:tcBorders>
                  <w:vAlign w:val="center"/>
                </w:tcPr>
                <w:p w14:paraId="11B5B62D">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p>
              </w:tc>
              <w:tc>
                <w:tcPr>
                  <w:tcW w:w="629" w:type="pct"/>
                  <w:tcBorders>
                    <w:tl2br w:val="nil"/>
                    <w:tr2bl w:val="nil"/>
                  </w:tcBorders>
                  <w:vAlign w:val="center"/>
                </w:tcPr>
                <w:p w14:paraId="616E09D8">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2019.01.28</w:t>
                  </w:r>
                </w:p>
              </w:tc>
              <w:tc>
                <w:tcPr>
                  <w:tcW w:w="736" w:type="pct"/>
                  <w:tcBorders>
                    <w:tl2br w:val="nil"/>
                    <w:tr2bl w:val="nil"/>
                  </w:tcBorders>
                  <w:vAlign w:val="center"/>
                </w:tcPr>
                <w:p w14:paraId="1730278B">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NOx</w:t>
                  </w:r>
                </w:p>
              </w:tc>
              <w:tc>
                <w:tcPr>
                  <w:tcW w:w="797" w:type="pct"/>
                  <w:tcBorders>
                    <w:tl2br w:val="nil"/>
                    <w:tr2bl w:val="nil"/>
                  </w:tcBorders>
                  <w:vAlign w:val="center"/>
                </w:tcPr>
                <w:p w14:paraId="7BD9C6C6">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82</w:t>
                  </w:r>
                </w:p>
              </w:tc>
              <w:tc>
                <w:tcPr>
                  <w:tcW w:w="561" w:type="pct"/>
                  <w:vMerge w:val="restart"/>
                  <w:tcBorders>
                    <w:tl2br w:val="nil"/>
                    <w:tr2bl w:val="nil"/>
                  </w:tcBorders>
                  <w:vAlign w:val="center"/>
                </w:tcPr>
                <w:p w14:paraId="37A2CF60">
                  <w:pPr>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200</w:t>
                  </w:r>
                </w:p>
              </w:tc>
              <w:tc>
                <w:tcPr>
                  <w:tcW w:w="1406" w:type="pct"/>
                  <w:vMerge w:val="continue"/>
                  <w:tcBorders>
                    <w:tl2br w:val="nil"/>
                    <w:tr2bl w:val="nil"/>
                  </w:tcBorders>
                  <w:vAlign w:val="center"/>
                </w:tcPr>
                <w:p w14:paraId="2DAB56FD">
                  <w:pPr>
                    <w:spacing w:line="240" w:lineRule="auto"/>
                    <w:jc w:val="center"/>
                    <w:rPr>
                      <w:rFonts w:hint="eastAsia" w:ascii="Times New Roman" w:hAnsi="Times New Roman" w:eastAsia="宋体" w:cs="Times New Roman"/>
                      <w:color w:val="auto"/>
                      <w:sz w:val="21"/>
                      <w:highlight w:val="none"/>
                      <w:lang w:val="zh-CN"/>
                    </w:rPr>
                  </w:pPr>
                </w:p>
              </w:tc>
              <w:tc>
                <w:tcPr>
                  <w:tcW w:w="465" w:type="pct"/>
                  <w:tcBorders>
                    <w:tl2br w:val="nil"/>
                    <w:tr2bl w:val="nil"/>
                  </w:tcBorders>
                  <w:vAlign w:val="center"/>
                </w:tcPr>
                <w:p w14:paraId="46465F9D">
                  <w:pPr>
                    <w:spacing w:line="240" w:lineRule="auto"/>
                    <w:jc w:val="center"/>
                    <w:rPr>
                      <w:rFonts w:ascii="Times New Roman" w:hAnsi="Times New Roman" w:eastAsia="宋体" w:cs="Times New Roman"/>
                      <w:color w:val="auto"/>
                      <w:kern w:val="2"/>
                      <w:sz w:val="21"/>
                      <w:szCs w:val="24"/>
                      <w:highlight w:val="none"/>
                      <w:lang w:val="zh-CN" w:eastAsia="zh-CN" w:bidi="ar-SA"/>
                    </w:rPr>
                  </w:pPr>
                  <w:r>
                    <w:rPr>
                      <w:rFonts w:ascii="Times New Roman" w:hAnsi="Times New Roman" w:eastAsia="宋体" w:cs="Times New Roman"/>
                      <w:color w:val="auto"/>
                      <w:sz w:val="21"/>
                      <w:highlight w:val="none"/>
                      <w:lang w:val="zh-CN"/>
                    </w:rPr>
                    <w:t>达标</w:t>
                  </w:r>
                </w:p>
              </w:tc>
            </w:tr>
            <w:tr w14:paraId="7A11AA2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03" w:type="pct"/>
                  <w:vMerge w:val="continue"/>
                  <w:tcBorders>
                    <w:tl2br w:val="nil"/>
                    <w:tr2bl w:val="nil"/>
                  </w:tcBorders>
                  <w:vAlign w:val="center"/>
                </w:tcPr>
                <w:p w14:paraId="7A322C1A">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p>
              </w:tc>
              <w:tc>
                <w:tcPr>
                  <w:tcW w:w="629" w:type="pct"/>
                  <w:tcBorders>
                    <w:tl2br w:val="nil"/>
                    <w:tr2bl w:val="nil"/>
                  </w:tcBorders>
                  <w:vAlign w:val="center"/>
                </w:tcPr>
                <w:p w14:paraId="6CB1114F">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2019.01.29</w:t>
                  </w:r>
                </w:p>
              </w:tc>
              <w:tc>
                <w:tcPr>
                  <w:tcW w:w="736" w:type="pct"/>
                  <w:tcBorders>
                    <w:tl2br w:val="nil"/>
                    <w:tr2bl w:val="nil"/>
                  </w:tcBorders>
                  <w:vAlign w:val="center"/>
                </w:tcPr>
                <w:p w14:paraId="21FFC82E">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NOx</w:t>
                  </w:r>
                </w:p>
              </w:tc>
              <w:tc>
                <w:tcPr>
                  <w:tcW w:w="797" w:type="pct"/>
                  <w:tcBorders>
                    <w:tl2br w:val="nil"/>
                    <w:tr2bl w:val="nil"/>
                  </w:tcBorders>
                  <w:vAlign w:val="center"/>
                </w:tcPr>
                <w:p w14:paraId="5A6DE59E">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79</w:t>
                  </w:r>
                </w:p>
              </w:tc>
              <w:tc>
                <w:tcPr>
                  <w:tcW w:w="561" w:type="pct"/>
                  <w:vMerge w:val="continue"/>
                  <w:tcBorders>
                    <w:tl2br w:val="nil"/>
                    <w:tr2bl w:val="nil"/>
                  </w:tcBorders>
                  <w:vAlign w:val="center"/>
                </w:tcPr>
                <w:p w14:paraId="464EAEE8">
                  <w:pPr>
                    <w:spacing w:line="240" w:lineRule="auto"/>
                    <w:jc w:val="center"/>
                    <w:rPr>
                      <w:rFonts w:ascii="Times New Roman" w:hAnsi="Times New Roman" w:eastAsia="宋体" w:cs="Times New Roman"/>
                      <w:color w:val="auto"/>
                      <w:sz w:val="21"/>
                      <w:highlight w:val="none"/>
                      <w:lang w:val="zh-CN"/>
                    </w:rPr>
                  </w:pPr>
                </w:p>
              </w:tc>
              <w:tc>
                <w:tcPr>
                  <w:tcW w:w="1406" w:type="pct"/>
                  <w:vMerge w:val="continue"/>
                  <w:tcBorders>
                    <w:tl2br w:val="nil"/>
                    <w:tr2bl w:val="nil"/>
                  </w:tcBorders>
                  <w:vAlign w:val="center"/>
                </w:tcPr>
                <w:p w14:paraId="735EB2EE">
                  <w:pPr>
                    <w:spacing w:line="240" w:lineRule="auto"/>
                    <w:jc w:val="center"/>
                    <w:rPr>
                      <w:rFonts w:hint="eastAsia" w:ascii="Times New Roman" w:hAnsi="Times New Roman" w:eastAsia="宋体" w:cs="Times New Roman"/>
                      <w:color w:val="auto"/>
                      <w:sz w:val="21"/>
                      <w:highlight w:val="none"/>
                      <w:lang w:val="zh-CN"/>
                    </w:rPr>
                  </w:pPr>
                </w:p>
              </w:tc>
              <w:tc>
                <w:tcPr>
                  <w:tcW w:w="465" w:type="pct"/>
                  <w:tcBorders>
                    <w:tl2br w:val="nil"/>
                    <w:tr2bl w:val="nil"/>
                  </w:tcBorders>
                  <w:vAlign w:val="center"/>
                </w:tcPr>
                <w:p w14:paraId="24F7D411">
                  <w:pPr>
                    <w:spacing w:line="240" w:lineRule="auto"/>
                    <w:jc w:val="center"/>
                    <w:rPr>
                      <w:rFonts w:ascii="Times New Roman" w:hAnsi="Times New Roman" w:eastAsia="宋体" w:cs="Times New Roman"/>
                      <w:color w:val="auto"/>
                      <w:kern w:val="2"/>
                      <w:sz w:val="21"/>
                      <w:szCs w:val="24"/>
                      <w:highlight w:val="none"/>
                      <w:lang w:val="zh-CN" w:eastAsia="zh-CN" w:bidi="ar-SA"/>
                    </w:rPr>
                  </w:pPr>
                  <w:r>
                    <w:rPr>
                      <w:rFonts w:ascii="Times New Roman" w:hAnsi="Times New Roman" w:eastAsia="宋体" w:cs="Times New Roman"/>
                      <w:color w:val="auto"/>
                      <w:sz w:val="21"/>
                      <w:highlight w:val="none"/>
                      <w:lang w:val="zh-CN"/>
                    </w:rPr>
                    <w:t>达标</w:t>
                  </w:r>
                </w:p>
              </w:tc>
            </w:tr>
          </w:tbl>
          <w:p w14:paraId="3717464C">
            <w:pPr>
              <w:pStyle w:val="41"/>
              <w:bidi w:val="0"/>
              <w:rPr>
                <w:rFonts w:hint="default"/>
                <w:lang w:val="en-US" w:eastAsia="zh-CN"/>
              </w:rPr>
            </w:pPr>
          </w:p>
          <w:p w14:paraId="5A14AFEC">
            <w:pPr>
              <w:pStyle w:val="44"/>
              <w:bidi w:val="0"/>
              <w:rPr>
                <w:rFonts w:hint="default"/>
                <w:lang w:val="en-US" w:eastAsia="zh-CN"/>
              </w:rPr>
            </w:pPr>
            <w:r>
              <w:rPr>
                <w:rFonts w:hint="eastAsia"/>
                <w:lang w:val="en-US" w:eastAsia="zh-CN"/>
              </w:rPr>
              <w:t>已批已验项目无组织废气监测情况一览表</w:t>
            </w:r>
          </w:p>
          <w:tbl>
            <w:tblPr>
              <w:tblStyle w:val="32"/>
              <w:tblW w:w="779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024"/>
              <w:gridCol w:w="1818"/>
              <w:gridCol w:w="1085"/>
              <w:gridCol w:w="1180"/>
              <w:gridCol w:w="1216"/>
              <w:gridCol w:w="720"/>
            </w:tblGrid>
            <w:tr w14:paraId="31097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52" w:type="dxa"/>
                  <w:vAlign w:val="center"/>
                </w:tcPr>
                <w:p w14:paraId="0093B7F2">
                  <w:pPr>
                    <w:pStyle w:val="41"/>
                    <w:bidi w:val="0"/>
                    <w:rPr>
                      <w:rFonts w:hint="default"/>
                      <w:b/>
                      <w:bCs/>
                      <w:lang w:val="zh-CN"/>
                    </w:rPr>
                  </w:pPr>
                  <w:r>
                    <w:rPr>
                      <w:rFonts w:hint="default"/>
                      <w:b/>
                      <w:bCs/>
                      <w:lang w:val="zh-CN"/>
                    </w:rPr>
                    <w:t>监测因子</w:t>
                  </w:r>
                </w:p>
              </w:tc>
              <w:tc>
                <w:tcPr>
                  <w:tcW w:w="1024" w:type="dxa"/>
                  <w:vAlign w:val="center"/>
                </w:tcPr>
                <w:p w14:paraId="26A45A9F">
                  <w:pPr>
                    <w:pStyle w:val="41"/>
                    <w:bidi w:val="0"/>
                    <w:rPr>
                      <w:rFonts w:hint="default"/>
                      <w:b/>
                      <w:bCs/>
                      <w:lang w:val="zh-CN"/>
                    </w:rPr>
                  </w:pPr>
                  <w:r>
                    <w:rPr>
                      <w:rFonts w:hint="default"/>
                      <w:b/>
                      <w:bCs/>
                      <w:lang w:val="zh-CN"/>
                    </w:rPr>
                    <w:t>监测日期</w:t>
                  </w:r>
                </w:p>
              </w:tc>
              <w:tc>
                <w:tcPr>
                  <w:tcW w:w="1818" w:type="dxa"/>
                  <w:vAlign w:val="center"/>
                </w:tcPr>
                <w:p w14:paraId="373FBB04">
                  <w:pPr>
                    <w:pStyle w:val="41"/>
                    <w:bidi w:val="0"/>
                    <w:rPr>
                      <w:rFonts w:hint="default"/>
                      <w:b/>
                      <w:bCs/>
                      <w:lang w:val="zh-CN"/>
                    </w:rPr>
                  </w:pPr>
                  <w:r>
                    <w:rPr>
                      <w:rFonts w:hint="default"/>
                      <w:b/>
                      <w:bCs/>
                      <w:lang w:val="zh-CN"/>
                    </w:rPr>
                    <w:t>监测点位</w:t>
                  </w:r>
                </w:p>
              </w:tc>
              <w:tc>
                <w:tcPr>
                  <w:tcW w:w="1085" w:type="dxa"/>
                  <w:noWrap/>
                  <w:vAlign w:val="center"/>
                </w:tcPr>
                <w:p w14:paraId="0BECF921">
                  <w:pPr>
                    <w:pStyle w:val="41"/>
                    <w:bidi w:val="0"/>
                    <w:rPr>
                      <w:rFonts w:hint="default"/>
                      <w:b/>
                      <w:bCs/>
                      <w:lang w:val="zh-CN"/>
                    </w:rPr>
                  </w:pPr>
                  <w:r>
                    <w:rPr>
                      <w:rFonts w:hint="eastAsia"/>
                      <w:b/>
                      <w:bCs/>
                      <w:lang w:val="zh-CN"/>
                    </w:rPr>
                    <w:t>最大值</w:t>
                  </w:r>
                  <w:r>
                    <w:rPr>
                      <w:rFonts w:hint="default"/>
                      <w:b/>
                      <w:bCs/>
                      <w:lang w:val="zh-CN"/>
                    </w:rPr>
                    <w:t>(mg/m</w:t>
                  </w:r>
                  <w:r>
                    <w:rPr>
                      <w:rFonts w:hint="default"/>
                      <w:b/>
                      <w:bCs/>
                      <w:vertAlign w:val="superscript"/>
                      <w:lang w:val="zh-CN"/>
                    </w:rPr>
                    <w:t>3</w:t>
                  </w:r>
                  <w:r>
                    <w:rPr>
                      <w:rFonts w:hint="default"/>
                      <w:b/>
                      <w:bCs/>
                      <w:lang w:val="zh-CN"/>
                    </w:rPr>
                    <w:t>)</w:t>
                  </w:r>
                </w:p>
              </w:tc>
              <w:tc>
                <w:tcPr>
                  <w:tcW w:w="1180" w:type="dxa"/>
                  <w:noWrap/>
                  <w:vAlign w:val="center"/>
                </w:tcPr>
                <w:p w14:paraId="4C7EA49F">
                  <w:pPr>
                    <w:pStyle w:val="41"/>
                    <w:bidi w:val="0"/>
                    <w:rPr>
                      <w:rFonts w:hint="eastAsia"/>
                      <w:b/>
                      <w:bCs/>
                      <w:lang w:val="zh-CN"/>
                    </w:rPr>
                  </w:pPr>
                  <w:r>
                    <w:rPr>
                      <w:rFonts w:hint="eastAsia"/>
                      <w:b/>
                      <w:bCs/>
                      <w:lang w:val="en-US" w:eastAsia="zh-CN"/>
                    </w:rPr>
                    <w:t>标准限值</w:t>
                  </w:r>
                  <w:r>
                    <w:rPr>
                      <w:rFonts w:hint="default"/>
                      <w:b/>
                      <w:bCs/>
                      <w:lang w:val="zh-CN"/>
                    </w:rPr>
                    <w:t>(mg/m</w:t>
                  </w:r>
                  <w:r>
                    <w:rPr>
                      <w:rFonts w:hint="default"/>
                      <w:b/>
                      <w:bCs/>
                      <w:vertAlign w:val="superscript"/>
                      <w:lang w:val="zh-CN"/>
                    </w:rPr>
                    <w:t>3</w:t>
                  </w:r>
                  <w:r>
                    <w:rPr>
                      <w:rFonts w:hint="default"/>
                      <w:b/>
                      <w:bCs/>
                      <w:lang w:val="zh-CN"/>
                    </w:rPr>
                    <w:t>)</w:t>
                  </w:r>
                </w:p>
              </w:tc>
              <w:tc>
                <w:tcPr>
                  <w:tcW w:w="1216" w:type="dxa"/>
                  <w:noWrap/>
                  <w:vAlign w:val="center"/>
                </w:tcPr>
                <w:p w14:paraId="299C5F91">
                  <w:pPr>
                    <w:pStyle w:val="41"/>
                    <w:bidi w:val="0"/>
                    <w:rPr>
                      <w:rFonts w:hint="default"/>
                      <w:b/>
                      <w:bCs/>
                      <w:lang w:val="en-US" w:eastAsia="zh-CN"/>
                    </w:rPr>
                  </w:pPr>
                  <w:r>
                    <w:rPr>
                      <w:rFonts w:hint="eastAsia"/>
                      <w:b/>
                      <w:bCs/>
                      <w:lang w:val="en-US" w:eastAsia="zh-CN"/>
                    </w:rPr>
                    <w:t>标准来源</w:t>
                  </w:r>
                </w:p>
              </w:tc>
              <w:tc>
                <w:tcPr>
                  <w:tcW w:w="720" w:type="dxa"/>
                  <w:noWrap/>
                  <w:vAlign w:val="center"/>
                </w:tcPr>
                <w:p w14:paraId="1CAEC68D">
                  <w:pPr>
                    <w:pStyle w:val="41"/>
                    <w:bidi w:val="0"/>
                    <w:rPr>
                      <w:rFonts w:hint="eastAsia"/>
                      <w:b/>
                      <w:bCs/>
                      <w:lang w:val="zh-CN"/>
                    </w:rPr>
                  </w:pPr>
                  <w:r>
                    <w:rPr>
                      <w:rFonts w:hint="eastAsia"/>
                      <w:b/>
                      <w:bCs/>
                      <w:lang w:val="zh-CN"/>
                    </w:rPr>
                    <w:t>达标情况</w:t>
                  </w:r>
                </w:p>
              </w:tc>
            </w:tr>
            <w:tr w14:paraId="7C657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2" w:type="dxa"/>
                  <w:vMerge w:val="restart"/>
                  <w:vAlign w:val="center"/>
                </w:tcPr>
                <w:p w14:paraId="56E65EAC">
                  <w:pPr>
                    <w:pStyle w:val="41"/>
                    <w:bidi w:val="0"/>
                    <w:rPr>
                      <w:rFonts w:hint="default"/>
                      <w:lang w:val="en-US" w:eastAsia="zh-CN"/>
                    </w:rPr>
                  </w:pPr>
                  <w:r>
                    <w:rPr>
                      <w:rFonts w:hint="eastAsia"/>
                      <w:lang w:val="en-US" w:eastAsia="zh-CN"/>
                    </w:rPr>
                    <w:t>NH</w:t>
                  </w:r>
                  <w:r>
                    <w:rPr>
                      <w:rFonts w:hint="eastAsia"/>
                      <w:vertAlign w:val="subscript"/>
                      <w:lang w:val="en-US" w:eastAsia="zh-CN"/>
                    </w:rPr>
                    <w:t>3</w:t>
                  </w:r>
                </w:p>
              </w:tc>
              <w:tc>
                <w:tcPr>
                  <w:tcW w:w="1024" w:type="dxa"/>
                  <w:vMerge w:val="restart"/>
                  <w:vAlign w:val="center"/>
                </w:tcPr>
                <w:p w14:paraId="5CA2E477">
                  <w:pPr>
                    <w:pStyle w:val="41"/>
                    <w:bidi w:val="0"/>
                    <w:rPr>
                      <w:rFonts w:hint="default"/>
                      <w:lang w:val="en-US"/>
                    </w:rPr>
                  </w:pPr>
                  <w:r>
                    <w:rPr>
                      <w:rFonts w:hint="eastAsia"/>
                      <w:lang w:val="en-US" w:eastAsia="zh-CN"/>
                    </w:rPr>
                    <w:t>2019.01.27</w:t>
                  </w:r>
                </w:p>
              </w:tc>
              <w:tc>
                <w:tcPr>
                  <w:tcW w:w="1818" w:type="dxa"/>
                  <w:vAlign w:val="center"/>
                </w:tcPr>
                <w:p w14:paraId="040DFB24">
                  <w:pPr>
                    <w:pStyle w:val="41"/>
                    <w:bidi w:val="0"/>
                    <w:rPr>
                      <w:rFonts w:hint="default"/>
                      <w:lang w:val="en-US" w:eastAsia="zh-CN"/>
                    </w:rPr>
                  </w:pPr>
                  <w:r>
                    <w:rPr>
                      <w:rFonts w:hint="eastAsia"/>
                    </w:rPr>
                    <w:t>厂界</w:t>
                  </w:r>
                  <w:r>
                    <w:t>上风向</w:t>
                  </w:r>
                  <w:r>
                    <w:rPr>
                      <w:rFonts w:hint="eastAsia"/>
                      <w:lang w:val="en-US" w:eastAsia="zh-CN"/>
                    </w:rPr>
                    <w:t>Q1</w:t>
                  </w:r>
                </w:p>
              </w:tc>
              <w:tc>
                <w:tcPr>
                  <w:tcW w:w="1085" w:type="dxa"/>
                  <w:vAlign w:val="center"/>
                </w:tcPr>
                <w:p w14:paraId="51681CD6">
                  <w:pPr>
                    <w:pStyle w:val="41"/>
                    <w:bidi w:val="0"/>
                    <w:rPr>
                      <w:rFonts w:hint="default"/>
                      <w:lang w:val="en-US" w:eastAsia="zh-CN"/>
                    </w:rPr>
                  </w:pPr>
                  <w:r>
                    <w:rPr>
                      <w:rFonts w:hint="eastAsia"/>
                      <w:lang w:val="en-US" w:eastAsia="zh-CN"/>
                    </w:rPr>
                    <w:t>0.07</w:t>
                  </w:r>
                </w:p>
              </w:tc>
              <w:tc>
                <w:tcPr>
                  <w:tcW w:w="1180" w:type="dxa"/>
                  <w:vMerge w:val="restart"/>
                  <w:vAlign w:val="center"/>
                </w:tcPr>
                <w:p w14:paraId="0D7A1707">
                  <w:pPr>
                    <w:pStyle w:val="41"/>
                    <w:bidi w:val="0"/>
                    <w:rPr>
                      <w:rFonts w:hint="default"/>
                      <w:lang w:val="en-US" w:eastAsia="zh-CN"/>
                    </w:rPr>
                  </w:pPr>
                  <w:r>
                    <w:rPr>
                      <w:rFonts w:hint="eastAsia"/>
                      <w:lang w:val="en-US" w:eastAsia="zh-CN"/>
                    </w:rPr>
                    <w:t>1.5</w:t>
                  </w:r>
                </w:p>
              </w:tc>
              <w:tc>
                <w:tcPr>
                  <w:tcW w:w="1216" w:type="dxa"/>
                  <w:vMerge w:val="restart"/>
                  <w:vAlign w:val="center"/>
                </w:tcPr>
                <w:p w14:paraId="030ACB43">
                  <w:pPr>
                    <w:pStyle w:val="41"/>
                    <w:bidi w:val="0"/>
                    <w:rPr>
                      <w:rFonts w:hint="eastAsia"/>
                      <w:lang w:val="en-US" w:eastAsia="zh-CN"/>
                    </w:rPr>
                  </w:pPr>
                  <w:r>
                    <w:rPr>
                      <w:rFonts w:hint="eastAsia"/>
                      <w:lang w:val="zh-CN"/>
                    </w:rPr>
                    <w:t>《</w:t>
                  </w:r>
                  <w:r>
                    <w:rPr>
                      <w:rFonts w:hint="eastAsia"/>
                      <w:lang w:val="en-US" w:eastAsia="zh-CN"/>
                    </w:rPr>
                    <w:t>恶臭污染物排放标准</w:t>
                  </w:r>
                  <w:r>
                    <w:rPr>
                      <w:rFonts w:hint="eastAsia"/>
                      <w:lang w:val="zh-CN"/>
                    </w:rPr>
                    <w:t>》（</w:t>
                  </w:r>
                  <w:r>
                    <w:rPr>
                      <w:rFonts w:hint="eastAsia"/>
                      <w:lang w:val="en-US" w:eastAsia="zh-CN"/>
                    </w:rPr>
                    <w:t>GB14554-93</w:t>
                  </w:r>
                  <w:r>
                    <w:rPr>
                      <w:rFonts w:hint="eastAsia"/>
                      <w:lang w:val="zh-CN"/>
                    </w:rPr>
                    <w:t>）</w:t>
                  </w:r>
                  <w:r>
                    <w:rPr>
                      <w:rFonts w:hint="eastAsia"/>
                      <w:lang w:val="en-US" w:eastAsia="zh-CN"/>
                    </w:rPr>
                    <w:t>表1二级标准</w:t>
                  </w:r>
                </w:p>
              </w:tc>
              <w:tc>
                <w:tcPr>
                  <w:tcW w:w="720" w:type="dxa"/>
                  <w:vAlign w:val="center"/>
                </w:tcPr>
                <w:p w14:paraId="5EDD34C1">
                  <w:pPr>
                    <w:pStyle w:val="41"/>
                    <w:bidi w:val="0"/>
                    <w:rPr>
                      <w:rFonts w:hint="default"/>
                      <w:lang w:val="zh-CN" w:eastAsia="zh-CN"/>
                    </w:rPr>
                  </w:pPr>
                  <w:r>
                    <w:rPr>
                      <w:lang w:val="zh-CN"/>
                    </w:rPr>
                    <w:t>达标</w:t>
                  </w:r>
                </w:p>
              </w:tc>
            </w:tr>
            <w:tr w14:paraId="37A53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2" w:type="dxa"/>
                  <w:vMerge w:val="continue"/>
                  <w:vAlign w:val="center"/>
                </w:tcPr>
                <w:p w14:paraId="71210E05">
                  <w:pPr>
                    <w:pStyle w:val="41"/>
                    <w:bidi w:val="0"/>
                    <w:rPr>
                      <w:rFonts w:hint="default"/>
                      <w:lang w:val="zh-CN"/>
                    </w:rPr>
                  </w:pPr>
                </w:p>
              </w:tc>
              <w:tc>
                <w:tcPr>
                  <w:tcW w:w="1024" w:type="dxa"/>
                  <w:vMerge w:val="continue"/>
                  <w:vAlign w:val="center"/>
                </w:tcPr>
                <w:p w14:paraId="5EF3655A">
                  <w:pPr>
                    <w:pStyle w:val="41"/>
                    <w:bidi w:val="0"/>
                    <w:rPr>
                      <w:rFonts w:hint="default"/>
                      <w:lang w:val="zh-CN"/>
                    </w:rPr>
                  </w:pPr>
                </w:p>
              </w:tc>
              <w:tc>
                <w:tcPr>
                  <w:tcW w:w="1818" w:type="dxa"/>
                  <w:vAlign w:val="center"/>
                </w:tcPr>
                <w:p w14:paraId="41BEDFA0">
                  <w:pPr>
                    <w:pStyle w:val="41"/>
                    <w:bidi w:val="0"/>
                    <w:rPr>
                      <w:rFonts w:hint="default"/>
                      <w:lang w:val="en-US" w:eastAsia="zh-CN"/>
                    </w:rPr>
                  </w:pPr>
                  <w:r>
                    <w:rPr>
                      <w:rFonts w:hint="eastAsia"/>
                    </w:rPr>
                    <w:t>厂界下</w:t>
                  </w:r>
                  <w:r>
                    <w:t>风向</w:t>
                  </w:r>
                  <w:r>
                    <w:rPr>
                      <w:rFonts w:hint="eastAsia"/>
                      <w:lang w:val="en-US" w:eastAsia="zh-CN"/>
                    </w:rPr>
                    <w:t>Q2</w:t>
                  </w:r>
                </w:p>
              </w:tc>
              <w:tc>
                <w:tcPr>
                  <w:tcW w:w="1085" w:type="dxa"/>
                  <w:vAlign w:val="center"/>
                </w:tcPr>
                <w:p w14:paraId="111D362D">
                  <w:pPr>
                    <w:pStyle w:val="41"/>
                    <w:bidi w:val="0"/>
                    <w:rPr>
                      <w:rFonts w:hint="default"/>
                      <w:lang w:val="en-US" w:eastAsia="zh-CN"/>
                    </w:rPr>
                  </w:pPr>
                  <w:r>
                    <w:rPr>
                      <w:rFonts w:hint="eastAsia"/>
                      <w:lang w:val="en-US" w:eastAsia="zh-CN"/>
                    </w:rPr>
                    <w:t>0.06</w:t>
                  </w:r>
                </w:p>
              </w:tc>
              <w:tc>
                <w:tcPr>
                  <w:tcW w:w="1180" w:type="dxa"/>
                  <w:vMerge w:val="continue"/>
                  <w:vAlign w:val="center"/>
                </w:tcPr>
                <w:p w14:paraId="5E906757">
                  <w:pPr>
                    <w:pStyle w:val="41"/>
                    <w:bidi w:val="0"/>
                    <w:rPr>
                      <w:rFonts w:hint="eastAsia"/>
                      <w:lang w:val="en-US" w:eastAsia="zh-CN"/>
                    </w:rPr>
                  </w:pPr>
                </w:p>
              </w:tc>
              <w:tc>
                <w:tcPr>
                  <w:tcW w:w="1216" w:type="dxa"/>
                  <w:vMerge w:val="continue"/>
                  <w:vAlign w:val="center"/>
                </w:tcPr>
                <w:p w14:paraId="2134BA8A">
                  <w:pPr>
                    <w:pStyle w:val="41"/>
                    <w:bidi w:val="0"/>
                    <w:rPr>
                      <w:rFonts w:hint="eastAsia"/>
                      <w:lang w:val="en-US" w:eastAsia="zh-CN"/>
                    </w:rPr>
                  </w:pPr>
                </w:p>
              </w:tc>
              <w:tc>
                <w:tcPr>
                  <w:tcW w:w="720" w:type="dxa"/>
                  <w:vAlign w:val="center"/>
                </w:tcPr>
                <w:p w14:paraId="4DB81596">
                  <w:pPr>
                    <w:pStyle w:val="41"/>
                    <w:bidi w:val="0"/>
                    <w:rPr>
                      <w:rFonts w:hint="default"/>
                      <w:lang w:val="zh-CN" w:eastAsia="zh-CN"/>
                    </w:rPr>
                  </w:pPr>
                  <w:r>
                    <w:rPr>
                      <w:lang w:val="zh-CN"/>
                    </w:rPr>
                    <w:t>达标</w:t>
                  </w:r>
                </w:p>
              </w:tc>
            </w:tr>
            <w:tr w14:paraId="094F75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2" w:type="dxa"/>
                  <w:vMerge w:val="continue"/>
                  <w:vAlign w:val="center"/>
                </w:tcPr>
                <w:p w14:paraId="389C984E">
                  <w:pPr>
                    <w:pStyle w:val="41"/>
                    <w:bidi w:val="0"/>
                    <w:rPr>
                      <w:rFonts w:hint="default"/>
                      <w:lang w:val="zh-CN"/>
                    </w:rPr>
                  </w:pPr>
                </w:p>
              </w:tc>
              <w:tc>
                <w:tcPr>
                  <w:tcW w:w="1024" w:type="dxa"/>
                  <w:vMerge w:val="continue"/>
                  <w:vAlign w:val="center"/>
                </w:tcPr>
                <w:p w14:paraId="36C07D6E">
                  <w:pPr>
                    <w:pStyle w:val="41"/>
                    <w:bidi w:val="0"/>
                    <w:rPr>
                      <w:rFonts w:hint="default"/>
                      <w:lang w:val="zh-CN"/>
                    </w:rPr>
                  </w:pPr>
                </w:p>
              </w:tc>
              <w:tc>
                <w:tcPr>
                  <w:tcW w:w="1818" w:type="dxa"/>
                  <w:vAlign w:val="center"/>
                </w:tcPr>
                <w:p w14:paraId="78044054">
                  <w:pPr>
                    <w:pStyle w:val="41"/>
                    <w:bidi w:val="0"/>
                    <w:rPr>
                      <w:rFonts w:hint="default"/>
                      <w:lang w:val="en-US" w:eastAsia="zh-CN"/>
                    </w:rPr>
                  </w:pPr>
                  <w:r>
                    <w:rPr>
                      <w:rFonts w:hint="eastAsia"/>
                    </w:rPr>
                    <w:t>厂界下</w:t>
                  </w:r>
                  <w:r>
                    <w:t>风向</w:t>
                  </w:r>
                  <w:r>
                    <w:rPr>
                      <w:rFonts w:hint="eastAsia"/>
                      <w:lang w:val="en-US" w:eastAsia="zh-CN"/>
                    </w:rPr>
                    <w:t>Q3</w:t>
                  </w:r>
                </w:p>
              </w:tc>
              <w:tc>
                <w:tcPr>
                  <w:tcW w:w="1085" w:type="dxa"/>
                  <w:vAlign w:val="center"/>
                </w:tcPr>
                <w:p w14:paraId="1BB6AF9B">
                  <w:pPr>
                    <w:pStyle w:val="41"/>
                    <w:bidi w:val="0"/>
                    <w:rPr>
                      <w:rFonts w:hint="default"/>
                      <w:lang w:val="en-US" w:eastAsia="zh-CN"/>
                    </w:rPr>
                  </w:pPr>
                  <w:r>
                    <w:rPr>
                      <w:rFonts w:hint="eastAsia"/>
                      <w:lang w:val="en-US" w:eastAsia="zh-CN"/>
                    </w:rPr>
                    <w:t>0.07</w:t>
                  </w:r>
                </w:p>
              </w:tc>
              <w:tc>
                <w:tcPr>
                  <w:tcW w:w="1180" w:type="dxa"/>
                  <w:vMerge w:val="continue"/>
                  <w:vAlign w:val="center"/>
                </w:tcPr>
                <w:p w14:paraId="3A93D066">
                  <w:pPr>
                    <w:pStyle w:val="41"/>
                    <w:bidi w:val="0"/>
                    <w:rPr>
                      <w:rFonts w:hint="eastAsia"/>
                      <w:lang w:val="en-US" w:eastAsia="zh-CN"/>
                    </w:rPr>
                  </w:pPr>
                </w:p>
              </w:tc>
              <w:tc>
                <w:tcPr>
                  <w:tcW w:w="1216" w:type="dxa"/>
                  <w:vMerge w:val="continue"/>
                  <w:vAlign w:val="center"/>
                </w:tcPr>
                <w:p w14:paraId="6E4E1F09">
                  <w:pPr>
                    <w:pStyle w:val="41"/>
                    <w:bidi w:val="0"/>
                    <w:rPr>
                      <w:rFonts w:hint="eastAsia"/>
                      <w:lang w:val="en-US" w:eastAsia="zh-CN"/>
                    </w:rPr>
                  </w:pPr>
                </w:p>
              </w:tc>
              <w:tc>
                <w:tcPr>
                  <w:tcW w:w="720" w:type="dxa"/>
                  <w:vAlign w:val="center"/>
                </w:tcPr>
                <w:p w14:paraId="487B331F">
                  <w:pPr>
                    <w:pStyle w:val="41"/>
                    <w:bidi w:val="0"/>
                    <w:rPr>
                      <w:rFonts w:hint="default"/>
                      <w:lang w:val="zh-CN" w:eastAsia="zh-CN"/>
                    </w:rPr>
                  </w:pPr>
                  <w:r>
                    <w:rPr>
                      <w:lang w:val="zh-CN"/>
                    </w:rPr>
                    <w:t>达标</w:t>
                  </w:r>
                </w:p>
              </w:tc>
            </w:tr>
            <w:tr w14:paraId="0AC08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2" w:type="dxa"/>
                  <w:vMerge w:val="continue"/>
                  <w:vAlign w:val="center"/>
                </w:tcPr>
                <w:p w14:paraId="4CB28BED">
                  <w:pPr>
                    <w:pStyle w:val="41"/>
                    <w:bidi w:val="0"/>
                    <w:rPr>
                      <w:rFonts w:hint="default"/>
                      <w:lang w:val="zh-CN"/>
                    </w:rPr>
                  </w:pPr>
                </w:p>
              </w:tc>
              <w:tc>
                <w:tcPr>
                  <w:tcW w:w="1024" w:type="dxa"/>
                  <w:vMerge w:val="continue"/>
                  <w:vAlign w:val="center"/>
                </w:tcPr>
                <w:p w14:paraId="01EEB4B3">
                  <w:pPr>
                    <w:pStyle w:val="41"/>
                    <w:bidi w:val="0"/>
                    <w:rPr>
                      <w:rFonts w:hint="default"/>
                      <w:lang w:val="zh-CN"/>
                    </w:rPr>
                  </w:pPr>
                </w:p>
              </w:tc>
              <w:tc>
                <w:tcPr>
                  <w:tcW w:w="1818" w:type="dxa"/>
                  <w:vAlign w:val="center"/>
                </w:tcPr>
                <w:p w14:paraId="48AC87E3">
                  <w:pPr>
                    <w:pStyle w:val="41"/>
                    <w:bidi w:val="0"/>
                    <w:rPr>
                      <w:rFonts w:hint="default"/>
                      <w:lang w:val="en-US" w:eastAsia="zh-CN"/>
                    </w:rPr>
                  </w:pPr>
                  <w:r>
                    <w:rPr>
                      <w:rFonts w:hint="eastAsia"/>
                    </w:rPr>
                    <w:t>厂界下</w:t>
                  </w:r>
                  <w:r>
                    <w:t>风向</w:t>
                  </w:r>
                  <w:r>
                    <w:rPr>
                      <w:rFonts w:hint="eastAsia"/>
                      <w:lang w:val="en-US" w:eastAsia="zh-CN"/>
                    </w:rPr>
                    <w:t>Q4</w:t>
                  </w:r>
                </w:p>
              </w:tc>
              <w:tc>
                <w:tcPr>
                  <w:tcW w:w="1085" w:type="dxa"/>
                  <w:vAlign w:val="center"/>
                </w:tcPr>
                <w:p w14:paraId="235B2C2A">
                  <w:pPr>
                    <w:pStyle w:val="41"/>
                    <w:bidi w:val="0"/>
                    <w:rPr>
                      <w:rFonts w:hint="default"/>
                      <w:lang w:val="en-US" w:eastAsia="zh-CN"/>
                    </w:rPr>
                  </w:pPr>
                  <w:r>
                    <w:rPr>
                      <w:rFonts w:hint="eastAsia"/>
                      <w:lang w:val="en-US" w:eastAsia="zh-CN"/>
                    </w:rPr>
                    <w:t>0.06</w:t>
                  </w:r>
                </w:p>
              </w:tc>
              <w:tc>
                <w:tcPr>
                  <w:tcW w:w="1180" w:type="dxa"/>
                  <w:vMerge w:val="continue"/>
                  <w:vAlign w:val="center"/>
                </w:tcPr>
                <w:p w14:paraId="19B62BE8">
                  <w:pPr>
                    <w:pStyle w:val="41"/>
                    <w:bidi w:val="0"/>
                    <w:rPr>
                      <w:rFonts w:hint="eastAsia"/>
                      <w:lang w:val="en-US" w:eastAsia="zh-CN"/>
                    </w:rPr>
                  </w:pPr>
                </w:p>
              </w:tc>
              <w:tc>
                <w:tcPr>
                  <w:tcW w:w="1216" w:type="dxa"/>
                  <w:vMerge w:val="continue"/>
                  <w:vAlign w:val="center"/>
                </w:tcPr>
                <w:p w14:paraId="34F2B9A9">
                  <w:pPr>
                    <w:pStyle w:val="41"/>
                    <w:bidi w:val="0"/>
                    <w:rPr>
                      <w:rFonts w:hint="eastAsia"/>
                      <w:lang w:val="en-US" w:eastAsia="zh-CN"/>
                    </w:rPr>
                  </w:pPr>
                </w:p>
              </w:tc>
              <w:tc>
                <w:tcPr>
                  <w:tcW w:w="720" w:type="dxa"/>
                  <w:vAlign w:val="center"/>
                </w:tcPr>
                <w:p w14:paraId="22AAF05B">
                  <w:pPr>
                    <w:pStyle w:val="41"/>
                    <w:bidi w:val="0"/>
                    <w:rPr>
                      <w:rFonts w:hint="default"/>
                      <w:lang w:val="zh-CN" w:eastAsia="zh-CN"/>
                    </w:rPr>
                  </w:pPr>
                  <w:r>
                    <w:rPr>
                      <w:lang w:val="zh-CN"/>
                    </w:rPr>
                    <w:t>达标</w:t>
                  </w:r>
                </w:p>
              </w:tc>
            </w:tr>
            <w:tr w14:paraId="67434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2" w:type="dxa"/>
                  <w:vMerge w:val="restart"/>
                  <w:vAlign w:val="center"/>
                </w:tcPr>
                <w:p w14:paraId="496BBFFC">
                  <w:pPr>
                    <w:pStyle w:val="41"/>
                    <w:bidi w:val="0"/>
                    <w:rPr>
                      <w:rFonts w:hint="default"/>
                      <w:lang w:val="zh-CN" w:eastAsia="zh-CN"/>
                    </w:rPr>
                  </w:pPr>
                  <w:r>
                    <w:rPr>
                      <w:rFonts w:hint="eastAsia"/>
                      <w:lang w:val="en-US" w:eastAsia="zh-CN"/>
                    </w:rPr>
                    <w:t>NH</w:t>
                  </w:r>
                  <w:r>
                    <w:rPr>
                      <w:rFonts w:hint="eastAsia"/>
                      <w:vertAlign w:val="subscript"/>
                      <w:lang w:val="en-US" w:eastAsia="zh-CN"/>
                    </w:rPr>
                    <w:t>3</w:t>
                  </w:r>
                </w:p>
              </w:tc>
              <w:tc>
                <w:tcPr>
                  <w:tcW w:w="1024" w:type="dxa"/>
                  <w:vMerge w:val="restart"/>
                  <w:vAlign w:val="center"/>
                </w:tcPr>
                <w:p w14:paraId="2D4AC48E">
                  <w:pPr>
                    <w:pStyle w:val="41"/>
                    <w:bidi w:val="0"/>
                    <w:rPr>
                      <w:rFonts w:hint="default"/>
                      <w:lang w:val="en-US"/>
                    </w:rPr>
                  </w:pPr>
                  <w:r>
                    <w:rPr>
                      <w:rFonts w:hint="eastAsia"/>
                      <w:lang w:val="en-US" w:eastAsia="zh-CN"/>
                    </w:rPr>
                    <w:t>2019.01.28</w:t>
                  </w:r>
                </w:p>
              </w:tc>
              <w:tc>
                <w:tcPr>
                  <w:tcW w:w="1818" w:type="dxa"/>
                  <w:vAlign w:val="center"/>
                </w:tcPr>
                <w:p w14:paraId="1010BE2B">
                  <w:pPr>
                    <w:pStyle w:val="41"/>
                    <w:bidi w:val="0"/>
                    <w:rPr>
                      <w:rFonts w:hint="default"/>
                      <w:lang w:val="zh-CN" w:eastAsia="zh-CN"/>
                    </w:rPr>
                  </w:pPr>
                  <w:r>
                    <w:rPr>
                      <w:rFonts w:hint="eastAsia"/>
                    </w:rPr>
                    <w:t>厂界</w:t>
                  </w:r>
                  <w:r>
                    <w:t>上风向</w:t>
                  </w:r>
                  <w:r>
                    <w:rPr>
                      <w:rFonts w:hint="eastAsia"/>
                      <w:lang w:val="en-US" w:eastAsia="zh-CN"/>
                    </w:rPr>
                    <w:t>Q1</w:t>
                  </w:r>
                </w:p>
              </w:tc>
              <w:tc>
                <w:tcPr>
                  <w:tcW w:w="1085" w:type="dxa"/>
                  <w:vAlign w:val="center"/>
                </w:tcPr>
                <w:p w14:paraId="08086493">
                  <w:pPr>
                    <w:pStyle w:val="41"/>
                    <w:bidi w:val="0"/>
                    <w:rPr>
                      <w:rFonts w:hint="default"/>
                      <w:lang w:val="en-US" w:eastAsia="zh-CN"/>
                    </w:rPr>
                  </w:pPr>
                  <w:r>
                    <w:rPr>
                      <w:rFonts w:hint="eastAsia"/>
                      <w:lang w:val="en-US" w:eastAsia="zh-CN"/>
                    </w:rPr>
                    <w:t>0.09</w:t>
                  </w:r>
                </w:p>
              </w:tc>
              <w:tc>
                <w:tcPr>
                  <w:tcW w:w="1180" w:type="dxa"/>
                  <w:vMerge w:val="continue"/>
                  <w:vAlign w:val="center"/>
                </w:tcPr>
                <w:p w14:paraId="5B43A6BC">
                  <w:pPr>
                    <w:pStyle w:val="41"/>
                    <w:bidi w:val="0"/>
                    <w:rPr>
                      <w:rFonts w:hint="eastAsia"/>
                      <w:lang w:val="en-US" w:eastAsia="zh-CN"/>
                    </w:rPr>
                  </w:pPr>
                </w:p>
              </w:tc>
              <w:tc>
                <w:tcPr>
                  <w:tcW w:w="1216" w:type="dxa"/>
                  <w:vMerge w:val="continue"/>
                  <w:vAlign w:val="center"/>
                </w:tcPr>
                <w:p w14:paraId="444799ED">
                  <w:pPr>
                    <w:pStyle w:val="41"/>
                    <w:bidi w:val="0"/>
                    <w:rPr>
                      <w:rFonts w:hint="eastAsia"/>
                      <w:lang w:val="en-US" w:eastAsia="zh-CN"/>
                    </w:rPr>
                  </w:pPr>
                </w:p>
              </w:tc>
              <w:tc>
                <w:tcPr>
                  <w:tcW w:w="720" w:type="dxa"/>
                  <w:vAlign w:val="center"/>
                </w:tcPr>
                <w:p w14:paraId="6F517386">
                  <w:pPr>
                    <w:pStyle w:val="41"/>
                    <w:bidi w:val="0"/>
                    <w:rPr>
                      <w:rFonts w:hint="default"/>
                      <w:lang w:val="zh-CN" w:eastAsia="zh-CN"/>
                    </w:rPr>
                  </w:pPr>
                  <w:r>
                    <w:rPr>
                      <w:lang w:val="zh-CN"/>
                    </w:rPr>
                    <w:t>达标</w:t>
                  </w:r>
                </w:p>
              </w:tc>
            </w:tr>
            <w:tr w14:paraId="2EA7C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2" w:type="dxa"/>
                  <w:vMerge w:val="continue"/>
                  <w:vAlign w:val="center"/>
                </w:tcPr>
                <w:p w14:paraId="22912ABB">
                  <w:pPr>
                    <w:pStyle w:val="41"/>
                    <w:bidi w:val="0"/>
                    <w:rPr>
                      <w:rFonts w:hint="default"/>
                      <w:lang w:val="zh-CN"/>
                    </w:rPr>
                  </w:pPr>
                </w:p>
              </w:tc>
              <w:tc>
                <w:tcPr>
                  <w:tcW w:w="1024" w:type="dxa"/>
                  <w:vMerge w:val="continue"/>
                  <w:vAlign w:val="center"/>
                </w:tcPr>
                <w:p w14:paraId="44B57E91">
                  <w:pPr>
                    <w:pStyle w:val="41"/>
                    <w:bidi w:val="0"/>
                    <w:rPr>
                      <w:rFonts w:hint="default"/>
                      <w:lang w:val="zh-CN"/>
                    </w:rPr>
                  </w:pPr>
                </w:p>
              </w:tc>
              <w:tc>
                <w:tcPr>
                  <w:tcW w:w="1818" w:type="dxa"/>
                  <w:vAlign w:val="center"/>
                </w:tcPr>
                <w:p w14:paraId="2C574A55">
                  <w:pPr>
                    <w:pStyle w:val="41"/>
                    <w:bidi w:val="0"/>
                    <w:rPr>
                      <w:rFonts w:hint="default"/>
                      <w:lang w:val="zh-CN" w:eastAsia="zh-CN"/>
                    </w:rPr>
                  </w:pPr>
                  <w:r>
                    <w:rPr>
                      <w:rFonts w:hint="eastAsia"/>
                    </w:rPr>
                    <w:t>厂界下</w:t>
                  </w:r>
                  <w:r>
                    <w:t>风向</w:t>
                  </w:r>
                  <w:r>
                    <w:rPr>
                      <w:rFonts w:hint="eastAsia"/>
                      <w:lang w:val="en-US" w:eastAsia="zh-CN"/>
                    </w:rPr>
                    <w:t>Q2</w:t>
                  </w:r>
                </w:p>
              </w:tc>
              <w:tc>
                <w:tcPr>
                  <w:tcW w:w="1085" w:type="dxa"/>
                  <w:vAlign w:val="center"/>
                </w:tcPr>
                <w:p w14:paraId="3F713634">
                  <w:pPr>
                    <w:pStyle w:val="41"/>
                    <w:bidi w:val="0"/>
                    <w:rPr>
                      <w:rFonts w:hint="default"/>
                      <w:lang w:val="en-US" w:eastAsia="zh-CN"/>
                    </w:rPr>
                  </w:pPr>
                  <w:r>
                    <w:rPr>
                      <w:rFonts w:hint="eastAsia"/>
                      <w:lang w:val="en-US" w:eastAsia="zh-CN"/>
                    </w:rPr>
                    <w:t>0.09</w:t>
                  </w:r>
                </w:p>
              </w:tc>
              <w:tc>
                <w:tcPr>
                  <w:tcW w:w="1180" w:type="dxa"/>
                  <w:vMerge w:val="continue"/>
                  <w:vAlign w:val="center"/>
                </w:tcPr>
                <w:p w14:paraId="601D3406">
                  <w:pPr>
                    <w:pStyle w:val="41"/>
                    <w:bidi w:val="0"/>
                    <w:rPr>
                      <w:rFonts w:hint="eastAsia"/>
                      <w:lang w:val="en-US" w:eastAsia="zh-CN"/>
                    </w:rPr>
                  </w:pPr>
                </w:p>
              </w:tc>
              <w:tc>
                <w:tcPr>
                  <w:tcW w:w="1216" w:type="dxa"/>
                  <w:vMerge w:val="continue"/>
                  <w:vAlign w:val="center"/>
                </w:tcPr>
                <w:p w14:paraId="3D5AD1B2">
                  <w:pPr>
                    <w:pStyle w:val="41"/>
                    <w:bidi w:val="0"/>
                    <w:rPr>
                      <w:rFonts w:hint="eastAsia"/>
                      <w:lang w:val="en-US" w:eastAsia="zh-CN"/>
                    </w:rPr>
                  </w:pPr>
                </w:p>
              </w:tc>
              <w:tc>
                <w:tcPr>
                  <w:tcW w:w="720" w:type="dxa"/>
                  <w:vAlign w:val="center"/>
                </w:tcPr>
                <w:p w14:paraId="627994D4">
                  <w:pPr>
                    <w:pStyle w:val="41"/>
                    <w:bidi w:val="0"/>
                    <w:rPr>
                      <w:rFonts w:hint="default"/>
                      <w:lang w:val="zh-CN" w:eastAsia="zh-CN"/>
                    </w:rPr>
                  </w:pPr>
                  <w:r>
                    <w:rPr>
                      <w:lang w:val="zh-CN"/>
                    </w:rPr>
                    <w:t>达标</w:t>
                  </w:r>
                </w:p>
              </w:tc>
            </w:tr>
            <w:tr w14:paraId="04273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2" w:type="dxa"/>
                  <w:vMerge w:val="continue"/>
                  <w:vAlign w:val="center"/>
                </w:tcPr>
                <w:p w14:paraId="4ABAEFDD">
                  <w:pPr>
                    <w:pStyle w:val="41"/>
                    <w:bidi w:val="0"/>
                    <w:rPr>
                      <w:rFonts w:hint="default"/>
                      <w:lang w:val="zh-CN"/>
                    </w:rPr>
                  </w:pPr>
                </w:p>
              </w:tc>
              <w:tc>
                <w:tcPr>
                  <w:tcW w:w="1024" w:type="dxa"/>
                  <w:vMerge w:val="continue"/>
                  <w:vAlign w:val="center"/>
                </w:tcPr>
                <w:p w14:paraId="2FFC77E4">
                  <w:pPr>
                    <w:pStyle w:val="41"/>
                    <w:bidi w:val="0"/>
                    <w:rPr>
                      <w:rFonts w:hint="default"/>
                      <w:lang w:val="zh-CN"/>
                    </w:rPr>
                  </w:pPr>
                </w:p>
              </w:tc>
              <w:tc>
                <w:tcPr>
                  <w:tcW w:w="1818" w:type="dxa"/>
                  <w:vAlign w:val="center"/>
                </w:tcPr>
                <w:p w14:paraId="24F6D034">
                  <w:pPr>
                    <w:pStyle w:val="41"/>
                    <w:bidi w:val="0"/>
                    <w:rPr>
                      <w:rFonts w:hint="default"/>
                      <w:lang w:val="zh-CN" w:eastAsia="zh-CN"/>
                    </w:rPr>
                  </w:pPr>
                  <w:r>
                    <w:rPr>
                      <w:rFonts w:hint="eastAsia"/>
                    </w:rPr>
                    <w:t>厂界下</w:t>
                  </w:r>
                  <w:r>
                    <w:t>风向</w:t>
                  </w:r>
                  <w:r>
                    <w:rPr>
                      <w:rFonts w:hint="eastAsia"/>
                      <w:lang w:val="en-US" w:eastAsia="zh-CN"/>
                    </w:rPr>
                    <w:t>Q3</w:t>
                  </w:r>
                </w:p>
              </w:tc>
              <w:tc>
                <w:tcPr>
                  <w:tcW w:w="1085" w:type="dxa"/>
                  <w:vAlign w:val="center"/>
                </w:tcPr>
                <w:p w14:paraId="01A57AD0">
                  <w:pPr>
                    <w:pStyle w:val="41"/>
                    <w:bidi w:val="0"/>
                    <w:rPr>
                      <w:rFonts w:hint="default"/>
                      <w:lang w:val="en-US" w:eastAsia="zh-CN"/>
                    </w:rPr>
                  </w:pPr>
                  <w:r>
                    <w:rPr>
                      <w:rFonts w:hint="eastAsia"/>
                      <w:lang w:val="en-US" w:eastAsia="zh-CN"/>
                    </w:rPr>
                    <w:t>0.08</w:t>
                  </w:r>
                </w:p>
              </w:tc>
              <w:tc>
                <w:tcPr>
                  <w:tcW w:w="1180" w:type="dxa"/>
                  <w:vMerge w:val="continue"/>
                  <w:vAlign w:val="center"/>
                </w:tcPr>
                <w:p w14:paraId="11A54EC7">
                  <w:pPr>
                    <w:pStyle w:val="41"/>
                    <w:bidi w:val="0"/>
                    <w:rPr>
                      <w:rFonts w:hint="default"/>
                      <w:lang w:val="en-US" w:eastAsia="zh-CN"/>
                    </w:rPr>
                  </w:pPr>
                </w:p>
              </w:tc>
              <w:tc>
                <w:tcPr>
                  <w:tcW w:w="1216" w:type="dxa"/>
                  <w:vMerge w:val="continue"/>
                  <w:vAlign w:val="center"/>
                </w:tcPr>
                <w:p w14:paraId="7E37C758">
                  <w:pPr>
                    <w:pStyle w:val="41"/>
                    <w:bidi w:val="0"/>
                    <w:rPr>
                      <w:rFonts w:hint="default"/>
                      <w:lang w:val="en-US" w:eastAsia="zh-CN"/>
                    </w:rPr>
                  </w:pPr>
                </w:p>
              </w:tc>
              <w:tc>
                <w:tcPr>
                  <w:tcW w:w="720" w:type="dxa"/>
                  <w:vAlign w:val="center"/>
                </w:tcPr>
                <w:p w14:paraId="12857B73">
                  <w:pPr>
                    <w:pStyle w:val="41"/>
                    <w:bidi w:val="0"/>
                    <w:rPr>
                      <w:rFonts w:hint="default"/>
                      <w:lang w:val="zh-CN" w:eastAsia="zh-CN"/>
                    </w:rPr>
                  </w:pPr>
                  <w:r>
                    <w:rPr>
                      <w:lang w:val="zh-CN"/>
                    </w:rPr>
                    <w:t>达标</w:t>
                  </w:r>
                </w:p>
              </w:tc>
            </w:tr>
            <w:tr w14:paraId="308F24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2" w:type="dxa"/>
                  <w:vMerge w:val="continue"/>
                  <w:vAlign w:val="center"/>
                </w:tcPr>
                <w:p w14:paraId="4D40CB6E">
                  <w:pPr>
                    <w:pStyle w:val="41"/>
                    <w:bidi w:val="0"/>
                    <w:rPr>
                      <w:rFonts w:hint="default"/>
                      <w:lang w:val="zh-CN"/>
                    </w:rPr>
                  </w:pPr>
                </w:p>
              </w:tc>
              <w:tc>
                <w:tcPr>
                  <w:tcW w:w="1024" w:type="dxa"/>
                  <w:vMerge w:val="continue"/>
                  <w:vAlign w:val="center"/>
                </w:tcPr>
                <w:p w14:paraId="6B20453D">
                  <w:pPr>
                    <w:pStyle w:val="41"/>
                    <w:bidi w:val="0"/>
                    <w:rPr>
                      <w:rFonts w:hint="default"/>
                      <w:lang w:val="zh-CN"/>
                    </w:rPr>
                  </w:pPr>
                </w:p>
              </w:tc>
              <w:tc>
                <w:tcPr>
                  <w:tcW w:w="1818" w:type="dxa"/>
                  <w:vAlign w:val="center"/>
                </w:tcPr>
                <w:p w14:paraId="25FD2F60">
                  <w:pPr>
                    <w:pStyle w:val="41"/>
                    <w:bidi w:val="0"/>
                    <w:rPr>
                      <w:rFonts w:hint="default"/>
                      <w:lang w:val="zh-CN" w:eastAsia="zh-CN"/>
                    </w:rPr>
                  </w:pPr>
                  <w:r>
                    <w:rPr>
                      <w:rFonts w:hint="eastAsia"/>
                    </w:rPr>
                    <w:t>厂界下</w:t>
                  </w:r>
                  <w:r>
                    <w:t>风向</w:t>
                  </w:r>
                  <w:r>
                    <w:rPr>
                      <w:rFonts w:hint="eastAsia"/>
                      <w:lang w:val="en-US" w:eastAsia="zh-CN"/>
                    </w:rPr>
                    <w:t>Q4</w:t>
                  </w:r>
                </w:p>
              </w:tc>
              <w:tc>
                <w:tcPr>
                  <w:tcW w:w="1085" w:type="dxa"/>
                  <w:vAlign w:val="center"/>
                </w:tcPr>
                <w:p w14:paraId="32FE2CCE">
                  <w:pPr>
                    <w:pStyle w:val="41"/>
                    <w:bidi w:val="0"/>
                    <w:rPr>
                      <w:rFonts w:hint="default"/>
                      <w:lang w:val="en-US" w:eastAsia="zh-CN"/>
                    </w:rPr>
                  </w:pPr>
                  <w:r>
                    <w:rPr>
                      <w:rFonts w:hint="eastAsia"/>
                      <w:lang w:val="en-US" w:eastAsia="zh-CN"/>
                    </w:rPr>
                    <w:t>0.08</w:t>
                  </w:r>
                </w:p>
              </w:tc>
              <w:tc>
                <w:tcPr>
                  <w:tcW w:w="1180" w:type="dxa"/>
                  <w:vMerge w:val="continue"/>
                  <w:vAlign w:val="center"/>
                </w:tcPr>
                <w:p w14:paraId="510E3982">
                  <w:pPr>
                    <w:pStyle w:val="41"/>
                    <w:bidi w:val="0"/>
                    <w:rPr>
                      <w:rFonts w:hint="eastAsia"/>
                      <w:lang w:val="en-US" w:eastAsia="zh-CN"/>
                    </w:rPr>
                  </w:pPr>
                </w:p>
              </w:tc>
              <w:tc>
                <w:tcPr>
                  <w:tcW w:w="1216" w:type="dxa"/>
                  <w:vMerge w:val="continue"/>
                  <w:vAlign w:val="center"/>
                </w:tcPr>
                <w:p w14:paraId="5C4F580B">
                  <w:pPr>
                    <w:pStyle w:val="41"/>
                    <w:bidi w:val="0"/>
                    <w:rPr>
                      <w:rFonts w:hint="eastAsia"/>
                      <w:lang w:val="en-US" w:eastAsia="zh-CN"/>
                    </w:rPr>
                  </w:pPr>
                </w:p>
              </w:tc>
              <w:tc>
                <w:tcPr>
                  <w:tcW w:w="720" w:type="dxa"/>
                  <w:vAlign w:val="center"/>
                </w:tcPr>
                <w:p w14:paraId="68A513BE">
                  <w:pPr>
                    <w:pStyle w:val="41"/>
                    <w:bidi w:val="0"/>
                    <w:rPr>
                      <w:rFonts w:hint="default"/>
                      <w:lang w:val="zh-CN" w:eastAsia="zh-CN"/>
                    </w:rPr>
                  </w:pPr>
                  <w:r>
                    <w:rPr>
                      <w:lang w:val="zh-CN"/>
                    </w:rPr>
                    <w:t>达标</w:t>
                  </w:r>
                </w:p>
              </w:tc>
            </w:tr>
            <w:tr w14:paraId="61CCD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2" w:type="dxa"/>
                  <w:vMerge w:val="restart"/>
                  <w:vAlign w:val="center"/>
                </w:tcPr>
                <w:p w14:paraId="136F7F5E">
                  <w:pPr>
                    <w:pStyle w:val="41"/>
                    <w:bidi w:val="0"/>
                    <w:rPr>
                      <w:rFonts w:hint="default"/>
                      <w:lang w:val="en-US" w:eastAsia="zh-CN"/>
                    </w:rPr>
                  </w:pPr>
                  <w:r>
                    <w:rPr>
                      <w:rFonts w:hint="eastAsia"/>
                      <w:lang w:val="en-US" w:eastAsia="zh-CN"/>
                    </w:rPr>
                    <w:t>NMHC</w:t>
                  </w:r>
                </w:p>
              </w:tc>
              <w:tc>
                <w:tcPr>
                  <w:tcW w:w="1024" w:type="dxa"/>
                  <w:vMerge w:val="restart"/>
                  <w:vAlign w:val="center"/>
                </w:tcPr>
                <w:p w14:paraId="3AD5213A">
                  <w:pPr>
                    <w:pStyle w:val="41"/>
                    <w:bidi w:val="0"/>
                    <w:rPr>
                      <w:rFonts w:hint="default"/>
                      <w:lang w:val="zh-CN" w:eastAsia="zh-CN"/>
                    </w:rPr>
                  </w:pPr>
                  <w:r>
                    <w:rPr>
                      <w:rFonts w:hint="eastAsia"/>
                      <w:lang w:val="en-US" w:eastAsia="zh-CN"/>
                    </w:rPr>
                    <w:t>2019.01.27</w:t>
                  </w:r>
                </w:p>
              </w:tc>
              <w:tc>
                <w:tcPr>
                  <w:tcW w:w="1818" w:type="dxa"/>
                  <w:vAlign w:val="center"/>
                </w:tcPr>
                <w:p w14:paraId="7EA6AB18">
                  <w:pPr>
                    <w:pStyle w:val="41"/>
                    <w:bidi w:val="0"/>
                    <w:rPr>
                      <w:rFonts w:hint="eastAsia"/>
                      <w:lang w:val="zh-CN" w:eastAsia="zh-CN"/>
                    </w:rPr>
                  </w:pPr>
                  <w:r>
                    <w:rPr>
                      <w:rFonts w:hint="eastAsia"/>
                    </w:rPr>
                    <w:t>厂界</w:t>
                  </w:r>
                  <w:r>
                    <w:t>上风向</w:t>
                  </w:r>
                  <w:r>
                    <w:rPr>
                      <w:rFonts w:hint="eastAsia"/>
                      <w:lang w:val="en-US" w:eastAsia="zh-CN"/>
                    </w:rPr>
                    <w:t>Q1</w:t>
                  </w:r>
                </w:p>
              </w:tc>
              <w:tc>
                <w:tcPr>
                  <w:tcW w:w="1085" w:type="dxa"/>
                  <w:vAlign w:val="center"/>
                </w:tcPr>
                <w:p w14:paraId="7C63D4B4">
                  <w:pPr>
                    <w:pStyle w:val="41"/>
                    <w:bidi w:val="0"/>
                    <w:rPr>
                      <w:rFonts w:hint="default"/>
                      <w:lang w:val="en-US" w:eastAsia="zh-CN"/>
                    </w:rPr>
                  </w:pPr>
                  <w:r>
                    <w:rPr>
                      <w:rFonts w:hint="eastAsia"/>
                      <w:lang w:val="en-US" w:eastAsia="zh-CN"/>
                    </w:rPr>
                    <w:t>5.4×10</w:t>
                  </w:r>
                  <w:r>
                    <w:rPr>
                      <w:rFonts w:hint="eastAsia"/>
                      <w:vertAlign w:val="superscript"/>
                      <w:lang w:val="en-US" w:eastAsia="zh-CN"/>
                    </w:rPr>
                    <w:t>-3</w:t>
                  </w:r>
                </w:p>
              </w:tc>
              <w:tc>
                <w:tcPr>
                  <w:tcW w:w="1180" w:type="dxa"/>
                  <w:vMerge w:val="restart"/>
                  <w:vAlign w:val="center"/>
                </w:tcPr>
                <w:p w14:paraId="4763F8BD">
                  <w:pPr>
                    <w:pStyle w:val="41"/>
                    <w:bidi w:val="0"/>
                    <w:rPr>
                      <w:rFonts w:hint="default"/>
                      <w:lang w:val="en-US" w:eastAsia="zh-CN"/>
                    </w:rPr>
                  </w:pPr>
                  <w:r>
                    <w:rPr>
                      <w:rFonts w:hint="eastAsia"/>
                      <w:lang w:val="en-US" w:eastAsia="zh-CN"/>
                    </w:rPr>
                    <w:t>4.0</w:t>
                  </w:r>
                </w:p>
              </w:tc>
              <w:tc>
                <w:tcPr>
                  <w:tcW w:w="1216" w:type="dxa"/>
                  <w:vMerge w:val="restart"/>
                  <w:vAlign w:val="center"/>
                </w:tcPr>
                <w:p w14:paraId="15009D51">
                  <w:pPr>
                    <w:pStyle w:val="41"/>
                    <w:bidi w:val="0"/>
                    <w:rPr>
                      <w:rFonts w:hint="eastAsia"/>
                      <w:lang w:val="en-US" w:eastAsia="zh-CN"/>
                    </w:rPr>
                  </w:pPr>
                  <w:r>
                    <w:rPr>
                      <w:rFonts w:hint="eastAsia"/>
                      <w:lang w:val="zh-CN"/>
                    </w:rPr>
                    <w:t>《大气污染物综合排放标准》（DB32/4041-2021）表3</w:t>
                  </w:r>
                </w:p>
              </w:tc>
              <w:tc>
                <w:tcPr>
                  <w:tcW w:w="720" w:type="dxa"/>
                  <w:vAlign w:val="center"/>
                </w:tcPr>
                <w:p w14:paraId="3D6EB9E4">
                  <w:pPr>
                    <w:pStyle w:val="41"/>
                    <w:bidi w:val="0"/>
                    <w:rPr>
                      <w:rFonts w:hint="default"/>
                      <w:lang w:val="zh-CN" w:eastAsia="zh-CN"/>
                    </w:rPr>
                  </w:pPr>
                  <w:r>
                    <w:rPr>
                      <w:lang w:val="zh-CN"/>
                    </w:rPr>
                    <w:t>达标</w:t>
                  </w:r>
                </w:p>
              </w:tc>
            </w:tr>
            <w:tr w14:paraId="78029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2" w:type="dxa"/>
                  <w:vMerge w:val="continue"/>
                  <w:vAlign w:val="center"/>
                </w:tcPr>
                <w:p w14:paraId="6FF96DD8">
                  <w:pPr>
                    <w:pStyle w:val="41"/>
                    <w:bidi w:val="0"/>
                    <w:rPr>
                      <w:rFonts w:hint="default"/>
                      <w:lang w:val="zh-CN"/>
                    </w:rPr>
                  </w:pPr>
                </w:p>
              </w:tc>
              <w:tc>
                <w:tcPr>
                  <w:tcW w:w="1024" w:type="dxa"/>
                  <w:vMerge w:val="continue"/>
                  <w:vAlign w:val="center"/>
                </w:tcPr>
                <w:p w14:paraId="3021CCB6">
                  <w:pPr>
                    <w:pStyle w:val="41"/>
                    <w:bidi w:val="0"/>
                    <w:rPr>
                      <w:rFonts w:hint="default"/>
                      <w:lang w:val="zh-CN"/>
                    </w:rPr>
                  </w:pPr>
                </w:p>
              </w:tc>
              <w:tc>
                <w:tcPr>
                  <w:tcW w:w="1818" w:type="dxa"/>
                  <w:vAlign w:val="center"/>
                </w:tcPr>
                <w:p w14:paraId="4BEF58C6">
                  <w:pPr>
                    <w:pStyle w:val="41"/>
                    <w:bidi w:val="0"/>
                    <w:rPr>
                      <w:rFonts w:hint="eastAsia"/>
                      <w:lang w:val="zh-CN" w:eastAsia="zh-CN"/>
                    </w:rPr>
                  </w:pPr>
                  <w:r>
                    <w:rPr>
                      <w:rFonts w:hint="eastAsia"/>
                    </w:rPr>
                    <w:t>厂界下</w:t>
                  </w:r>
                  <w:r>
                    <w:t>风向</w:t>
                  </w:r>
                  <w:r>
                    <w:rPr>
                      <w:rFonts w:hint="eastAsia"/>
                      <w:lang w:val="en-US" w:eastAsia="zh-CN"/>
                    </w:rPr>
                    <w:t>Q2</w:t>
                  </w:r>
                </w:p>
              </w:tc>
              <w:tc>
                <w:tcPr>
                  <w:tcW w:w="1085" w:type="dxa"/>
                  <w:vAlign w:val="center"/>
                </w:tcPr>
                <w:p w14:paraId="19A39A38">
                  <w:pPr>
                    <w:pStyle w:val="41"/>
                    <w:bidi w:val="0"/>
                    <w:rPr>
                      <w:rFonts w:hint="default"/>
                      <w:lang w:val="en-US" w:eastAsia="zh-CN"/>
                    </w:rPr>
                  </w:pPr>
                  <w:r>
                    <w:rPr>
                      <w:rFonts w:hint="eastAsia"/>
                      <w:lang w:val="en-US" w:eastAsia="zh-CN"/>
                    </w:rPr>
                    <w:t>0.0163</w:t>
                  </w:r>
                </w:p>
              </w:tc>
              <w:tc>
                <w:tcPr>
                  <w:tcW w:w="1180" w:type="dxa"/>
                  <w:vMerge w:val="continue"/>
                  <w:vAlign w:val="center"/>
                </w:tcPr>
                <w:p w14:paraId="1553B57A">
                  <w:pPr>
                    <w:pStyle w:val="41"/>
                    <w:bidi w:val="0"/>
                    <w:rPr>
                      <w:rFonts w:hint="eastAsia"/>
                      <w:lang w:val="en-US" w:eastAsia="zh-CN"/>
                    </w:rPr>
                  </w:pPr>
                </w:p>
              </w:tc>
              <w:tc>
                <w:tcPr>
                  <w:tcW w:w="1216" w:type="dxa"/>
                  <w:vMerge w:val="continue"/>
                  <w:vAlign w:val="center"/>
                </w:tcPr>
                <w:p w14:paraId="76DCAF2F">
                  <w:pPr>
                    <w:pStyle w:val="41"/>
                    <w:bidi w:val="0"/>
                    <w:rPr>
                      <w:rFonts w:hint="eastAsia"/>
                      <w:lang w:val="en-US" w:eastAsia="zh-CN"/>
                    </w:rPr>
                  </w:pPr>
                </w:p>
              </w:tc>
              <w:tc>
                <w:tcPr>
                  <w:tcW w:w="720" w:type="dxa"/>
                  <w:vAlign w:val="center"/>
                </w:tcPr>
                <w:p w14:paraId="3F88599F">
                  <w:pPr>
                    <w:pStyle w:val="41"/>
                    <w:bidi w:val="0"/>
                    <w:rPr>
                      <w:rFonts w:hint="default"/>
                      <w:lang w:val="zh-CN" w:eastAsia="zh-CN"/>
                    </w:rPr>
                  </w:pPr>
                  <w:r>
                    <w:rPr>
                      <w:lang w:val="zh-CN"/>
                    </w:rPr>
                    <w:t>达标</w:t>
                  </w:r>
                </w:p>
              </w:tc>
            </w:tr>
            <w:tr w14:paraId="51C5D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2" w:type="dxa"/>
                  <w:vMerge w:val="continue"/>
                  <w:vAlign w:val="center"/>
                </w:tcPr>
                <w:p w14:paraId="19E7A0E8">
                  <w:pPr>
                    <w:pStyle w:val="41"/>
                    <w:bidi w:val="0"/>
                    <w:rPr>
                      <w:rFonts w:hint="default"/>
                      <w:lang w:val="zh-CN"/>
                    </w:rPr>
                  </w:pPr>
                </w:p>
              </w:tc>
              <w:tc>
                <w:tcPr>
                  <w:tcW w:w="1024" w:type="dxa"/>
                  <w:vMerge w:val="continue"/>
                  <w:vAlign w:val="center"/>
                </w:tcPr>
                <w:p w14:paraId="103BDB75">
                  <w:pPr>
                    <w:pStyle w:val="41"/>
                    <w:bidi w:val="0"/>
                    <w:rPr>
                      <w:rFonts w:hint="default"/>
                      <w:lang w:val="zh-CN"/>
                    </w:rPr>
                  </w:pPr>
                </w:p>
              </w:tc>
              <w:tc>
                <w:tcPr>
                  <w:tcW w:w="1818" w:type="dxa"/>
                  <w:vAlign w:val="center"/>
                </w:tcPr>
                <w:p w14:paraId="039CCBD9">
                  <w:pPr>
                    <w:pStyle w:val="41"/>
                    <w:bidi w:val="0"/>
                    <w:rPr>
                      <w:rFonts w:hint="eastAsia"/>
                      <w:lang w:val="zh-CN" w:eastAsia="zh-CN"/>
                    </w:rPr>
                  </w:pPr>
                  <w:r>
                    <w:rPr>
                      <w:rFonts w:hint="eastAsia"/>
                    </w:rPr>
                    <w:t>厂界下</w:t>
                  </w:r>
                  <w:r>
                    <w:t>风向</w:t>
                  </w:r>
                  <w:r>
                    <w:rPr>
                      <w:rFonts w:hint="eastAsia"/>
                      <w:lang w:val="en-US" w:eastAsia="zh-CN"/>
                    </w:rPr>
                    <w:t>Q3</w:t>
                  </w:r>
                </w:p>
              </w:tc>
              <w:tc>
                <w:tcPr>
                  <w:tcW w:w="1085" w:type="dxa"/>
                  <w:vAlign w:val="center"/>
                </w:tcPr>
                <w:p w14:paraId="55FCE450">
                  <w:pPr>
                    <w:pStyle w:val="41"/>
                    <w:bidi w:val="0"/>
                    <w:rPr>
                      <w:rFonts w:hint="default"/>
                      <w:lang w:val="en-US" w:eastAsia="zh-CN"/>
                    </w:rPr>
                  </w:pPr>
                  <w:r>
                    <w:rPr>
                      <w:rFonts w:hint="eastAsia"/>
                      <w:lang w:val="en-US" w:eastAsia="zh-CN"/>
                    </w:rPr>
                    <w:t>0.0102</w:t>
                  </w:r>
                </w:p>
              </w:tc>
              <w:tc>
                <w:tcPr>
                  <w:tcW w:w="1180" w:type="dxa"/>
                  <w:vMerge w:val="continue"/>
                  <w:vAlign w:val="center"/>
                </w:tcPr>
                <w:p w14:paraId="3F591B94">
                  <w:pPr>
                    <w:pStyle w:val="41"/>
                    <w:bidi w:val="0"/>
                    <w:rPr>
                      <w:rFonts w:hint="eastAsia"/>
                      <w:lang w:val="en-US" w:eastAsia="zh-CN"/>
                    </w:rPr>
                  </w:pPr>
                </w:p>
              </w:tc>
              <w:tc>
                <w:tcPr>
                  <w:tcW w:w="1216" w:type="dxa"/>
                  <w:vMerge w:val="continue"/>
                  <w:vAlign w:val="center"/>
                </w:tcPr>
                <w:p w14:paraId="63879D1E">
                  <w:pPr>
                    <w:pStyle w:val="41"/>
                    <w:bidi w:val="0"/>
                    <w:rPr>
                      <w:rFonts w:hint="eastAsia"/>
                      <w:lang w:val="en-US" w:eastAsia="zh-CN"/>
                    </w:rPr>
                  </w:pPr>
                </w:p>
              </w:tc>
              <w:tc>
                <w:tcPr>
                  <w:tcW w:w="720" w:type="dxa"/>
                  <w:vAlign w:val="center"/>
                </w:tcPr>
                <w:p w14:paraId="0888AF90">
                  <w:pPr>
                    <w:pStyle w:val="41"/>
                    <w:bidi w:val="0"/>
                    <w:rPr>
                      <w:rFonts w:hint="default"/>
                      <w:lang w:val="zh-CN" w:eastAsia="zh-CN"/>
                    </w:rPr>
                  </w:pPr>
                  <w:r>
                    <w:rPr>
                      <w:lang w:val="zh-CN"/>
                    </w:rPr>
                    <w:t>达标</w:t>
                  </w:r>
                </w:p>
              </w:tc>
            </w:tr>
            <w:tr w14:paraId="68ACC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2" w:type="dxa"/>
                  <w:vMerge w:val="continue"/>
                  <w:vAlign w:val="center"/>
                </w:tcPr>
                <w:p w14:paraId="415C1C9E">
                  <w:pPr>
                    <w:pStyle w:val="41"/>
                    <w:bidi w:val="0"/>
                    <w:rPr>
                      <w:rFonts w:hint="default"/>
                      <w:lang w:val="zh-CN"/>
                    </w:rPr>
                  </w:pPr>
                </w:p>
              </w:tc>
              <w:tc>
                <w:tcPr>
                  <w:tcW w:w="1024" w:type="dxa"/>
                  <w:vMerge w:val="continue"/>
                  <w:vAlign w:val="center"/>
                </w:tcPr>
                <w:p w14:paraId="09B1CA24">
                  <w:pPr>
                    <w:pStyle w:val="41"/>
                    <w:bidi w:val="0"/>
                    <w:rPr>
                      <w:rFonts w:hint="default"/>
                      <w:lang w:val="zh-CN"/>
                    </w:rPr>
                  </w:pPr>
                </w:p>
              </w:tc>
              <w:tc>
                <w:tcPr>
                  <w:tcW w:w="1818" w:type="dxa"/>
                  <w:vAlign w:val="center"/>
                </w:tcPr>
                <w:p w14:paraId="7B8213BD">
                  <w:pPr>
                    <w:pStyle w:val="41"/>
                    <w:bidi w:val="0"/>
                    <w:rPr>
                      <w:rFonts w:hint="eastAsia"/>
                      <w:lang w:val="zh-CN" w:eastAsia="zh-CN"/>
                    </w:rPr>
                  </w:pPr>
                  <w:r>
                    <w:rPr>
                      <w:rFonts w:hint="eastAsia"/>
                    </w:rPr>
                    <w:t>厂界下</w:t>
                  </w:r>
                  <w:r>
                    <w:t>风向</w:t>
                  </w:r>
                  <w:r>
                    <w:rPr>
                      <w:rFonts w:hint="eastAsia"/>
                      <w:lang w:val="en-US" w:eastAsia="zh-CN"/>
                    </w:rPr>
                    <w:t>Q4</w:t>
                  </w:r>
                </w:p>
              </w:tc>
              <w:tc>
                <w:tcPr>
                  <w:tcW w:w="1085" w:type="dxa"/>
                  <w:vAlign w:val="center"/>
                </w:tcPr>
                <w:p w14:paraId="3D589D67">
                  <w:pPr>
                    <w:pStyle w:val="41"/>
                    <w:bidi w:val="0"/>
                    <w:rPr>
                      <w:rFonts w:hint="eastAsia"/>
                      <w:lang w:val="en-US" w:eastAsia="zh-CN"/>
                    </w:rPr>
                  </w:pPr>
                  <w:r>
                    <w:rPr>
                      <w:rFonts w:hint="eastAsia"/>
                      <w:lang w:val="en-US" w:eastAsia="zh-CN"/>
                    </w:rPr>
                    <w:t>7.6×10-3</w:t>
                  </w:r>
                </w:p>
              </w:tc>
              <w:tc>
                <w:tcPr>
                  <w:tcW w:w="1180" w:type="dxa"/>
                  <w:vMerge w:val="continue"/>
                  <w:vAlign w:val="center"/>
                </w:tcPr>
                <w:p w14:paraId="30396880">
                  <w:pPr>
                    <w:pStyle w:val="41"/>
                    <w:bidi w:val="0"/>
                    <w:rPr>
                      <w:rFonts w:hint="eastAsia"/>
                      <w:lang w:val="en-US" w:eastAsia="zh-CN"/>
                    </w:rPr>
                  </w:pPr>
                </w:p>
              </w:tc>
              <w:tc>
                <w:tcPr>
                  <w:tcW w:w="1216" w:type="dxa"/>
                  <w:vMerge w:val="continue"/>
                  <w:vAlign w:val="center"/>
                </w:tcPr>
                <w:p w14:paraId="43EF63F9">
                  <w:pPr>
                    <w:pStyle w:val="41"/>
                    <w:bidi w:val="0"/>
                    <w:rPr>
                      <w:rFonts w:hint="eastAsia"/>
                      <w:lang w:val="en-US" w:eastAsia="zh-CN"/>
                    </w:rPr>
                  </w:pPr>
                </w:p>
              </w:tc>
              <w:tc>
                <w:tcPr>
                  <w:tcW w:w="720" w:type="dxa"/>
                  <w:vAlign w:val="center"/>
                </w:tcPr>
                <w:p w14:paraId="4817999A">
                  <w:pPr>
                    <w:pStyle w:val="41"/>
                    <w:bidi w:val="0"/>
                    <w:rPr>
                      <w:rFonts w:hint="default"/>
                      <w:lang w:val="zh-CN" w:eastAsia="zh-CN"/>
                    </w:rPr>
                  </w:pPr>
                  <w:r>
                    <w:rPr>
                      <w:lang w:val="zh-CN"/>
                    </w:rPr>
                    <w:t>达标</w:t>
                  </w:r>
                </w:p>
              </w:tc>
            </w:tr>
            <w:tr w14:paraId="634A2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2" w:type="dxa"/>
                  <w:vMerge w:val="restart"/>
                  <w:vAlign w:val="center"/>
                </w:tcPr>
                <w:p w14:paraId="16781B57">
                  <w:pPr>
                    <w:pStyle w:val="41"/>
                    <w:bidi w:val="0"/>
                    <w:rPr>
                      <w:rFonts w:hint="default"/>
                      <w:lang w:val="en-US" w:eastAsia="zh-CN"/>
                    </w:rPr>
                  </w:pPr>
                  <w:r>
                    <w:rPr>
                      <w:rFonts w:hint="eastAsia"/>
                      <w:lang w:val="en-US" w:eastAsia="zh-CN"/>
                    </w:rPr>
                    <w:t>NMHC</w:t>
                  </w:r>
                </w:p>
              </w:tc>
              <w:tc>
                <w:tcPr>
                  <w:tcW w:w="1024" w:type="dxa"/>
                  <w:vMerge w:val="restart"/>
                  <w:vAlign w:val="center"/>
                </w:tcPr>
                <w:p w14:paraId="12382779">
                  <w:pPr>
                    <w:pStyle w:val="41"/>
                    <w:bidi w:val="0"/>
                    <w:rPr>
                      <w:rFonts w:hint="default"/>
                      <w:lang w:val="zh-CN" w:eastAsia="zh-CN"/>
                    </w:rPr>
                  </w:pPr>
                  <w:r>
                    <w:rPr>
                      <w:rFonts w:hint="eastAsia"/>
                      <w:lang w:val="en-US" w:eastAsia="zh-CN"/>
                    </w:rPr>
                    <w:t>2019.01.28</w:t>
                  </w:r>
                </w:p>
              </w:tc>
              <w:tc>
                <w:tcPr>
                  <w:tcW w:w="1818" w:type="dxa"/>
                  <w:vAlign w:val="center"/>
                </w:tcPr>
                <w:p w14:paraId="092B9B73">
                  <w:pPr>
                    <w:pStyle w:val="41"/>
                    <w:bidi w:val="0"/>
                    <w:rPr>
                      <w:rFonts w:hint="eastAsia"/>
                      <w:lang w:val="zh-CN" w:eastAsia="zh-CN"/>
                    </w:rPr>
                  </w:pPr>
                  <w:r>
                    <w:rPr>
                      <w:rFonts w:hint="eastAsia"/>
                    </w:rPr>
                    <w:t>厂界</w:t>
                  </w:r>
                  <w:r>
                    <w:t>上风向</w:t>
                  </w:r>
                  <w:r>
                    <w:rPr>
                      <w:rFonts w:hint="eastAsia"/>
                      <w:lang w:val="en-US" w:eastAsia="zh-CN"/>
                    </w:rPr>
                    <w:t>Q1</w:t>
                  </w:r>
                </w:p>
              </w:tc>
              <w:tc>
                <w:tcPr>
                  <w:tcW w:w="1085" w:type="dxa"/>
                  <w:vAlign w:val="center"/>
                </w:tcPr>
                <w:p w14:paraId="3C7E278B">
                  <w:pPr>
                    <w:pStyle w:val="41"/>
                    <w:bidi w:val="0"/>
                    <w:rPr>
                      <w:rFonts w:hint="eastAsia"/>
                      <w:lang w:val="en-US" w:eastAsia="zh-CN"/>
                    </w:rPr>
                  </w:pPr>
                  <w:r>
                    <w:rPr>
                      <w:rFonts w:hint="eastAsia"/>
                      <w:lang w:val="en-US" w:eastAsia="zh-CN"/>
                    </w:rPr>
                    <w:t>6.0×10-3</w:t>
                  </w:r>
                </w:p>
              </w:tc>
              <w:tc>
                <w:tcPr>
                  <w:tcW w:w="1180" w:type="dxa"/>
                  <w:vMerge w:val="continue"/>
                  <w:vAlign w:val="center"/>
                </w:tcPr>
                <w:p w14:paraId="4BF6CB35">
                  <w:pPr>
                    <w:pStyle w:val="41"/>
                    <w:bidi w:val="0"/>
                    <w:rPr>
                      <w:rFonts w:hint="eastAsia"/>
                      <w:lang w:val="en-US" w:eastAsia="zh-CN"/>
                    </w:rPr>
                  </w:pPr>
                </w:p>
              </w:tc>
              <w:tc>
                <w:tcPr>
                  <w:tcW w:w="1216" w:type="dxa"/>
                  <w:vMerge w:val="continue"/>
                  <w:vAlign w:val="center"/>
                </w:tcPr>
                <w:p w14:paraId="40046996">
                  <w:pPr>
                    <w:pStyle w:val="41"/>
                    <w:bidi w:val="0"/>
                    <w:rPr>
                      <w:rFonts w:hint="eastAsia"/>
                      <w:lang w:val="en-US" w:eastAsia="zh-CN"/>
                    </w:rPr>
                  </w:pPr>
                </w:p>
              </w:tc>
              <w:tc>
                <w:tcPr>
                  <w:tcW w:w="720" w:type="dxa"/>
                  <w:vAlign w:val="center"/>
                </w:tcPr>
                <w:p w14:paraId="593B930C">
                  <w:pPr>
                    <w:pStyle w:val="41"/>
                    <w:bidi w:val="0"/>
                    <w:rPr>
                      <w:rFonts w:hint="default"/>
                      <w:lang w:val="zh-CN" w:eastAsia="zh-CN"/>
                    </w:rPr>
                  </w:pPr>
                  <w:r>
                    <w:rPr>
                      <w:lang w:val="zh-CN"/>
                    </w:rPr>
                    <w:t>达标</w:t>
                  </w:r>
                </w:p>
              </w:tc>
            </w:tr>
            <w:tr w14:paraId="2C00D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2" w:type="dxa"/>
                  <w:vMerge w:val="continue"/>
                  <w:vAlign w:val="center"/>
                </w:tcPr>
                <w:p w14:paraId="40920D7D">
                  <w:pPr>
                    <w:pStyle w:val="41"/>
                    <w:bidi w:val="0"/>
                    <w:rPr>
                      <w:rFonts w:hint="eastAsia"/>
                      <w:lang w:val="en-US" w:eastAsia="zh-CN"/>
                    </w:rPr>
                  </w:pPr>
                </w:p>
              </w:tc>
              <w:tc>
                <w:tcPr>
                  <w:tcW w:w="1024" w:type="dxa"/>
                  <w:vMerge w:val="continue"/>
                  <w:vAlign w:val="center"/>
                </w:tcPr>
                <w:p w14:paraId="1BA592EB">
                  <w:pPr>
                    <w:pStyle w:val="41"/>
                    <w:bidi w:val="0"/>
                    <w:rPr>
                      <w:rFonts w:hint="eastAsia"/>
                      <w:lang w:val="en-US" w:eastAsia="zh-CN"/>
                    </w:rPr>
                  </w:pPr>
                </w:p>
              </w:tc>
              <w:tc>
                <w:tcPr>
                  <w:tcW w:w="1818" w:type="dxa"/>
                  <w:vAlign w:val="center"/>
                </w:tcPr>
                <w:p w14:paraId="4D3B381A">
                  <w:pPr>
                    <w:pStyle w:val="41"/>
                    <w:bidi w:val="0"/>
                    <w:rPr>
                      <w:rFonts w:hint="eastAsia"/>
                      <w:lang w:val="zh-CN" w:eastAsia="zh-CN"/>
                    </w:rPr>
                  </w:pPr>
                  <w:r>
                    <w:rPr>
                      <w:rFonts w:hint="eastAsia"/>
                    </w:rPr>
                    <w:t>厂界下</w:t>
                  </w:r>
                  <w:r>
                    <w:t>风向</w:t>
                  </w:r>
                  <w:r>
                    <w:rPr>
                      <w:rFonts w:hint="eastAsia"/>
                      <w:lang w:val="en-US" w:eastAsia="zh-CN"/>
                    </w:rPr>
                    <w:t>Q2</w:t>
                  </w:r>
                </w:p>
              </w:tc>
              <w:tc>
                <w:tcPr>
                  <w:tcW w:w="1085" w:type="dxa"/>
                  <w:vAlign w:val="center"/>
                </w:tcPr>
                <w:p w14:paraId="11651C6D">
                  <w:pPr>
                    <w:pStyle w:val="41"/>
                    <w:bidi w:val="0"/>
                    <w:rPr>
                      <w:rFonts w:hint="eastAsia"/>
                      <w:lang w:val="en-US" w:eastAsia="zh-CN"/>
                    </w:rPr>
                  </w:pPr>
                  <w:r>
                    <w:rPr>
                      <w:rFonts w:hint="eastAsia"/>
                      <w:lang w:val="en-US" w:eastAsia="zh-CN"/>
                    </w:rPr>
                    <w:t>1.7×10-3</w:t>
                  </w:r>
                </w:p>
              </w:tc>
              <w:tc>
                <w:tcPr>
                  <w:tcW w:w="1180" w:type="dxa"/>
                  <w:vMerge w:val="continue"/>
                  <w:vAlign w:val="center"/>
                </w:tcPr>
                <w:p w14:paraId="7110C4A8">
                  <w:pPr>
                    <w:pStyle w:val="41"/>
                    <w:bidi w:val="0"/>
                    <w:rPr>
                      <w:rFonts w:hint="eastAsia"/>
                      <w:lang w:val="en-US" w:eastAsia="zh-CN"/>
                    </w:rPr>
                  </w:pPr>
                </w:p>
              </w:tc>
              <w:tc>
                <w:tcPr>
                  <w:tcW w:w="1216" w:type="dxa"/>
                  <w:vMerge w:val="continue"/>
                  <w:vAlign w:val="center"/>
                </w:tcPr>
                <w:p w14:paraId="59EF3894">
                  <w:pPr>
                    <w:pStyle w:val="41"/>
                    <w:bidi w:val="0"/>
                    <w:rPr>
                      <w:rFonts w:hint="eastAsia"/>
                      <w:lang w:val="en-US" w:eastAsia="zh-CN"/>
                    </w:rPr>
                  </w:pPr>
                </w:p>
              </w:tc>
              <w:tc>
                <w:tcPr>
                  <w:tcW w:w="720" w:type="dxa"/>
                  <w:vAlign w:val="center"/>
                </w:tcPr>
                <w:p w14:paraId="6194F927">
                  <w:pPr>
                    <w:pStyle w:val="41"/>
                    <w:bidi w:val="0"/>
                    <w:rPr>
                      <w:rFonts w:hint="default"/>
                      <w:lang w:val="zh-CN" w:eastAsia="zh-CN"/>
                    </w:rPr>
                  </w:pPr>
                  <w:r>
                    <w:rPr>
                      <w:lang w:val="zh-CN"/>
                    </w:rPr>
                    <w:t>达标</w:t>
                  </w:r>
                </w:p>
              </w:tc>
            </w:tr>
            <w:tr w14:paraId="41449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52" w:type="dxa"/>
                  <w:vMerge w:val="continue"/>
                  <w:vAlign w:val="center"/>
                </w:tcPr>
                <w:p w14:paraId="75635335">
                  <w:pPr>
                    <w:pStyle w:val="41"/>
                    <w:bidi w:val="0"/>
                    <w:rPr>
                      <w:rFonts w:hint="eastAsia"/>
                      <w:lang w:val="en-US" w:eastAsia="zh-CN"/>
                    </w:rPr>
                  </w:pPr>
                </w:p>
              </w:tc>
              <w:tc>
                <w:tcPr>
                  <w:tcW w:w="1024" w:type="dxa"/>
                  <w:vMerge w:val="continue"/>
                  <w:vAlign w:val="center"/>
                </w:tcPr>
                <w:p w14:paraId="4577A2B9">
                  <w:pPr>
                    <w:pStyle w:val="41"/>
                    <w:bidi w:val="0"/>
                    <w:rPr>
                      <w:rFonts w:hint="eastAsia"/>
                      <w:lang w:val="en-US" w:eastAsia="zh-CN"/>
                    </w:rPr>
                  </w:pPr>
                </w:p>
              </w:tc>
              <w:tc>
                <w:tcPr>
                  <w:tcW w:w="1818" w:type="dxa"/>
                  <w:vAlign w:val="center"/>
                </w:tcPr>
                <w:p w14:paraId="6499ECBA">
                  <w:pPr>
                    <w:pStyle w:val="41"/>
                    <w:bidi w:val="0"/>
                    <w:rPr>
                      <w:rFonts w:hint="eastAsia"/>
                      <w:lang w:val="zh-CN" w:eastAsia="zh-CN"/>
                    </w:rPr>
                  </w:pPr>
                  <w:r>
                    <w:rPr>
                      <w:rFonts w:hint="eastAsia"/>
                    </w:rPr>
                    <w:t>厂界下</w:t>
                  </w:r>
                  <w:r>
                    <w:t>风向</w:t>
                  </w:r>
                  <w:r>
                    <w:rPr>
                      <w:rFonts w:hint="eastAsia"/>
                      <w:lang w:val="en-US" w:eastAsia="zh-CN"/>
                    </w:rPr>
                    <w:t>Q3</w:t>
                  </w:r>
                </w:p>
              </w:tc>
              <w:tc>
                <w:tcPr>
                  <w:tcW w:w="1085" w:type="dxa"/>
                  <w:vAlign w:val="center"/>
                </w:tcPr>
                <w:p w14:paraId="11F2E771">
                  <w:pPr>
                    <w:pStyle w:val="41"/>
                    <w:bidi w:val="0"/>
                    <w:rPr>
                      <w:rFonts w:hint="eastAsia"/>
                      <w:lang w:val="en-US" w:eastAsia="zh-CN"/>
                    </w:rPr>
                  </w:pPr>
                  <w:r>
                    <w:rPr>
                      <w:rFonts w:hint="eastAsia"/>
                      <w:lang w:val="en-US" w:eastAsia="zh-CN"/>
                    </w:rPr>
                    <w:t>1.6×10-3</w:t>
                  </w:r>
                </w:p>
              </w:tc>
              <w:tc>
                <w:tcPr>
                  <w:tcW w:w="1180" w:type="dxa"/>
                  <w:vMerge w:val="continue"/>
                  <w:vAlign w:val="center"/>
                </w:tcPr>
                <w:p w14:paraId="6FA0DE27">
                  <w:pPr>
                    <w:pStyle w:val="41"/>
                    <w:bidi w:val="0"/>
                    <w:rPr>
                      <w:rFonts w:hint="eastAsia"/>
                      <w:lang w:val="en-US" w:eastAsia="zh-CN"/>
                    </w:rPr>
                  </w:pPr>
                </w:p>
              </w:tc>
              <w:tc>
                <w:tcPr>
                  <w:tcW w:w="1216" w:type="dxa"/>
                  <w:vMerge w:val="continue"/>
                  <w:vAlign w:val="center"/>
                </w:tcPr>
                <w:p w14:paraId="50053B74">
                  <w:pPr>
                    <w:pStyle w:val="41"/>
                    <w:bidi w:val="0"/>
                    <w:rPr>
                      <w:rFonts w:hint="eastAsia"/>
                      <w:lang w:val="en-US" w:eastAsia="zh-CN"/>
                    </w:rPr>
                  </w:pPr>
                </w:p>
              </w:tc>
              <w:tc>
                <w:tcPr>
                  <w:tcW w:w="720" w:type="dxa"/>
                  <w:vAlign w:val="center"/>
                </w:tcPr>
                <w:p w14:paraId="332220C7">
                  <w:pPr>
                    <w:pStyle w:val="41"/>
                    <w:bidi w:val="0"/>
                    <w:rPr>
                      <w:rFonts w:hint="default"/>
                      <w:lang w:val="zh-CN" w:eastAsia="zh-CN"/>
                    </w:rPr>
                  </w:pPr>
                  <w:r>
                    <w:rPr>
                      <w:lang w:val="zh-CN"/>
                    </w:rPr>
                    <w:t>达标</w:t>
                  </w:r>
                </w:p>
              </w:tc>
            </w:tr>
            <w:tr w14:paraId="14FDB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52" w:type="dxa"/>
                  <w:vMerge w:val="continue"/>
                  <w:vAlign w:val="center"/>
                </w:tcPr>
                <w:p w14:paraId="00E6604D">
                  <w:pPr>
                    <w:pStyle w:val="41"/>
                    <w:bidi w:val="0"/>
                    <w:rPr>
                      <w:rFonts w:hint="eastAsia"/>
                      <w:lang w:val="en-US" w:eastAsia="zh-CN"/>
                    </w:rPr>
                  </w:pPr>
                </w:p>
              </w:tc>
              <w:tc>
                <w:tcPr>
                  <w:tcW w:w="1024" w:type="dxa"/>
                  <w:vMerge w:val="continue"/>
                  <w:vAlign w:val="center"/>
                </w:tcPr>
                <w:p w14:paraId="2962CA89">
                  <w:pPr>
                    <w:pStyle w:val="41"/>
                    <w:bidi w:val="0"/>
                    <w:rPr>
                      <w:rFonts w:hint="eastAsia"/>
                      <w:lang w:val="en-US" w:eastAsia="zh-CN"/>
                    </w:rPr>
                  </w:pPr>
                </w:p>
              </w:tc>
              <w:tc>
                <w:tcPr>
                  <w:tcW w:w="1818" w:type="dxa"/>
                  <w:vAlign w:val="center"/>
                </w:tcPr>
                <w:p w14:paraId="16C3F1D1">
                  <w:pPr>
                    <w:pStyle w:val="41"/>
                    <w:bidi w:val="0"/>
                    <w:rPr>
                      <w:rFonts w:hint="eastAsia"/>
                      <w:lang w:val="zh-CN" w:eastAsia="zh-CN"/>
                    </w:rPr>
                  </w:pPr>
                  <w:r>
                    <w:rPr>
                      <w:rFonts w:hint="eastAsia"/>
                    </w:rPr>
                    <w:t>厂界下</w:t>
                  </w:r>
                  <w:r>
                    <w:t>风向</w:t>
                  </w:r>
                  <w:r>
                    <w:rPr>
                      <w:rFonts w:hint="eastAsia"/>
                      <w:lang w:val="en-US" w:eastAsia="zh-CN"/>
                    </w:rPr>
                    <w:t>Q4</w:t>
                  </w:r>
                </w:p>
              </w:tc>
              <w:tc>
                <w:tcPr>
                  <w:tcW w:w="1085" w:type="dxa"/>
                  <w:vAlign w:val="center"/>
                </w:tcPr>
                <w:p w14:paraId="0D41E54C">
                  <w:pPr>
                    <w:pStyle w:val="41"/>
                    <w:bidi w:val="0"/>
                    <w:rPr>
                      <w:rFonts w:hint="eastAsia"/>
                      <w:lang w:val="en-US" w:eastAsia="zh-CN"/>
                    </w:rPr>
                  </w:pPr>
                  <w:r>
                    <w:rPr>
                      <w:rFonts w:hint="eastAsia"/>
                      <w:lang w:val="en-US" w:eastAsia="zh-CN"/>
                    </w:rPr>
                    <w:t>1.7×10-3</w:t>
                  </w:r>
                </w:p>
              </w:tc>
              <w:tc>
                <w:tcPr>
                  <w:tcW w:w="1180" w:type="dxa"/>
                  <w:vMerge w:val="continue"/>
                  <w:vAlign w:val="center"/>
                </w:tcPr>
                <w:p w14:paraId="6E1BE6CF">
                  <w:pPr>
                    <w:pStyle w:val="41"/>
                    <w:bidi w:val="0"/>
                    <w:rPr>
                      <w:rFonts w:hint="eastAsia"/>
                      <w:lang w:val="en-US" w:eastAsia="zh-CN"/>
                    </w:rPr>
                  </w:pPr>
                </w:p>
              </w:tc>
              <w:tc>
                <w:tcPr>
                  <w:tcW w:w="1216" w:type="dxa"/>
                  <w:vMerge w:val="continue"/>
                  <w:vAlign w:val="center"/>
                </w:tcPr>
                <w:p w14:paraId="48A3AFF9">
                  <w:pPr>
                    <w:pStyle w:val="41"/>
                    <w:bidi w:val="0"/>
                    <w:rPr>
                      <w:rFonts w:hint="eastAsia"/>
                      <w:lang w:val="en-US" w:eastAsia="zh-CN"/>
                    </w:rPr>
                  </w:pPr>
                </w:p>
              </w:tc>
              <w:tc>
                <w:tcPr>
                  <w:tcW w:w="720" w:type="dxa"/>
                  <w:vAlign w:val="center"/>
                </w:tcPr>
                <w:p w14:paraId="013D4145">
                  <w:pPr>
                    <w:pStyle w:val="41"/>
                    <w:bidi w:val="0"/>
                    <w:rPr>
                      <w:rFonts w:hint="default"/>
                      <w:lang w:val="zh-CN" w:eastAsia="zh-CN"/>
                    </w:rPr>
                  </w:pPr>
                  <w:r>
                    <w:rPr>
                      <w:lang w:val="zh-CN"/>
                    </w:rPr>
                    <w:t>达标</w:t>
                  </w:r>
                </w:p>
              </w:tc>
            </w:tr>
          </w:tbl>
          <w:p w14:paraId="387E41D3">
            <w:pPr>
              <w:pStyle w:val="41"/>
              <w:bidi w:val="0"/>
              <w:rPr>
                <w:rFonts w:hint="eastAsia"/>
                <w:lang w:val="en-US" w:eastAsia="zh-CN"/>
              </w:rPr>
            </w:pPr>
          </w:p>
          <w:p w14:paraId="76641819">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val="en-US" w:eastAsia="zh-CN"/>
              </w:rPr>
            </w:pPr>
            <w:r>
              <w:rPr>
                <w:rFonts w:hint="eastAsia"/>
                <w:b/>
                <w:bCs/>
                <w:lang w:val="en-US" w:eastAsia="zh-CN"/>
              </w:rPr>
              <w:t>②已批在建项目</w:t>
            </w:r>
          </w:p>
          <w:p w14:paraId="10A592A9">
            <w:pPr>
              <w:bidi w:val="0"/>
              <w:ind w:firstLine="480" w:firstLineChars="200"/>
              <w:rPr>
                <w:rFonts w:hint="eastAsia"/>
                <w:lang w:val="en-US" w:eastAsia="zh-CN"/>
              </w:rPr>
            </w:pPr>
            <w:r>
              <w:rPr>
                <w:rFonts w:hint="eastAsia"/>
                <w:lang w:val="en-US" w:eastAsia="zh-CN"/>
              </w:rPr>
              <w:t>根据“康缘医药科技园6号楼改建项目”环评数据，6号楼重组蛋白药物及微生物诊断试剂研发过程中细胞培养会产生少量NH</w:t>
            </w:r>
            <w:r>
              <w:rPr>
                <w:rFonts w:hint="eastAsia"/>
                <w:vertAlign w:val="subscript"/>
                <w:lang w:val="en-US" w:eastAsia="zh-CN"/>
              </w:rPr>
              <w:t>3</w:t>
            </w:r>
            <w:r>
              <w:rPr>
                <w:rFonts w:hint="eastAsia"/>
                <w:lang w:val="en-US" w:eastAsia="zh-CN"/>
              </w:rPr>
              <w:t>，产生量极小，废气无组织排放。在建项目废气排放情况如下表。</w:t>
            </w:r>
          </w:p>
          <w:p w14:paraId="623BD691">
            <w:pPr>
              <w:pStyle w:val="44"/>
              <w:bidi w:val="0"/>
              <w:rPr>
                <w:rFonts w:hint="default"/>
                <w:lang w:val="en-US" w:eastAsia="zh-CN"/>
              </w:rPr>
            </w:pPr>
            <w:r>
              <w:rPr>
                <w:rFonts w:hint="eastAsia"/>
                <w:lang w:val="en-US" w:eastAsia="zh-CN"/>
              </w:rPr>
              <w:t>在建项目废气无组织排放情况一览表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683"/>
              <w:gridCol w:w="1922"/>
              <w:gridCol w:w="2086"/>
              <w:gridCol w:w="2113"/>
            </w:tblGrid>
            <w:tr w14:paraId="37093E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78" w:type="pct"/>
                  <w:noWrap w:val="0"/>
                  <w:vAlign w:val="center"/>
                </w:tcPr>
                <w:p w14:paraId="76A14429">
                  <w:pPr>
                    <w:pStyle w:val="41"/>
                    <w:bidi w:val="0"/>
                    <w:rPr>
                      <w:rFonts w:hint="default"/>
                      <w:b/>
                      <w:bCs/>
                      <w:lang w:val="en-US" w:eastAsia="zh-CN"/>
                    </w:rPr>
                  </w:pPr>
                  <w:r>
                    <w:rPr>
                      <w:rFonts w:hint="eastAsia"/>
                      <w:b/>
                      <w:bCs/>
                      <w:lang w:val="en-US" w:eastAsia="zh-CN"/>
                    </w:rPr>
                    <w:t>产生位置</w:t>
                  </w:r>
                </w:p>
              </w:tc>
              <w:tc>
                <w:tcPr>
                  <w:tcW w:w="1231" w:type="pct"/>
                  <w:noWrap w:val="0"/>
                  <w:vAlign w:val="center"/>
                </w:tcPr>
                <w:p w14:paraId="72BB028F">
                  <w:pPr>
                    <w:pStyle w:val="41"/>
                    <w:bidi w:val="0"/>
                    <w:rPr>
                      <w:rFonts w:hint="default"/>
                      <w:b/>
                      <w:bCs/>
                      <w:lang w:val="en-US" w:eastAsia="zh-CN"/>
                    </w:rPr>
                  </w:pPr>
                  <w:r>
                    <w:rPr>
                      <w:rFonts w:hint="eastAsia"/>
                      <w:b/>
                      <w:bCs/>
                      <w:lang w:val="en-US" w:eastAsia="zh-CN"/>
                    </w:rPr>
                    <w:t>产生工序</w:t>
                  </w:r>
                </w:p>
              </w:tc>
              <w:tc>
                <w:tcPr>
                  <w:tcW w:w="1336" w:type="pct"/>
                  <w:noWrap w:val="0"/>
                  <w:vAlign w:val="center"/>
                </w:tcPr>
                <w:p w14:paraId="20A7D15F">
                  <w:pPr>
                    <w:pStyle w:val="41"/>
                    <w:bidi w:val="0"/>
                    <w:rPr>
                      <w:b/>
                      <w:bCs/>
                    </w:rPr>
                  </w:pPr>
                  <w:r>
                    <w:rPr>
                      <w:b/>
                      <w:bCs/>
                    </w:rPr>
                    <w:t>污染物名称</w:t>
                  </w:r>
                </w:p>
              </w:tc>
              <w:tc>
                <w:tcPr>
                  <w:tcW w:w="1353" w:type="pct"/>
                  <w:noWrap w:val="0"/>
                  <w:vAlign w:val="center"/>
                </w:tcPr>
                <w:p w14:paraId="342ED511">
                  <w:pPr>
                    <w:pStyle w:val="41"/>
                    <w:bidi w:val="0"/>
                    <w:rPr>
                      <w:rFonts w:hint="eastAsia"/>
                      <w:b/>
                      <w:bCs/>
                      <w:lang w:val="en-US" w:eastAsia="zh-CN"/>
                    </w:rPr>
                  </w:pPr>
                  <w:r>
                    <w:rPr>
                      <w:rFonts w:hint="eastAsia"/>
                      <w:b/>
                      <w:bCs/>
                      <w:lang w:val="en-US" w:eastAsia="zh-CN"/>
                    </w:rPr>
                    <w:t>排放量（t/a）</w:t>
                  </w:r>
                </w:p>
              </w:tc>
            </w:tr>
            <w:tr w14:paraId="51E5B2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78" w:type="pct"/>
                  <w:vAlign w:val="center"/>
                </w:tcPr>
                <w:p w14:paraId="6DFF7F42">
                  <w:pPr>
                    <w:pStyle w:val="41"/>
                    <w:bidi w:val="0"/>
                    <w:rPr>
                      <w:rFonts w:hint="default"/>
                      <w:lang w:val="en-US" w:eastAsia="zh-CN"/>
                    </w:rPr>
                  </w:pPr>
                  <w:r>
                    <w:rPr>
                      <w:rFonts w:hint="eastAsia"/>
                      <w:lang w:val="en-US" w:eastAsia="zh-CN"/>
                    </w:rPr>
                    <w:t>6号楼</w:t>
                  </w:r>
                </w:p>
              </w:tc>
              <w:tc>
                <w:tcPr>
                  <w:tcW w:w="1231" w:type="pct"/>
                  <w:vAlign w:val="center"/>
                </w:tcPr>
                <w:p w14:paraId="159FECBB">
                  <w:pPr>
                    <w:pStyle w:val="41"/>
                    <w:bidi w:val="0"/>
                    <w:rPr>
                      <w:rFonts w:hint="default"/>
                      <w:lang w:val="en-US" w:eastAsia="zh-CN"/>
                    </w:rPr>
                  </w:pPr>
                  <w:r>
                    <w:rPr>
                      <w:rFonts w:hint="eastAsia"/>
                      <w:lang w:val="en-US" w:eastAsia="zh-CN"/>
                    </w:rPr>
                    <w:t>细胞培养</w:t>
                  </w:r>
                </w:p>
              </w:tc>
              <w:tc>
                <w:tcPr>
                  <w:tcW w:w="1336" w:type="pct"/>
                  <w:vAlign w:val="center"/>
                </w:tcPr>
                <w:p w14:paraId="59A5A6E6">
                  <w:pPr>
                    <w:pStyle w:val="41"/>
                    <w:bidi w:val="0"/>
                    <w:rPr>
                      <w:rFonts w:hint="eastAsia"/>
                      <w:lang w:val="en-US" w:eastAsia="zh-CN"/>
                    </w:rPr>
                  </w:pPr>
                  <w:r>
                    <w:rPr>
                      <w:rFonts w:hint="eastAsia"/>
                      <w:lang w:val="en-US" w:eastAsia="zh-CN"/>
                    </w:rPr>
                    <w:t>NH</w:t>
                  </w:r>
                  <w:r>
                    <w:rPr>
                      <w:rFonts w:hint="eastAsia"/>
                      <w:vertAlign w:val="subscript"/>
                      <w:lang w:val="en-US" w:eastAsia="zh-CN"/>
                    </w:rPr>
                    <w:t>3</w:t>
                  </w:r>
                </w:p>
              </w:tc>
              <w:tc>
                <w:tcPr>
                  <w:tcW w:w="1353" w:type="pct"/>
                  <w:vAlign w:val="center"/>
                </w:tcPr>
                <w:p w14:paraId="38335760">
                  <w:pPr>
                    <w:pStyle w:val="41"/>
                    <w:bidi w:val="0"/>
                    <w:rPr>
                      <w:rFonts w:hint="default"/>
                      <w:lang w:val="en-US" w:eastAsia="zh-CN"/>
                    </w:rPr>
                  </w:pPr>
                  <w:r>
                    <w:rPr>
                      <w:rFonts w:hint="eastAsia"/>
                      <w:lang w:val="en-US" w:eastAsia="zh-CN"/>
                    </w:rPr>
                    <w:t>0.002</w:t>
                  </w:r>
                </w:p>
              </w:tc>
            </w:tr>
          </w:tbl>
          <w:p w14:paraId="1BB2A2D2">
            <w:pPr>
              <w:pStyle w:val="41"/>
              <w:bidi w:val="0"/>
              <w:rPr>
                <w:rFonts w:hint="eastAsia"/>
                <w:b/>
                <w:bCs/>
                <w:lang w:val="en-US" w:eastAsia="zh-CN"/>
              </w:rPr>
            </w:pPr>
          </w:p>
          <w:p w14:paraId="52C7DB8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val="en-US" w:eastAsia="zh-CN"/>
              </w:rPr>
            </w:pPr>
            <w:r>
              <w:rPr>
                <w:rFonts w:hint="eastAsia"/>
                <w:b/>
                <w:bCs/>
                <w:lang w:val="en-US" w:eastAsia="zh-CN"/>
              </w:rPr>
              <w:t>3）噪声</w:t>
            </w:r>
          </w:p>
          <w:p w14:paraId="42FD87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根据企业“</w:t>
            </w:r>
            <w:r>
              <w:rPr>
                <w:rFonts w:hint="eastAsia"/>
                <w:caps w:val="0"/>
                <w:color w:val="auto"/>
                <w:highlight w:val="none"/>
                <w:lang w:eastAsia="zh-CN"/>
              </w:rPr>
              <w:t>创新中药人工智能及多组学研究平台项目</w:t>
            </w:r>
            <w:r>
              <w:rPr>
                <w:rFonts w:hint="eastAsia"/>
                <w:lang w:val="en-US" w:eastAsia="zh-CN"/>
              </w:rPr>
              <w:t>”验收监测报告（附件8），现有项目噪声排放</w:t>
            </w:r>
            <w:r>
              <w:rPr>
                <w:rFonts w:hint="eastAsia"/>
              </w:rPr>
              <w:t>满足《工业企业厂界环境噪声排放标准》（</w:t>
            </w:r>
            <w:r>
              <w:t>GB12348-2008</w:t>
            </w:r>
            <w:r>
              <w:rPr>
                <w:rFonts w:hint="eastAsia"/>
              </w:rPr>
              <w:t>）</w:t>
            </w:r>
            <w:r>
              <w:rPr>
                <w:rFonts w:hint="eastAsia"/>
                <w:lang w:val="en-US" w:eastAsia="zh-CN"/>
              </w:rPr>
              <w:t>2类标准</w:t>
            </w:r>
            <w:r>
              <w:rPr>
                <w:rFonts w:hint="eastAsia"/>
                <w:lang w:eastAsia="zh-CN"/>
              </w:rPr>
              <w:t>，</w:t>
            </w:r>
            <w:r>
              <w:rPr>
                <w:rFonts w:hint="eastAsia"/>
                <w:lang w:val="en-US" w:eastAsia="zh-CN"/>
              </w:rPr>
              <w:t>噪声监测结果如下表。</w:t>
            </w:r>
          </w:p>
          <w:p w14:paraId="01220B3E">
            <w:pPr>
              <w:pStyle w:val="44"/>
              <w:bidi w:val="0"/>
              <w:rPr>
                <w:rFonts w:hint="default"/>
                <w:lang w:val="en-US" w:eastAsia="zh-CN"/>
              </w:rPr>
            </w:pPr>
            <w:r>
              <w:rPr>
                <w:rFonts w:hint="eastAsia"/>
                <w:lang w:val="en-US" w:eastAsia="zh-CN"/>
              </w:rPr>
              <w:t>现有项目</w:t>
            </w:r>
            <w:r>
              <w:rPr>
                <w:rFonts w:hint="default"/>
                <w:lang w:eastAsia="zh-CN"/>
              </w:rPr>
              <w:t>噪声监测结果</w:t>
            </w:r>
            <w:r>
              <w:rPr>
                <w:rFonts w:hint="eastAsia"/>
                <w:lang w:val="en-US" w:eastAsia="zh-CN"/>
              </w:rPr>
              <w:t>一览表</w:t>
            </w:r>
          </w:p>
          <w:tbl>
            <w:tblPr>
              <w:tblStyle w:val="32"/>
              <w:tblW w:w="4998"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32"/>
              <w:gridCol w:w="1732"/>
              <w:gridCol w:w="1419"/>
              <w:gridCol w:w="30"/>
              <w:gridCol w:w="1074"/>
              <w:gridCol w:w="852"/>
              <w:gridCol w:w="1665"/>
            </w:tblGrid>
            <w:tr w14:paraId="42A77F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61" w:type="pct"/>
                  <w:vMerge w:val="restart"/>
                  <w:tcBorders>
                    <w:tl2br w:val="nil"/>
                    <w:tr2bl w:val="nil"/>
                  </w:tcBorders>
                  <w:noWrap w:val="0"/>
                  <w:vAlign w:val="center"/>
                </w:tcPr>
                <w:p w14:paraId="5330D9AF">
                  <w:pPr>
                    <w:pStyle w:val="41"/>
                    <w:bidi w:val="0"/>
                    <w:rPr>
                      <w:rFonts w:hint="eastAsia"/>
                      <w:b/>
                      <w:bCs/>
                      <w:color w:val="auto"/>
                      <w:highlight w:val="none"/>
                      <w:lang w:eastAsia="zh-CN"/>
                    </w:rPr>
                  </w:pPr>
                  <w:r>
                    <w:rPr>
                      <w:rFonts w:hint="eastAsia"/>
                      <w:b/>
                      <w:bCs/>
                      <w:color w:val="auto"/>
                      <w:highlight w:val="none"/>
                      <w:lang w:eastAsia="zh-CN"/>
                    </w:rPr>
                    <w:t>采样日期</w:t>
                  </w:r>
                </w:p>
              </w:tc>
              <w:tc>
                <w:tcPr>
                  <w:tcW w:w="1109" w:type="pct"/>
                  <w:vMerge w:val="restart"/>
                  <w:tcBorders>
                    <w:tl2br w:val="nil"/>
                    <w:tr2bl w:val="nil"/>
                  </w:tcBorders>
                  <w:noWrap w:val="0"/>
                  <w:vAlign w:val="center"/>
                </w:tcPr>
                <w:p w14:paraId="1696B244">
                  <w:pPr>
                    <w:pStyle w:val="41"/>
                    <w:bidi w:val="0"/>
                    <w:rPr>
                      <w:rFonts w:hint="eastAsia"/>
                      <w:b/>
                      <w:bCs/>
                      <w:color w:val="auto"/>
                      <w:highlight w:val="none"/>
                      <w:lang w:eastAsia="zh-CN"/>
                    </w:rPr>
                  </w:pPr>
                  <w:r>
                    <w:rPr>
                      <w:rFonts w:hint="eastAsia"/>
                      <w:b/>
                      <w:bCs/>
                      <w:color w:val="auto"/>
                      <w:highlight w:val="none"/>
                      <w:lang w:eastAsia="zh-CN"/>
                    </w:rPr>
                    <w:t>采样位置</w:t>
                  </w:r>
                </w:p>
              </w:tc>
              <w:tc>
                <w:tcPr>
                  <w:tcW w:w="909" w:type="pct"/>
                  <w:tcBorders>
                    <w:tl2br w:val="nil"/>
                    <w:tr2bl w:val="nil"/>
                  </w:tcBorders>
                  <w:noWrap w:val="0"/>
                  <w:vAlign w:val="center"/>
                </w:tcPr>
                <w:p w14:paraId="06B8CF82">
                  <w:pPr>
                    <w:pStyle w:val="41"/>
                    <w:bidi w:val="0"/>
                    <w:rPr>
                      <w:rFonts w:hint="eastAsia"/>
                      <w:b/>
                      <w:bCs/>
                      <w:color w:val="auto"/>
                      <w:highlight w:val="none"/>
                      <w:lang w:eastAsia="zh-CN"/>
                    </w:rPr>
                  </w:pPr>
                  <w:r>
                    <w:rPr>
                      <w:rFonts w:hint="eastAsia"/>
                      <w:b/>
                      <w:bCs/>
                      <w:color w:val="auto"/>
                      <w:highlight w:val="none"/>
                      <w:lang w:eastAsia="zh-CN"/>
                    </w:rPr>
                    <w:t>采样时间</w:t>
                  </w:r>
                </w:p>
              </w:tc>
              <w:tc>
                <w:tcPr>
                  <w:tcW w:w="707" w:type="pct"/>
                  <w:gridSpan w:val="2"/>
                  <w:tcBorders>
                    <w:tl2br w:val="nil"/>
                    <w:tr2bl w:val="nil"/>
                  </w:tcBorders>
                  <w:noWrap w:val="0"/>
                  <w:vAlign w:val="center"/>
                </w:tcPr>
                <w:p w14:paraId="72BE43E4">
                  <w:pPr>
                    <w:pStyle w:val="41"/>
                    <w:bidi w:val="0"/>
                    <w:rPr>
                      <w:rFonts w:hint="eastAsia"/>
                      <w:b/>
                      <w:bCs/>
                      <w:color w:val="auto"/>
                      <w:highlight w:val="none"/>
                    </w:rPr>
                  </w:pPr>
                  <w:r>
                    <w:rPr>
                      <w:rFonts w:hint="eastAsia"/>
                      <w:b/>
                      <w:bCs/>
                      <w:color w:val="auto"/>
                      <w:highlight w:val="none"/>
                      <w:lang w:eastAsia="zh-CN"/>
                    </w:rPr>
                    <w:t>主要声源</w:t>
                  </w:r>
                </w:p>
              </w:tc>
              <w:tc>
                <w:tcPr>
                  <w:tcW w:w="546" w:type="pct"/>
                  <w:tcBorders>
                    <w:tl2br w:val="nil"/>
                    <w:tr2bl w:val="nil"/>
                  </w:tcBorders>
                  <w:noWrap w:val="0"/>
                  <w:vAlign w:val="center"/>
                </w:tcPr>
                <w:p w14:paraId="1F0E4B02">
                  <w:pPr>
                    <w:pStyle w:val="41"/>
                    <w:bidi w:val="0"/>
                    <w:rPr>
                      <w:rFonts w:hint="eastAsia"/>
                      <w:b/>
                      <w:bCs/>
                      <w:color w:val="auto"/>
                      <w:highlight w:val="none"/>
                      <w:lang w:val="en-US" w:eastAsia="zh-CN"/>
                    </w:rPr>
                  </w:pPr>
                  <w:r>
                    <w:rPr>
                      <w:rFonts w:hint="eastAsia"/>
                      <w:b/>
                      <w:bCs/>
                      <w:color w:val="auto"/>
                      <w:highlight w:val="none"/>
                      <w:lang w:val="en-US" w:eastAsia="zh-CN"/>
                    </w:rPr>
                    <w:t>测量值</w:t>
                  </w:r>
                </w:p>
              </w:tc>
              <w:tc>
                <w:tcPr>
                  <w:tcW w:w="1065" w:type="pct"/>
                  <w:tcBorders>
                    <w:tl2br w:val="nil"/>
                    <w:tr2bl w:val="nil"/>
                  </w:tcBorders>
                  <w:noWrap w:val="0"/>
                  <w:vAlign w:val="center"/>
                </w:tcPr>
                <w:p w14:paraId="55ECAABD">
                  <w:pPr>
                    <w:pStyle w:val="41"/>
                    <w:bidi w:val="0"/>
                    <w:rPr>
                      <w:rFonts w:hint="default"/>
                      <w:b/>
                      <w:bCs/>
                      <w:color w:val="auto"/>
                      <w:highlight w:val="none"/>
                      <w:lang w:val="en-US" w:eastAsia="zh-CN"/>
                    </w:rPr>
                  </w:pPr>
                  <w:r>
                    <w:rPr>
                      <w:rFonts w:hint="eastAsia"/>
                      <w:b/>
                      <w:bCs/>
                      <w:color w:val="auto"/>
                      <w:highlight w:val="none"/>
                      <w:lang w:val="en-US" w:eastAsia="zh-CN"/>
                    </w:rPr>
                    <w:t>排放限值</w:t>
                  </w:r>
                </w:p>
              </w:tc>
            </w:tr>
            <w:tr w14:paraId="3BB7AD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61" w:type="pct"/>
                  <w:vMerge w:val="continue"/>
                  <w:tcBorders>
                    <w:tl2br w:val="nil"/>
                    <w:tr2bl w:val="nil"/>
                  </w:tcBorders>
                  <w:noWrap w:val="0"/>
                  <w:vAlign w:val="center"/>
                </w:tcPr>
                <w:p w14:paraId="15CFAEAE">
                  <w:pPr>
                    <w:pStyle w:val="41"/>
                    <w:bidi w:val="0"/>
                    <w:rPr>
                      <w:rFonts w:hint="eastAsia"/>
                      <w:b/>
                      <w:bCs/>
                      <w:color w:val="auto"/>
                      <w:highlight w:val="none"/>
                    </w:rPr>
                  </w:pPr>
                </w:p>
              </w:tc>
              <w:tc>
                <w:tcPr>
                  <w:tcW w:w="1109" w:type="pct"/>
                  <w:vMerge w:val="continue"/>
                  <w:tcBorders>
                    <w:tl2br w:val="nil"/>
                    <w:tr2bl w:val="nil"/>
                  </w:tcBorders>
                  <w:noWrap w:val="0"/>
                  <w:vAlign w:val="center"/>
                </w:tcPr>
                <w:p w14:paraId="2FE8272E">
                  <w:pPr>
                    <w:pStyle w:val="41"/>
                    <w:bidi w:val="0"/>
                    <w:rPr>
                      <w:rFonts w:hint="eastAsia"/>
                      <w:b/>
                      <w:bCs/>
                      <w:color w:val="auto"/>
                      <w:highlight w:val="none"/>
                    </w:rPr>
                  </w:pPr>
                </w:p>
              </w:tc>
              <w:tc>
                <w:tcPr>
                  <w:tcW w:w="909" w:type="pct"/>
                  <w:tcBorders>
                    <w:tl2br w:val="nil"/>
                    <w:tr2bl w:val="nil"/>
                  </w:tcBorders>
                  <w:noWrap w:val="0"/>
                  <w:vAlign w:val="center"/>
                </w:tcPr>
                <w:p w14:paraId="69B8D545">
                  <w:pPr>
                    <w:pStyle w:val="41"/>
                    <w:bidi w:val="0"/>
                    <w:rPr>
                      <w:rFonts w:hint="default"/>
                      <w:b/>
                      <w:bCs/>
                      <w:color w:val="auto"/>
                      <w:highlight w:val="none"/>
                      <w:lang w:val="en-US" w:eastAsia="zh-CN"/>
                    </w:rPr>
                  </w:pPr>
                  <w:r>
                    <w:rPr>
                      <w:rFonts w:hint="eastAsia"/>
                      <w:b/>
                      <w:bCs/>
                      <w:color w:val="auto"/>
                      <w:highlight w:val="none"/>
                      <w:lang w:eastAsia="zh-CN"/>
                    </w:rPr>
                    <w:t>昼间</w:t>
                  </w:r>
                </w:p>
              </w:tc>
              <w:tc>
                <w:tcPr>
                  <w:tcW w:w="707" w:type="pct"/>
                  <w:gridSpan w:val="2"/>
                  <w:tcBorders>
                    <w:tl2br w:val="nil"/>
                    <w:tr2bl w:val="nil"/>
                  </w:tcBorders>
                  <w:noWrap w:val="0"/>
                  <w:vAlign w:val="center"/>
                </w:tcPr>
                <w:p w14:paraId="49FDFBC3">
                  <w:pPr>
                    <w:pStyle w:val="41"/>
                    <w:bidi w:val="0"/>
                    <w:rPr>
                      <w:rFonts w:hint="eastAsia"/>
                      <w:b/>
                      <w:bCs/>
                      <w:color w:val="auto"/>
                      <w:highlight w:val="none"/>
                      <w:lang w:val="en-US" w:eastAsia="zh-CN"/>
                    </w:rPr>
                  </w:pPr>
                  <w:r>
                    <w:rPr>
                      <w:rFonts w:hint="eastAsia"/>
                      <w:b/>
                      <w:bCs/>
                      <w:color w:val="auto"/>
                      <w:highlight w:val="none"/>
                      <w:lang w:eastAsia="zh-CN"/>
                    </w:rPr>
                    <w:t>昼间</w:t>
                  </w:r>
                </w:p>
              </w:tc>
              <w:tc>
                <w:tcPr>
                  <w:tcW w:w="546" w:type="pct"/>
                  <w:tcBorders>
                    <w:tl2br w:val="nil"/>
                    <w:tr2bl w:val="nil"/>
                  </w:tcBorders>
                  <w:noWrap w:val="0"/>
                  <w:vAlign w:val="center"/>
                </w:tcPr>
                <w:p w14:paraId="71E0701B">
                  <w:pPr>
                    <w:pStyle w:val="41"/>
                    <w:bidi w:val="0"/>
                    <w:rPr>
                      <w:rFonts w:hint="eastAsia"/>
                      <w:b/>
                      <w:bCs/>
                      <w:color w:val="auto"/>
                      <w:highlight w:val="none"/>
                      <w:lang w:val="en-US" w:eastAsia="zh-CN"/>
                    </w:rPr>
                  </w:pPr>
                  <w:r>
                    <w:rPr>
                      <w:rFonts w:hint="eastAsia"/>
                      <w:b/>
                      <w:bCs/>
                      <w:color w:val="auto"/>
                      <w:highlight w:val="none"/>
                      <w:lang w:eastAsia="zh-CN"/>
                    </w:rPr>
                    <w:t>昼间</w:t>
                  </w:r>
                </w:p>
              </w:tc>
              <w:tc>
                <w:tcPr>
                  <w:tcW w:w="1065" w:type="pct"/>
                  <w:tcBorders>
                    <w:tl2br w:val="nil"/>
                    <w:tr2bl w:val="nil"/>
                  </w:tcBorders>
                  <w:noWrap w:val="0"/>
                  <w:vAlign w:val="center"/>
                </w:tcPr>
                <w:p w14:paraId="56DEF853">
                  <w:pPr>
                    <w:pStyle w:val="41"/>
                    <w:bidi w:val="0"/>
                    <w:rPr>
                      <w:rFonts w:hint="eastAsia"/>
                      <w:b/>
                      <w:bCs/>
                      <w:color w:val="auto"/>
                      <w:highlight w:val="none"/>
                      <w:lang w:val="en-US" w:eastAsia="zh-CN"/>
                    </w:rPr>
                  </w:pPr>
                  <w:r>
                    <w:rPr>
                      <w:rFonts w:hint="eastAsia"/>
                      <w:b/>
                      <w:bCs/>
                      <w:color w:val="auto"/>
                      <w:highlight w:val="none"/>
                      <w:lang w:eastAsia="zh-CN"/>
                    </w:rPr>
                    <w:t>昼间</w:t>
                  </w:r>
                </w:p>
              </w:tc>
            </w:tr>
            <w:tr w14:paraId="3B9F04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61" w:type="pct"/>
                  <w:vMerge w:val="restart"/>
                  <w:tcBorders>
                    <w:tl2br w:val="nil"/>
                    <w:tr2bl w:val="nil"/>
                  </w:tcBorders>
                  <w:noWrap w:val="0"/>
                  <w:vAlign w:val="center"/>
                </w:tcPr>
                <w:p w14:paraId="0C62A104">
                  <w:pPr>
                    <w:pStyle w:val="41"/>
                    <w:bidi w:val="0"/>
                    <w:rPr>
                      <w:rFonts w:hint="default"/>
                      <w:color w:val="auto"/>
                      <w:highlight w:val="none"/>
                      <w:lang w:val="en-US" w:eastAsia="zh-CN"/>
                    </w:rPr>
                  </w:pPr>
                  <w:r>
                    <w:rPr>
                      <w:rFonts w:hint="eastAsia"/>
                      <w:color w:val="auto"/>
                      <w:highlight w:val="none"/>
                      <w:lang w:eastAsia="zh-CN"/>
                    </w:rPr>
                    <w:t>2024.11.04</w:t>
                  </w:r>
                </w:p>
              </w:tc>
              <w:tc>
                <w:tcPr>
                  <w:tcW w:w="1109" w:type="pct"/>
                  <w:tcBorders>
                    <w:tl2br w:val="nil"/>
                    <w:tr2bl w:val="nil"/>
                  </w:tcBorders>
                  <w:noWrap w:val="0"/>
                  <w:vAlign w:val="center"/>
                </w:tcPr>
                <w:p w14:paraId="57557723">
                  <w:pPr>
                    <w:pStyle w:val="41"/>
                    <w:bidi w:val="0"/>
                    <w:rPr>
                      <w:rFonts w:hint="eastAsia"/>
                      <w:color w:val="auto"/>
                      <w:highlight w:val="none"/>
                      <w:lang w:val="en-US" w:eastAsia="zh-CN"/>
                    </w:rPr>
                  </w:pPr>
                  <w:r>
                    <w:rPr>
                      <w:rFonts w:hint="eastAsia"/>
                      <w:color w:val="auto"/>
                      <w:highlight w:val="none"/>
                      <w:lang w:val="en-US" w:eastAsia="zh-CN"/>
                    </w:rPr>
                    <w:t>东厂界外1m（Z1）</w:t>
                  </w:r>
                </w:p>
              </w:tc>
              <w:tc>
                <w:tcPr>
                  <w:tcW w:w="909" w:type="pct"/>
                  <w:tcBorders>
                    <w:tl2br w:val="nil"/>
                    <w:tr2bl w:val="nil"/>
                  </w:tcBorders>
                  <w:noWrap w:val="0"/>
                  <w:vAlign w:val="center"/>
                </w:tcPr>
                <w:p w14:paraId="50B1C816">
                  <w:pPr>
                    <w:pStyle w:val="41"/>
                    <w:bidi w:val="0"/>
                    <w:rPr>
                      <w:rFonts w:hint="default"/>
                      <w:color w:val="auto"/>
                      <w:highlight w:val="none"/>
                      <w:lang w:val="en-US" w:eastAsia="zh-CN"/>
                    </w:rPr>
                  </w:pPr>
                  <w:r>
                    <w:rPr>
                      <w:rFonts w:hint="eastAsia"/>
                      <w:color w:val="auto"/>
                      <w:highlight w:val="none"/>
                      <w:lang w:val="en-US" w:eastAsia="zh-CN"/>
                    </w:rPr>
                    <w:t>14:28-14:31</w:t>
                  </w:r>
                </w:p>
              </w:tc>
              <w:tc>
                <w:tcPr>
                  <w:tcW w:w="707" w:type="pct"/>
                  <w:gridSpan w:val="2"/>
                  <w:tcBorders>
                    <w:tl2br w:val="nil"/>
                    <w:tr2bl w:val="nil"/>
                  </w:tcBorders>
                  <w:noWrap w:val="0"/>
                  <w:vAlign w:val="center"/>
                </w:tcPr>
                <w:p w14:paraId="7726FB07">
                  <w:pPr>
                    <w:pStyle w:val="41"/>
                    <w:bidi w:val="0"/>
                    <w:rPr>
                      <w:rFonts w:hint="eastAsia"/>
                      <w:color w:val="auto"/>
                      <w:highlight w:val="none"/>
                      <w:lang w:val="en-US" w:eastAsia="zh-CN"/>
                    </w:rPr>
                  </w:pPr>
                  <w:r>
                    <w:rPr>
                      <w:rFonts w:hint="eastAsia"/>
                      <w:color w:val="auto"/>
                      <w:highlight w:val="none"/>
                      <w:lang w:val="en-US" w:eastAsia="zh-CN"/>
                    </w:rPr>
                    <w:t>/</w:t>
                  </w:r>
                </w:p>
              </w:tc>
              <w:tc>
                <w:tcPr>
                  <w:tcW w:w="546" w:type="pct"/>
                  <w:tcBorders>
                    <w:tl2br w:val="nil"/>
                    <w:tr2bl w:val="nil"/>
                  </w:tcBorders>
                  <w:noWrap w:val="0"/>
                  <w:vAlign w:val="center"/>
                </w:tcPr>
                <w:p w14:paraId="123985E6">
                  <w:pPr>
                    <w:pStyle w:val="41"/>
                    <w:bidi w:val="0"/>
                    <w:rPr>
                      <w:rFonts w:hint="default"/>
                      <w:color w:val="auto"/>
                      <w:highlight w:val="none"/>
                      <w:lang w:val="en-US" w:eastAsia="zh-CN"/>
                    </w:rPr>
                  </w:pPr>
                  <w:r>
                    <w:rPr>
                      <w:rFonts w:hint="eastAsia"/>
                      <w:color w:val="auto"/>
                      <w:highlight w:val="none"/>
                      <w:lang w:val="en-US" w:eastAsia="zh-CN"/>
                    </w:rPr>
                    <w:t>56</w:t>
                  </w:r>
                </w:p>
              </w:tc>
              <w:tc>
                <w:tcPr>
                  <w:tcW w:w="1065" w:type="pct"/>
                  <w:tcBorders>
                    <w:tl2br w:val="nil"/>
                    <w:tr2bl w:val="nil"/>
                  </w:tcBorders>
                  <w:noWrap w:val="0"/>
                  <w:vAlign w:val="center"/>
                </w:tcPr>
                <w:p w14:paraId="3A0B3685">
                  <w:pPr>
                    <w:pStyle w:val="41"/>
                    <w:bidi w:val="0"/>
                    <w:rPr>
                      <w:rFonts w:hint="default"/>
                      <w:color w:val="auto"/>
                      <w:highlight w:val="none"/>
                      <w:lang w:val="en-US" w:eastAsia="zh-CN"/>
                    </w:rPr>
                  </w:pPr>
                  <w:r>
                    <w:rPr>
                      <w:rFonts w:hint="eastAsia"/>
                      <w:color w:val="auto"/>
                      <w:highlight w:val="none"/>
                      <w:lang w:val="en-US" w:eastAsia="zh-CN"/>
                    </w:rPr>
                    <w:t>≤60</w:t>
                  </w:r>
                </w:p>
              </w:tc>
            </w:tr>
            <w:tr w14:paraId="261CCE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61" w:type="pct"/>
                  <w:vMerge w:val="continue"/>
                  <w:tcBorders>
                    <w:tl2br w:val="nil"/>
                    <w:tr2bl w:val="nil"/>
                  </w:tcBorders>
                  <w:noWrap w:val="0"/>
                  <w:vAlign w:val="center"/>
                </w:tcPr>
                <w:p w14:paraId="12296650">
                  <w:pPr>
                    <w:pStyle w:val="41"/>
                    <w:bidi w:val="0"/>
                    <w:rPr>
                      <w:rFonts w:hint="eastAsia"/>
                      <w:color w:val="auto"/>
                      <w:highlight w:val="none"/>
                      <w:lang w:val="en-US" w:eastAsia="zh-CN"/>
                    </w:rPr>
                  </w:pPr>
                </w:p>
              </w:tc>
              <w:tc>
                <w:tcPr>
                  <w:tcW w:w="1109" w:type="pct"/>
                  <w:tcBorders>
                    <w:tl2br w:val="nil"/>
                    <w:tr2bl w:val="nil"/>
                  </w:tcBorders>
                  <w:noWrap w:val="0"/>
                  <w:vAlign w:val="center"/>
                </w:tcPr>
                <w:p w14:paraId="74AC5A24">
                  <w:pPr>
                    <w:pStyle w:val="41"/>
                    <w:bidi w:val="0"/>
                    <w:rPr>
                      <w:rFonts w:hint="default"/>
                      <w:color w:val="auto"/>
                      <w:highlight w:val="none"/>
                      <w:lang w:val="en-US" w:eastAsia="zh-CN"/>
                    </w:rPr>
                  </w:pPr>
                  <w:r>
                    <w:rPr>
                      <w:rFonts w:hint="eastAsia"/>
                      <w:color w:val="auto"/>
                      <w:highlight w:val="none"/>
                      <w:lang w:val="en-US" w:eastAsia="zh-CN"/>
                    </w:rPr>
                    <w:t>南厂界外1m（Z2）</w:t>
                  </w:r>
                </w:p>
              </w:tc>
              <w:tc>
                <w:tcPr>
                  <w:tcW w:w="909" w:type="pct"/>
                  <w:tcBorders>
                    <w:tl2br w:val="nil"/>
                    <w:tr2bl w:val="nil"/>
                  </w:tcBorders>
                  <w:noWrap w:val="0"/>
                  <w:vAlign w:val="center"/>
                </w:tcPr>
                <w:p w14:paraId="0D7F4EE7">
                  <w:pPr>
                    <w:pStyle w:val="41"/>
                    <w:bidi w:val="0"/>
                    <w:rPr>
                      <w:rFonts w:hint="default"/>
                      <w:color w:val="auto"/>
                      <w:highlight w:val="none"/>
                      <w:lang w:val="en-US" w:eastAsia="zh-CN"/>
                    </w:rPr>
                  </w:pPr>
                  <w:r>
                    <w:rPr>
                      <w:rFonts w:hint="eastAsia"/>
                      <w:color w:val="auto"/>
                      <w:highlight w:val="none"/>
                      <w:lang w:val="en-US" w:eastAsia="zh-CN"/>
                    </w:rPr>
                    <w:t>14:52-14:55</w:t>
                  </w:r>
                </w:p>
              </w:tc>
              <w:tc>
                <w:tcPr>
                  <w:tcW w:w="707" w:type="pct"/>
                  <w:gridSpan w:val="2"/>
                  <w:tcBorders>
                    <w:tl2br w:val="nil"/>
                    <w:tr2bl w:val="nil"/>
                  </w:tcBorders>
                  <w:noWrap w:val="0"/>
                  <w:vAlign w:val="center"/>
                </w:tcPr>
                <w:p w14:paraId="51B5338B">
                  <w:pPr>
                    <w:pStyle w:val="41"/>
                    <w:bidi w:val="0"/>
                    <w:rPr>
                      <w:rFonts w:hint="eastAsia"/>
                      <w:color w:val="auto"/>
                      <w:highlight w:val="none"/>
                      <w:lang w:val="en-US" w:eastAsia="zh-CN"/>
                    </w:rPr>
                  </w:pPr>
                  <w:r>
                    <w:rPr>
                      <w:rFonts w:hint="eastAsia"/>
                      <w:color w:val="auto"/>
                      <w:highlight w:val="none"/>
                      <w:lang w:val="en-US" w:eastAsia="zh-CN"/>
                    </w:rPr>
                    <w:t>/</w:t>
                  </w:r>
                </w:p>
              </w:tc>
              <w:tc>
                <w:tcPr>
                  <w:tcW w:w="546" w:type="pct"/>
                  <w:tcBorders>
                    <w:tl2br w:val="nil"/>
                    <w:tr2bl w:val="nil"/>
                  </w:tcBorders>
                  <w:noWrap w:val="0"/>
                  <w:vAlign w:val="center"/>
                </w:tcPr>
                <w:p w14:paraId="3B943352">
                  <w:pPr>
                    <w:pStyle w:val="41"/>
                    <w:bidi w:val="0"/>
                    <w:rPr>
                      <w:rFonts w:hint="default"/>
                      <w:color w:val="auto"/>
                      <w:highlight w:val="none"/>
                      <w:lang w:val="en-US" w:eastAsia="zh-CN"/>
                    </w:rPr>
                  </w:pPr>
                  <w:r>
                    <w:rPr>
                      <w:rFonts w:hint="eastAsia"/>
                      <w:color w:val="auto"/>
                      <w:highlight w:val="none"/>
                      <w:lang w:val="en-US" w:eastAsia="zh-CN"/>
                    </w:rPr>
                    <w:t>55</w:t>
                  </w:r>
                </w:p>
              </w:tc>
              <w:tc>
                <w:tcPr>
                  <w:tcW w:w="1065" w:type="pct"/>
                  <w:tcBorders>
                    <w:tl2br w:val="nil"/>
                    <w:tr2bl w:val="nil"/>
                  </w:tcBorders>
                  <w:noWrap w:val="0"/>
                  <w:vAlign w:val="center"/>
                </w:tcPr>
                <w:p w14:paraId="7EB744CD">
                  <w:pPr>
                    <w:pStyle w:val="41"/>
                    <w:bidi w:val="0"/>
                    <w:rPr>
                      <w:rFonts w:hint="eastAsia"/>
                      <w:color w:val="auto"/>
                      <w:highlight w:val="none"/>
                      <w:lang w:val="en-US" w:eastAsia="zh-CN"/>
                    </w:rPr>
                  </w:pPr>
                  <w:r>
                    <w:rPr>
                      <w:rFonts w:hint="eastAsia"/>
                      <w:color w:val="auto"/>
                      <w:highlight w:val="none"/>
                      <w:lang w:val="en-US" w:eastAsia="zh-CN"/>
                    </w:rPr>
                    <w:t>≤60</w:t>
                  </w:r>
                </w:p>
              </w:tc>
            </w:tr>
            <w:tr w14:paraId="0ECFAB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61" w:type="pct"/>
                  <w:vMerge w:val="continue"/>
                  <w:tcBorders>
                    <w:tl2br w:val="nil"/>
                    <w:tr2bl w:val="nil"/>
                  </w:tcBorders>
                  <w:noWrap w:val="0"/>
                  <w:vAlign w:val="center"/>
                </w:tcPr>
                <w:p w14:paraId="23CBC289">
                  <w:pPr>
                    <w:pStyle w:val="41"/>
                    <w:bidi w:val="0"/>
                    <w:rPr>
                      <w:rFonts w:hint="eastAsia"/>
                      <w:color w:val="auto"/>
                      <w:highlight w:val="none"/>
                      <w:lang w:val="en-US" w:eastAsia="zh-CN"/>
                    </w:rPr>
                  </w:pPr>
                </w:p>
              </w:tc>
              <w:tc>
                <w:tcPr>
                  <w:tcW w:w="1109" w:type="pct"/>
                  <w:tcBorders>
                    <w:tl2br w:val="nil"/>
                    <w:tr2bl w:val="nil"/>
                  </w:tcBorders>
                  <w:noWrap w:val="0"/>
                  <w:vAlign w:val="center"/>
                </w:tcPr>
                <w:p w14:paraId="3F429A94">
                  <w:pPr>
                    <w:pStyle w:val="41"/>
                    <w:bidi w:val="0"/>
                    <w:rPr>
                      <w:rFonts w:hint="default"/>
                      <w:color w:val="auto"/>
                      <w:highlight w:val="none"/>
                      <w:lang w:val="en-US" w:eastAsia="zh-CN"/>
                    </w:rPr>
                  </w:pPr>
                  <w:r>
                    <w:rPr>
                      <w:rFonts w:hint="eastAsia"/>
                      <w:color w:val="auto"/>
                      <w:highlight w:val="none"/>
                      <w:lang w:val="en-US" w:eastAsia="zh-CN"/>
                    </w:rPr>
                    <w:t>西厂界外1m（Z3）</w:t>
                  </w:r>
                </w:p>
              </w:tc>
              <w:tc>
                <w:tcPr>
                  <w:tcW w:w="909" w:type="pct"/>
                  <w:tcBorders>
                    <w:tl2br w:val="nil"/>
                    <w:tr2bl w:val="nil"/>
                  </w:tcBorders>
                  <w:noWrap w:val="0"/>
                  <w:vAlign w:val="center"/>
                </w:tcPr>
                <w:p w14:paraId="27B0A99E">
                  <w:pPr>
                    <w:pStyle w:val="41"/>
                    <w:bidi w:val="0"/>
                    <w:rPr>
                      <w:rFonts w:hint="default"/>
                      <w:color w:val="auto"/>
                      <w:highlight w:val="none"/>
                      <w:lang w:val="en-US" w:eastAsia="zh-CN"/>
                    </w:rPr>
                  </w:pPr>
                  <w:r>
                    <w:rPr>
                      <w:rFonts w:hint="eastAsia"/>
                      <w:color w:val="auto"/>
                      <w:highlight w:val="none"/>
                      <w:lang w:val="en-US" w:eastAsia="zh-CN"/>
                    </w:rPr>
                    <w:t>15:05-15:08</w:t>
                  </w:r>
                </w:p>
              </w:tc>
              <w:tc>
                <w:tcPr>
                  <w:tcW w:w="707" w:type="pct"/>
                  <w:gridSpan w:val="2"/>
                  <w:tcBorders>
                    <w:tl2br w:val="nil"/>
                    <w:tr2bl w:val="nil"/>
                  </w:tcBorders>
                  <w:noWrap w:val="0"/>
                  <w:vAlign w:val="center"/>
                </w:tcPr>
                <w:p w14:paraId="411746D3">
                  <w:pPr>
                    <w:pStyle w:val="41"/>
                    <w:bidi w:val="0"/>
                    <w:rPr>
                      <w:rFonts w:hint="eastAsia"/>
                      <w:color w:val="auto"/>
                      <w:highlight w:val="none"/>
                      <w:lang w:val="en-US" w:eastAsia="zh-CN"/>
                    </w:rPr>
                  </w:pPr>
                  <w:r>
                    <w:rPr>
                      <w:rFonts w:hint="eastAsia"/>
                      <w:color w:val="auto"/>
                      <w:highlight w:val="none"/>
                      <w:lang w:val="en-US" w:eastAsia="zh-CN"/>
                    </w:rPr>
                    <w:t>/</w:t>
                  </w:r>
                </w:p>
              </w:tc>
              <w:tc>
                <w:tcPr>
                  <w:tcW w:w="546" w:type="pct"/>
                  <w:tcBorders>
                    <w:tl2br w:val="nil"/>
                    <w:tr2bl w:val="nil"/>
                  </w:tcBorders>
                  <w:noWrap w:val="0"/>
                  <w:vAlign w:val="center"/>
                </w:tcPr>
                <w:p w14:paraId="41F4BB79">
                  <w:pPr>
                    <w:pStyle w:val="41"/>
                    <w:bidi w:val="0"/>
                    <w:rPr>
                      <w:rFonts w:hint="default"/>
                      <w:color w:val="auto"/>
                      <w:highlight w:val="none"/>
                      <w:lang w:val="en-US" w:eastAsia="zh-CN"/>
                    </w:rPr>
                  </w:pPr>
                  <w:r>
                    <w:rPr>
                      <w:rFonts w:hint="eastAsia"/>
                      <w:color w:val="auto"/>
                      <w:highlight w:val="none"/>
                      <w:lang w:val="en-US" w:eastAsia="zh-CN"/>
                    </w:rPr>
                    <w:t>57</w:t>
                  </w:r>
                </w:p>
              </w:tc>
              <w:tc>
                <w:tcPr>
                  <w:tcW w:w="1065" w:type="pct"/>
                  <w:tcBorders>
                    <w:tl2br w:val="nil"/>
                    <w:tr2bl w:val="nil"/>
                  </w:tcBorders>
                  <w:noWrap w:val="0"/>
                  <w:vAlign w:val="center"/>
                </w:tcPr>
                <w:p w14:paraId="4A94F868">
                  <w:pPr>
                    <w:pStyle w:val="41"/>
                    <w:bidi w:val="0"/>
                    <w:rPr>
                      <w:rFonts w:hint="eastAsia"/>
                      <w:color w:val="auto"/>
                      <w:highlight w:val="none"/>
                      <w:lang w:val="en-US" w:eastAsia="zh-CN"/>
                    </w:rPr>
                  </w:pPr>
                  <w:r>
                    <w:rPr>
                      <w:rFonts w:hint="eastAsia"/>
                      <w:color w:val="auto"/>
                      <w:highlight w:val="none"/>
                      <w:lang w:val="en-US" w:eastAsia="zh-CN"/>
                    </w:rPr>
                    <w:t>≤60</w:t>
                  </w:r>
                </w:p>
              </w:tc>
            </w:tr>
            <w:tr w14:paraId="335C13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61" w:type="pct"/>
                  <w:vMerge w:val="continue"/>
                  <w:tcBorders>
                    <w:tl2br w:val="nil"/>
                    <w:tr2bl w:val="nil"/>
                  </w:tcBorders>
                  <w:noWrap w:val="0"/>
                  <w:vAlign w:val="center"/>
                </w:tcPr>
                <w:p w14:paraId="25327352">
                  <w:pPr>
                    <w:pStyle w:val="41"/>
                    <w:bidi w:val="0"/>
                    <w:rPr>
                      <w:rFonts w:hint="eastAsia"/>
                      <w:color w:val="auto"/>
                      <w:highlight w:val="none"/>
                      <w:lang w:val="en-US" w:eastAsia="zh-CN"/>
                    </w:rPr>
                  </w:pPr>
                </w:p>
              </w:tc>
              <w:tc>
                <w:tcPr>
                  <w:tcW w:w="1109" w:type="pct"/>
                  <w:tcBorders>
                    <w:tl2br w:val="nil"/>
                    <w:tr2bl w:val="nil"/>
                  </w:tcBorders>
                  <w:noWrap w:val="0"/>
                  <w:vAlign w:val="center"/>
                </w:tcPr>
                <w:p w14:paraId="3ADBE5E1">
                  <w:pPr>
                    <w:pStyle w:val="41"/>
                    <w:bidi w:val="0"/>
                    <w:rPr>
                      <w:rFonts w:hint="eastAsia"/>
                      <w:color w:val="auto"/>
                      <w:highlight w:val="none"/>
                      <w:lang w:val="en-US" w:eastAsia="zh-CN"/>
                    </w:rPr>
                  </w:pPr>
                  <w:r>
                    <w:rPr>
                      <w:rFonts w:hint="eastAsia"/>
                      <w:color w:val="auto"/>
                      <w:highlight w:val="none"/>
                      <w:lang w:val="en-US" w:eastAsia="zh-CN"/>
                    </w:rPr>
                    <w:t>北厂界外1m（Z4）</w:t>
                  </w:r>
                </w:p>
              </w:tc>
              <w:tc>
                <w:tcPr>
                  <w:tcW w:w="909" w:type="pct"/>
                  <w:tcBorders>
                    <w:tl2br w:val="nil"/>
                    <w:tr2bl w:val="nil"/>
                  </w:tcBorders>
                  <w:noWrap w:val="0"/>
                  <w:vAlign w:val="center"/>
                </w:tcPr>
                <w:p w14:paraId="07D46014">
                  <w:pPr>
                    <w:pStyle w:val="41"/>
                    <w:bidi w:val="0"/>
                    <w:rPr>
                      <w:rFonts w:hint="default"/>
                      <w:color w:val="auto"/>
                      <w:highlight w:val="none"/>
                      <w:lang w:val="en-US" w:eastAsia="zh-CN"/>
                    </w:rPr>
                  </w:pPr>
                  <w:r>
                    <w:rPr>
                      <w:rFonts w:hint="eastAsia"/>
                      <w:color w:val="auto"/>
                      <w:highlight w:val="none"/>
                      <w:lang w:val="en-US" w:eastAsia="zh-CN"/>
                    </w:rPr>
                    <w:t>15:20-15:23</w:t>
                  </w:r>
                </w:p>
              </w:tc>
              <w:tc>
                <w:tcPr>
                  <w:tcW w:w="707" w:type="pct"/>
                  <w:gridSpan w:val="2"/>
                  <w:tcBorders>
                    <w:tl2br w:val="nil"/>
                    <w:tr2bl w:val="nil"/>
                  </w:tcBorders>
                  <w:noWrap w:val="0"/>
                  <w:vAlign w:val="center"/>
                </w:tcPr>
                <w:p w14:paraId="325122C3">
                  <w:pPr>
                    <w:pStyle w:val="41"/>
                    <w:bidi w:val="0"/>
                    <w:rPr>
                      <w:rFonts w:hint="eastAsia"/>
                      <w:color w:val="auto"/>
                      <w:highlight w:val="none"/>
                      <w:lang w:val="en-US" w:eastAsia="zh-CN"/>
                    </w:rPr>
                  </w:pPr>
                  <w:r>
                    <w:rPr>
                      <w:rFonts w:hint="eastAsia"/>
                      <w:color w:val="auto"/>
                      <w:highlight w:val="none"/>
                      <w:lang w:val="en-US" w:eastAsia="zh-CN"/>
                    </w:rPr>
                    <w:t>/</w:t>
                  </w:r>
                </w:p>
              </w:tc>
              <w:tc>
                <w:tcPr>
                  <w:tcW w:w="546" w:type="pct"/>
                  <w:tcBorders>
                    <w:tl2br w:val="nil"/>
                    <w:tr2bl w:val="nil"/>
                  </w:tcBorders>
                  <w:noWrap w:val="0"/>
                  <w:vAlign w:val="center"/>
                </w:tcPr>
                <w:p w14:paraId="15FABA39">
                  <w:pPr>
                    <w:pStyle w:val="41"/>
                    <w:bidi w:val="0"/>
                    <w:rPr>
                      <w:rFonts w:hint="default"/>
                      <w:color w:val="auto"/>
                      <w:highlight w:val="none"/>
                      <w:lang w:val="en-US" w:eastAsia="zh-CN"/>
                    </w:rPr>
                  </w:pPr>
                  <w:r>
                    <w:rPr>
                      <w:rFonts w:hint="eastAsia"/>
                      <w:color w:val="auto"/>
                      <w:highlight w:val="none"/>
                      <w:lang w:val="en-US" w:eastAsia="zh-CN"/>
                    </w:rPr>
                    <w:t>57</w:t>
                  </w:r>
                </w:p>
              </w:tc>
              <w:tc>
                <w:tcPr>
                  <w:tcW w:w="1065" w:type="pct"/>
                  <w:tcBorders>
                    <w:tl2br w:val="nil"/>
                    <w:tr2bl w:val="nil"/>
                  </w:tcBorders>
                  <w:noWrap w:val="0"/>
                  <w:vAlign w:val="center"/>
                </w:tcPr>
                <w:p w14:paraId="5A233CA3">
                  <w:pPr>
                    <w:pStyle w:val="41"/>
                    <w:bidi w:val="0"/>
                    <w:rPr>
                      <w:rFonts w:hint="eastAsia"/>
                      <w:color w:val="auto"/>
                      <w:highlight w:val="none"/>
                      <w:lang w:val="en-US" w:eastAsia="zh-CN"/>
                    </w:rPr>
                  </w:pPr>
                  <w:r>
                    <w:rPr>
                      <w:rFonts w:hint="eastAsia"/>
                      <w:color w:val="auto"/>
                      <w:highlight w:val="none"/>
                      <w:lang w:val="en-US" w:eastAsia="zh-CN"/>
                    </w:rPr>
                    <w:t>≤60</w:t>
                  </w:r>
                </w:p>
              </w:tc>
            </w:tr>
            <w:tr w14:paraId="75E361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61" w:type="pct"/>
                  <w:vMerge w:val="restart"/>
                  <w:tcBorders>
                    <w:tl2br w:val="nil"/>
                    <w:tr2bl w:val="nil"/>
                  </w:tcBorders>
                  <w:noWrap w:val="0"/>
                  <w:vAlign w:val="center"/>
                </w:tcPr>
                <w:p w14:paraId="22FD57F7">
                  <w:pPr>
                    <w:pStyle w:val="41"/>
                    <w:bidi w:val="0"/>
                    <w:rPr>
                      <w:rFonts w:hint="default"/>
                      <w:color w:val="auto"/>
                      <w:highlight w:val="none"/>
                      <w:lang w:val="en-US" w:eastAsia="zh-CN"/>
                    </w:rPr>
                  </w:pPr>
                  <w:r>
                    <w:rPr>
                      <w:rFonts w:hint="eastAsia"/>
                      <w:color w:val="auto"/>
                      <w:highlight w:val="none"/>
                      <w:lang w:eastAsia="zh-CN"/>
                    </w:rPr>
                    <w:t>2024.10.05</w:t>
                  </w:r>
                </w:p>
              </w:tc>
              <w:tc>
                <w:tcPr>
                  <w:tcW w:w="1109" w:type="pct"/>
                  <w:tcBorders>
                    <w:tl2br w:val="nil"/>
                    <w:tr2bl w:val="nil"/>
                  </w:tcBorders>
                  <w:noWrap w:val="0"/>
                  <w:vAlign w:val="center"/>
                </w:tcPr>
                <w:p w14:paraId="28146DF7">
                  <w:pPr>
                    <w:pStyle w:val="41"/>
                    <w:bidi w:val="0"/>
                    <w:rPr>
                      <w:rFonts w:hint="eastAsia"/>
                      <w:color w:val="auto"/>
                      <w:highlight w:val="none"/>
                      <w:lang w:val="en-US" w:eastAsia="zh-CN"/>
                    </w:rPr>
                  </w:pPr>
                  <w:r>
                    <w:rPr>
                      <w:rFonts w:hint="eastAsia"/>
                      <w:color w:val="auto"/>
                      <w:highlight w:val="none"/>
                      <w:lang w:val="en-US" w:eastAsia="zh-CN"/>
                    </w:rPr>
                    <w:t>东厂界外1m（Z1）</w:t>
                  </w:r>
                </w:p>
              </w:tc>
              <w:tc>
                <w:tcPr>
                  <w:tcW w:w="909" w:type="pct"/>
                  <w:tcBorders>
                    <w:tl2br w:val="nil"/>
                    <w:tr2bl w:val="nil"/>
                  </w:tcBorders>
                  <w:noWrap w:val="0"/>
                  <w:vAlign w:val="center"/>
                </w:tcPr>
                <w:p w14:paraId="7AEB22DF">
                  <w:pPr>
                    <w:pStyle w:val="41"/>
                    <w:bidi w:val="0"/>
                    <w:rPr>
                      <w:rFonts w:hint="default"/>
                      <w:color w:val="auto"/>
                      <w:highlight w:val="none"/>
                      <w:lang w:val="en-US" w:eastAsia="zh-CN"/>
                    </w:rPr>
                  </w:pPr>
                  <w:r>
                    <w:rPr>
                      <w:rFonts w:hint="eastAsia"/>
                      <w:color w:val="auto"/>
                      <w:highlight w:val="none"/>
                      <w:lang w:val="en-US" w:eastAsia="zh-CN"/>
                    </w:rPr>
                    <w:t>12:39-12:42</w:t>
                  </w:r>
                </w:p>
              </w:tc>
              <w:tc>
                <w:tcPr>
                  <w:tcW w:w="707" w:type="pct"/>
                  <w:gridSpan w:val="2"/>
                  <w:tcBorders>
                    <w:tl2br w:val="nil"/>
                    <w:tr2bl w:val="nil"/>
                  </w:tcBorders>
                  <w:noWrap w:val="0"/>
                  <w:vAlign w:val="center"/>
                </w:tcPr>
                <w:p w14:paraId="02D353BA">
                  <w:pPr>
                    <w:pStyle w:val="41"/>
                    <w:bidi w:val="0"/>
                    <w:rPr>
                      <w:rFonts w:hint="eastAsia"/>
                      <w:color w:val="auto"/>
                      <w:highlight w:val="none"/>
                      <w:lang w:val="en-US" w:eastAsia="zh-CN"/>
                    </w:rPr>
                  </w:pPr>
                  <w:r>
                    <w:rPr>
                      <w:rFonts w:hint="eastAsia"/>
                      <w:color w:val="auto"/>
                      <w:highlight w:val="none"/>
                      <w:lang w:val="en-US" w:eastAsia="zh-CN"/>
                    </w:rPr>
                    <w:t>/</w:t>
                  </w:r>
                </w:p>
              </w:tc>
              <w:tc>
                <w:tcPr>
                  <w:tcW w:w="546" w:type="pct"/>
                  <w:tcBorders>
                    <w:tl2br w:val="nil"/>
                    <w:tr2bl w:val="nil"/>
                  </w:tcBorders>
                  <w:noWrap w:val="0"/>
                  <w:vAlign w:val="center"/>
                </w:tcPr>
                <w:p w14:paraId="0E3E6F38">
                  <w:pPr>
                    <w:pStyle w:val="41"/>
                    <w:bidi w:val="0"/>
                    <w:rPr>
                      <w:rFonts w:hint="default"/>
                      <w:color w:val="auto"/>
                      <w:highlight w:val="none"/>
                      <w:lang w:val="en-US" w:eastAsia="zh-CN"/>
                    </w:rPr>
                  </w:pPr>
                  <w:r>
                    <w:rPr>
                      <w:rFonts w:hint="eastAsia"/>
                      <w:color w:val="auto"/>
                      <w:highlight w:val="none"/>
                      <w:lang w:val="en-US" w:eastAsia="zh-CN"/>
                    </w:rPr>
                    <w:t>57</w:t>
                  </w:r>
                </w:p>
              </w:tc>
              <w:tc>
                <w:tcPr>
                  <w:tcW w:w="1065" w:type="pct"/>
                  <w:tcBorders>
                    <w:tl2br w:val="nil"/>
                    <w:tr2bl w:val="nil"/>
                  </w:tcBorders>
                  <w:noWrap w:val="0"/>
                  <w:vAlign w:val="center"/>
                </w:tcPr>
                <w:p w14:paraId="052AF9C1">
                  <w:pPr>
                    <w:pStyle w:val="41"/>
                    <w:bidi w:val="0"/>
                    <w:rPr>
                      <w:rFonts w:hint="eastAsia"/>
                      <w:color w:val="auto"/>
                      <w:highlight w:val="none"/>
                      <w:lang w:val="en-US" w:eastAsia="zh-CN"/>
                    </w:rPr>
                  </w:pPr>
                  <w:r>
                    <w:rPr>
                      <w:rFonts w:hint="eastAsia"/>
                      <w:color w:val="auto"/>
                      <w:highlight w:val="none"/>
                      <w:lang w:val="en-US" w:eastAsia="zh-CN"/>
                    </w:rPr>
                    <w:t>≤60</w:t>
                  </w:r>
                </w:p>
              </w:tc>
            </w:tr>
            <w:tr w14:paraId="1ECE8A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61" w:type="pct"/>
                  <w:vMerge w:val="continue"/>
                  <w:tcBorders>
                    <w:tl2br w:val="nil"/>
                    <w:tr2bl w:val="nil"/>
                  </w:tcBorders>
                  <w:noWrap w:val="0"/>
                  <w:vAlign w:val="center"/>
                </w:tcPr>
                <w:p w14:paraId="79AEEC17">
                  <w:pPr>
                    <w:pStyle w:val="41"/>
                    <w:bidi w:val="0"/>
                    <w:rPr>
                      <w:rFonts w:hint="eastAsia"/>
                      <w:color w:val="auto"/>
                      <w:highlight w:val="none"/>
                      <w:lang w:val="en-US" w:eastAsia="zh-CN"/>
                    </w:rPr>
                  </w:pPr>
                </w:p>
              </w:tc>
              <w:tc>
                <w:tcPr>
                  <w:tcW w:w="1109" w:type="pct"/>
                  <w:tcBorders>
                    <w:tl2br w:val="nil"/>
                    <w:tr2bl w:val="nil"/>
                  </w:tcBorders>
                  <w:noWrap w:val="0"/>
                  <w:vAlign w:val="center"/>
                </w:tcPr>
                <w:p w14:paraId="37CB43A8">
                  <w:pPr>
                    <w:pStyle w:val="41"/>
                    <w:bidi w:val="0"/>
                    <w:rPr>
                      <w:rFonts w:hint="eastAsia"/>
                      <w:color w:val="auto"/>
                      <w:highlight w:val="none"/>
                      <w:lang w:val="en-US" w:eastAsia="zh-CN"/>
                    </w:rPr>
                  </w:pPr>
                  <w:r>
                    <w:rPr>
                      <w:rFonts w:hint="eastAsia"/>
                      <w:color w:val="auto"/>
                      <w:highlight w:val="none"/>
                      <w:lang w:val="en-US" w:eastAsia="zh-CN"/>
                    </w:rPr>
                    <w:t>南厂界外1m（Z2）</w:t>
                  </w:r>
                </w:p>
              </w:tc>
              <w:tc>
                <w:tcPr>
                  <w:tcW w:w="909" w:type="pct"/>
                  <w:tcBorders>
                    <w:tl2br w:val="nil"/>
                    <w:tr2bl w:val="nil"/>
                  </w:tcBorders>
                  <w:noWrap w:val="0"/>
                  <w:vAlign w:val="center"/>
                </w:tcPr>
                <w:p w14:paraId="691908B8">
                  <w:pPr>
                    <w:pStyle w:val="41"/>
                    <w:bidi w:val="0"/>
                    <w:rPr>
                      <w:rFonts w:hint="default"/>
                      <w:color w:val="auto"/>
                      <w:highlight w:val="none"/>
                      <w:lang w:val="en-US" w:eastAsia="zh-CN"/>
                    </w:rPr>
                  </w:pPr>
                  <w:r>
                    <w:rPr>
                      <w:rFonts w:hint="eastAsia"/>
                      <w:color w:val="auto"/>
                      <w:highlight w:val="none"/>
                      <w:lang w:val="en-US" w:eastAsia="zh-CN"/>
                    </w:rPr>
                    <w:t>12:53-12:56</w:t>
                  </w:r>
                </w:p>
              </w:tc>
              <w:tc>
                <w:tcPr>
                  <w:tcW w:w="707" w:type="pct"/>
                  <w:gridSpan w:val="2"/>
                  <w:tcBorders>
                    <w:tl2br w:val="nil"/>
                    <w:tr2bl w:val="nil"/>
                  </w:tcBorders>
                  <w:noWrap w:val="0"/>
                  <w:vAlign w:val="center"/>
                </w:tcPr>
                <w:p w14:paraId="588AE38D">
                  <w:pPr>
                    <w:pStyle w:val="41"/>
                    <w:bidi w:val="0"/>
                    <w:rPr>
                      <w:rFonts w:hint="eastAsia"/>
                      <w:color w:val="auto"/>
                      <w:highlight w:val="none"/>
                      <w:lang w:val="en-US" w:eastAsia="zh-CN"/>
                    </w:rPr>
                  </w:pPr>
                  <w:r>
                    <w:rPr>
                      <w:rFonts w:hint="eastAsia"/>
                      <w:color w:val="auto"/>
                      <w:highlight w:val="none"/>
                      <w:lang w:val="en-US" w:eastAsia="zh-CN"/>
                    </w:rPr>
                    <w:t>/</w:t>
                  </w:r>
                </w:p>
              </w:tc>
              <w:tc>
                <w:tcPr>
                  <w:tcW w:w="546" w:type="pct"/>
                  <w:tcBorders>
                    <w:tl2br w:val="nil"/>
                    <w:tr2bl w:val="nil"/>
                  </w:tcBorders>
                  <w:noWrap w:val="0"/>
                  <w:vAlign w:val="center"/>
                </w:tcPr>
                <w:p w14:paraId="05CBFACC">
                  <w:pPr>
                    <w:pStyle w:val="41"/>
                    <w:bidi w:val="0"/>
                    <w:rPr>
                      <w:rFonts w:hint="default"/>
                      <w:color w:val="auto"/>
                      <w:highlight w:val="none"/>
                      <w:lang w:val="en-US" w:eastAsia="zh-CN"/>
                    </w:rPr>
                  </w:pPr>
                  <w:r>
                    <w:rPr>
                      <w:rFonts w:hint="eastAsia"/>
                      <w:color w:val="auto"/>
                      <w:highlight w:val="none"/>
                      <w:lang w:val="en-US" w:eastAsia="zh-CN"/>
                    </w:rPr>
                    <w:t>56</w:t>
                  </w:r>
                </w:p>
              </w:tc>
              <w:tc>
                <w:tcPr>
                  <w:tcW w:w="1065" w:type="pct"/>
                  <w:tcBorders>
                    <w:tl2br w:val="nil"/>
                    <w:tr2bl w:val="nil"/>
                  </w:tcBorders>
                  <w:noWrap w:val="0"/>
                  <w:vAlign w:val="center"/>
                </w:tcPr>
                <w:p w14:paraId="736413D4">
                  <w:pPr>
                    <w:pStyle w:val="41"/>
                    <w:bidi w:val="0"/>
                    <w:rPr>
                      <w:rFonts w:hint="eastAsia"/>
                      <w:color w:val="auto"/>
                      <w:highlight w:val="none"/>
                      <w:lang w:val="en-US" w:eastAsia="zh-CN"/>
                    </w:rPr>
                  </w:pPr>
                  <w:r>
                    <w:rPr>
                      <w:rFonts w:hint="eastAsia"/>
                      <w:color w:val="auto"/>
                      <w:highlight w:val="none"/>
                      <w:lang w:val="en-US" w:eastAsia="zh-CN"/>
                    </w:rPr>
                    <w:t>≤60</w:t>
                  </w:r>
                </w:p>
              </w:tc>
            </w:tr>
            <w:tr w14:paraId="21DF15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61" w:type="pct"/>
                  <w:vMerge w:val="continue"/>
                  <w:tcBorders>
                    <w:tl2br w:val="nil"/>
                    <w:tr2bl w:val="nil"/>
                  </w:tcBorders>
                  <w:noWrap w:val="0"/>
                  <w:vAlign w:val="center"/>
                </w:tcPr>
                <w:p w14:paraId="762F7D73">
                  <w:pPr>
                    <w:pStyle w:val="41"/>
                    <w:bidi w:val="0"/>
                    <w:rPr>
                      <w:rFonts w:hint="eastAsia"/>
                      <w:color w:val="auto"/>
                      <w:highlight w:val="none"/>
                      <w:lang w:val="en-US" w:eastAsia="zh-CN"/>
                    </w:rPr>
                  </w:pPr>
                </w:p>
              </w:tc>
              <w:tc>
                <w:tcPr>
                  <w:tcW w:w="1109" w:type="pct"/>
                  <w:tcBorders>
                    <w:tl2br w:val="nil"/>
                    <w:tr2bl w:val="nil"/>
                  </w:tcBorders>
                  <w:noWrap w:val="0"/>
                  <w:vAlign w:val="center"/>
                </w:tcPr>
                <w:p w14:paraId="1E714CC3">
                  <w:pPr>
                    <w:pStyle w:val="41"/>
                    <w:bidi w:val="0"/>
                    <w:rPr>
                      <w:rFonts w:hint="eastAsia"/>
                      <w:color w:val="auto"/>
                      <w:highlight w:val="none"/>
                      <w:lang w:val="en-US" w:eastAsia="zh-CN"/>
                    </w:rPr>
                  </w:pPr>
                  <w:r>
                    <w:rPr>
                      <w:rFonts w:hint="eastAsia"/>
                      <w:color w:val="auto"/>
                      <w:highlight w:val="none"/>
                      <w:lang w:val="en-US" w:eastAsia="zh-CN"/>
                    </w:rPr>
                    <w:t>西厂界外1m（Z3）</w:t>
                  </w:r>
                </w:p>
              </w:tc>
              <w:tc>
                <w:tcPr>
                  <w:tcW w:w="909" w:type="pct"/>
                  <w:tcBorders>
                    <w:tl2br w:val="nil"/>
                    <w:tr2bl w:val="nil"/>
                  </w:tcBorders>
                  <w:noWrap w:val="0"/>
                  <w:vAlign w:val="center"/>
                </w:tcPr>
                <w:p w14:paraId="40195BEA">
                  <w:pPr>
                    <w:pStyle w:val="41"/>
                    <w:bidi w:val="0"/>
                    <w:rPr>
                      <w:rFonts w:hint="default"/>
                      <w:color w:val="auto"/>
                      <w:highlight w:val="none"/>
                      <w:lang w:val="en-US" w:eastAsia="zh-CN"/>
                    </w:rPr>
                  </w:pPr>
                  <w:r>
                    <w:rPr>
                      <w:rFonts w:hint="eastAsia"/>
                      <w:color w:val="auto"/>
                      <w:highlight w:val="none"/>
                      <w:lang w:val="en-US" w:eastAsia="zh-CN"/>
                    </w:rPr>
                    <w:t>13:14-13:16</w:t>
                  </w:r>
                </w:p>
              </w:tc>
              <w:tc>
                <w:tcPr>
                  <w:tcW w:w="707" w:type="pct"/>
                  <w:gridSpan w:val="2"/>
                  <w:tcBorders>
                    <w:tl2br w:val="nil"/>
                    <w:tr2bl w:val="nil"/>
                  </w:tcBorders>
                  <w:noWrap w:val="0"/>
                  <w:vAlign w:val="center"/>
                </w:tcPr>
                <w:p w14:paraId="4FFB3855">
                  <w:pPr>
                    <w:pStyle w:val="41"/>
                    <w:bidi w:val="0"/>
                    <w:rPr>
                      <w:rFonts w:hint="eastAsia"/>
                      <w:color w:val="auto"/>
                      <w:highlight w:val="none"/>
                      <w:lang w:val="en-US" w:eastAsia="zh-CN"/>
                    </w:rPr>
                  </w:pPr>
                  <w:r>
                    <w:rPr>
                      <w:rFonts w:hint="eastAsia"/>
                      <w:color w:val="auto"/>
                      <w:highlight w:val="none"/>
                      <w:lang w:val="en-US" w:eastAsia="zh-CN"/>
                    </w:rPr>
                    <w:t>/</w:t>
                  </w:r>
                </w:p>
              </w:tc>
              <w:tc>
                <w:tcPr>
                  <w:tcW w:w="546" w:type="pct"/>
                  <w:tcBorders>
                    <w:tl2br w:val="nil"/>
                    <w:tr2bl w:val="nil"/>
                  </w:tcBorders>
                  <w:noWrap w:val="0"/>
                  <w:vAlign w:val="center"/>
                </w:tcPr>
                <w:p w14:paraId="4895AC37">
                  <w:pPr>
                    <w:pStyle w:val="41"/>
                    <w:bidi w:val="0"/>
                    <w:rPr>
                      <w:rFonts w:hint="default"/>
                      <w:color w:val="auto"/>
                      <w:highlight w:val="none"/>
                      <w:lang w:val="en-US" w:eastAsia="zh-CN"/>
                    </w:rPr>
                  </w:pPr>
                  <w:r>
                    <w:rPr>
                      <w:rFonts w:hint="eastAsia"/>
                      <w:color w:val="auto"/>
                      <w:highlight w:val="none"/>
                      <w:lang w:val="en-US" w:eastAsia="zh-CN"/>
                    </w:rPr>
                    <w:t>55</w:t>
                  </w:r>
                </w:p>
              </w:tc>
              <w:tc>
                <w:tcPr>
                  <w:tcW w:w="1065" w:type="pct"/>
                  <w:tcBorders>
                    <w:tl2br w:val="nil"/>
                    <w:tr2bl w:val="nil"/>
                  </w:tcBorders>
                  <w:noWrap w:val="0"/>
                  <w:vAlign w:val="center"/>
                </w:tcPr>
                <w:p w14:paraId="563EA7BC">
                  <w:pPr>
                    <w:pStyle w:val="41"/>
                    <w:bidi w:val="0"/>
                    <w:rPr>
                      <w:rFonts w:hint="eastAsia"/>
                      <w:color w:val="auto"/>
                      <w:highlight w:val="none"/>
                      <w:lang w:val="en-US" w:eastAsia="zh-CN"/>
                    </w:rPr>
                  </w:pPr>
                  <w:r>
                    <w:rPr>
                      <w:rFonts w:hint="eastAsia"/>
                      <w:color w:val="auto"/>
                      <w:highlight w:val="none"/>
                      <w:lang w:val="en-US" w:eastAsia="zh-CN"/>
                    </w:rPr>
                    <w:t>≤60</w:t>
                  </w:r>
                </w:p>
              </w:tc>
            </w:tr>
            <w:tr w14:paraId="689684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61" w:type="pct"/>
                  <w:vMerge w:val="continue"/>
                  <w:tcBorders>
                    <w:tl2br w:val="nil"/>
                    <w:tr2bl w:val="nil"/>
                  </w:tcBorders>
                  <w:noWrap w:val="0"/>
                  <w:vAlign w:val="center"/>
                </w:tcPr>
                <w:p w14:paraId="2E0BCE00">
                  <w:pPr>
                    <w:pStyle w:val="41"/>
                    <w:bidi w:val="0"/>
                    <w:rPr>
                      <w:rFonts w:hint="eastAsia"/>
                      <w:color w:val="auto"/>
                      <w:highlight w:val="none"/>
                      <w:lang w:val="en-US" w:eastAsia="zh-CN"/>
                    </w:rPr>
                  </w:pPr>
                </w:p>
              </w:tc>
              <w:tc>
                <w:tcPr>
                  <w:tcW w:w="1109" w:type="pct"/>
                  <w:tcBorders>
                    <w:tl2br w:val="nil"/>
                    <w:tr2bl w:val="nil"/>
                  </w:tcBorders>
                  <w:noWrap w:val="0"/>
                  <w:vAlign w:val="center"/>
                </w:tcPr>
                <w:p w14:paraId="491E9D38">
                  <w:pPr>
                    <w:pStyle w:val="41"/>
                    <w:bidi w:val="0"/>
                    <w:rPr>
                      <w:rFonts w:hint="eastAsia"/>
                      <w:color w:val="auto"/>
                      <w:highlight w:val="none"/>
                      <w:lang w:val="en-US" w:eastAsia="zh-CN"/>
                    </w:rPr>
                  </w:pPr>
                  <w:r>
                    <w:rPr>
                      <w:rFonts w:hint="eastAsia"/>
                      <w:color w:val="auto"/>
                      <w:highlight w:val="none"/>
                      <w:lang w:val="en-US" w:eastAsia="zh-CN"/>
                    </w:rPr>
                    <w:t>北厂界外1m（Z4）</w:t>
                  </w:r>
                </w:p>
              </w:tc>
              <w:tc>
                <w:tcPr>
                  <w:tcW w:w="909" w:type="pct"/>
                  <w:tcBorders>
                    <w:tl2br w:val="nil"/>
                    <w:tr2bl w:val="nil"/>
                  </w:tcBorders>
                  <w:noWrap w:val="0"/>
                  <w:vAlign w:val="center"/>
                </w:tcPr>
                <w:p w14:paraId="7BDB61B7">
                  <w:pPr>
                    <w:pStyle w:val="41"/>
                    <w:bidi w:val="0"/>
                    <w:rPr>
                      <w:rFonts w:hint="default"/>
                      <w:color w:val="auto"/>
                      <w:highlight w:val="none"/>
                      <w:lang w:val="en-US" w:eastAsia="zh-CN"/>
                    </w:rPr>
                  </w:pPr>
                  <w:r>
                    <w:rPr>
                      <w:rFonts w:hint="eastAsia"/>
                      <w:color w:val="auto"/>
                      <w:highlight w:val="none"/>
                      <w:lang w:val="en-US" w:eastAsia="zh-CN"/>
                    </w:rPr>
                    <w:t>13:31-13:34</w:t>
                  </w:r>
                </w:p>
              </w:tc>
              <w:tc>
                <w:tcPr>
                  <w:tcW w:w="707" w:type="pct"/>
                  <w:gridSpan w:val="2"/>
                  <w:tcBorders>
                    <w:tl2br w:val="nil"/>
                    <w:tr2bl w:val="nil"/>
                  </w:tcBorders>
                  <w:noWrap w:val="0"/>
                  <w:vAlign w:val="center"/>
                </w:tcPr>
                <w:p w14:paraId="5B086DE5">
                  <w:pPr>
                    <w:pStyle w:val="41"/>
                    <w:bidi w:val="0"/>
                    <w:rPr>
                      <w:rFonts w:hint="eastAsia"/>
                      <w:color w:val="auto"/>
                      <w:highlight w:val="none"/>
                      <w:lang w:val="en-US" w:eastAsia="zh-CN"/>
                    </w:rPr>
                  </w:pPr>
                  <w:r>
                    <w:rPr>
                      <w:rFonts w:hint="eastAsia"/>
                      <w:color w:val="auto"/>
                      <w:highlight w:val="none"/>
                      <w:lang w:val="en-US" w:eastAsia="zh-CN"/>
                    </w:rPr>
                    <w:t>/</w:t>
                  </w:r>
                </w:p>
              </w:tc>
              <w:tc>
                <w:tcPr>
                  <w:tcW w:w="546" w:type="pct"/>
                  <w:tcBorders>
                    <w:tl2br w:val="nil"/>
                    <w:tr2bl w:val="nil"/>
                  </w:tcBorders>
                  <w:noWrap w:val="0"/>
                  <w:vAlign w:val="center"/>
                </w:tcPr>
                <w:p w14:paraId="5082FEE6">
                  <w:pPr>
                    <w:pStyle w:val="41"/>
                    <w:bidi w:val="0"/>
                    <w:rPr>
                      <w:rFonts w:hint="default"/>
                      <w:color w:val="auto"/>
                      <w:highlight w:val="none"/>
                      <w:lang w:val="en-US" w:eastAsia="zh-CN"/>
                    </w:rPr>
                  </w:pPr>
                  <w:r>
                    <w:rPr>
                      <w:rFonts w:hint="eastAsia"/>
                      <w:color w:val="auto"/>
                      <w:highlight w:val="none"/>
                      <w:lang w:val="en-US" w:eastAsia="zh-CN"/>
                    </w:rPr>
                    <w:t>57</w:t>
                  </w:r>
                </w:p>
              </w:tc>
              <w:tc>
                <w:tcPr>
                  <w:tcW w:w="1065" w:type="pct"/>
                  <w:tcBorders>
                    <w:tl2br w:val="nil"/>
                    <w:tr2bl w:val="nil"/>
                  </w:tcBorders>
                  <w:noWrap w:val="0"/>
                  <w:vAlign w:val="center"/>
                </w:tcPr>
                <w:p w14:paraId="1177D568">
                  <w:pPr>
                    <w:pStyle w:val="41"/>
                    <w:bidi w:val="0"/>
                    <w:rPr>
                      <w:rFonts w:hint="eastAsia"/>
                      <w:color w:val="auto"/>
                      <w:highlight w:val="none"/>
                      <w:lang w:val="en-US" w:eastAsia="zh-CN"/>
                    </w:rPr>
                  </w:pPr>
                  <w:r>
                    <w:rPr>
                      <w:rFonts w:hint="eastAsia"/>
                      <w:color w:val="auto"/>
                      <w:highlight w:val="none"/>
                      <w:lang w:val="en-US" w:eastAsia="zh-CN"/>
                    </w:rPr>
                    <w:t>≤60</w:t>
                  </w:r>
                </w:p>
              </w:tc>
            </w:tr>
            <w:tr w14:paraId="19DE39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000" w:type="pct"/>
                  <w:gridSpan w:val="7"/>
                  <w:tcBorders>
                    <w:tl2br w:val="nil"/>
                    <w:tr2bl w:val="nil"/>
                  </w:tcBorders>
                  <w:noWrap w:val="0"/>
                  <w:vAlign w:val="center"/>
                </w:tcPr>
                <w:p w14:paraId="41FEAB55">
                  <w:pPr>
                    <w:pStyle w:val="41"/>
                    <w:bidi w:val="0"/>
                    <w:rPr>
                      <w:rFonts w:hint="eastAsia"/>
                      <w:color w:val="auto"/>
                      <w:highlight w:val="none"/>
                      <w:lang w:val="en-US" w:eastAsia="zh-CN"/>
                    </w:rPr>
                  </w:pPr>
                </w:p>
              </w:tc>
            </w:tr>
            <w:tr w14:paraId="5441AF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771" w:type="pct"/>
                  <w:gridSpan w:val="2"/>
                  <w:vMerge w:val="restart"/>
                  <w:tcBorders>
                    <w:tl2br w:val="nil"/>
                    <w:tr2bl w:val="nil"/>
                  </w:tcBorders>
                  <w:noWrap w:val="0"/>
                  <w:vAlign w:val="center"/>
                </w:tcPr>
                <w:p w14:paraId="21E7C4C5">
                  <w:pPr>
                    <w:pStyle w:val="41"/>
                    <w:bidi w:val="0"/>
                    <w:rPr>
                      <w:rFonts w:hint="eastAsia"/>
                      <w:color w:val="auto"/>
                      <w:highlight w:val="none"/>
                      <w:lang w:val="en-US" w:eastAsia="zh-CN"/>
                    </w:rPr>
                  </w:pPr>
                  <w:r>
                    <w:rPr>
                      <w:rFonts w:hint="eastAsia"/>
                      <w:color w:val="auto"/>
                      <w:highlight w:val="none"/>
                      <w:lang w:eastAsia="zh-CN"/>
                    </w:rPr>
                    <w:t>气象条件</w:t>
                  </w:r>
                </w:p>
              </w:tc>
              <w:tc>
                <w:tcPr>
                  <w:tcW w:w="928" w:type="pct"/>
                  <w:gridSpan w:val="2"/>
                  <w:tcBorders>
                    <w:tl2br w:val="nil"/>
                    <w:tr2bl w:val="nil"/>
                  </w:tcBorders>
                  <w:noWrap w:val="0"/>
                  <w:vAlign w:val="center"/>
                </w:tcPr>
                <w:p w14:paraId="11D4434F">
                  <w:pPr>
                    <w:pStyle w:val="41"/>
                    <w:bidi w:val="0"/>
                    <w:rPr>
                      <w:rFonts w:hint="eastAsia"/>
                      <w:color w:val="auto"/>
                      <w:highlight w:val="none"/>
                      <w:lang w:val="en-US" w:eastAsia="zh-CN"/>
                    </w:rPr>
                  </w:pPr>
                  <w:r>
                    <w:rPr>
                      <w:rFonts w:hint="eastAsia"/>
                      <w:color w:val="auto"/>
                      <w:highlight w:val="none"/>
                      <w:lang w:val="en-US" w:eastAsia="zh-CN"/>
                    </w:rPr>
                    <w:t>采样日期</w:t>
                  </w:r>
                </w:p>
              </w:tc>
              <w:tc>
                <w:tcPr>
                  <w:tcW w:w="688" w:type="pct"/>
                  <w:tcBorders>
                    <w:tl2br w:val="nil"/>
                    <w:tr2bl w:val="nil"/>
                  </w:tcBorders>
                  <w:noWrap w:val="0"/>
                  <w:vAlign w:val="center"/>
                </w:tcPr>
                <w:p w14:paraId="4D0E8E10">
                  <w:pPr>
                    <w:pStyle w:val="41"/>
                    <w:bidi w:val="0"/>
                    <w:rPr>
                      <w:rFonts w:hint="eastAsia"/>
                      <w:color w:val="auto"/>
                      <w:highlight w:val="none"/>
                      <w:lang w:val="en-US" w:eastAsia="zh-CN"/>
                    </w:rPr>
                  </w:pPr>
                  <w:r>
                    <w:rPr>
                      <w:rFonts w:hint="eastAsia"/>
                      <w:color w:val="auto"/>
                      <w:highlight w:val="none"/>
                      <w:lang w:val="en-US" w:eastAsia="zh-CN"/>
                    </w:rPr>
                    <w:t>天气</w:t>
                  </w:r>
                </w:p>
              </w:tc>
              <w:tc>
                <w:tcPr>
                  <w:tcW w:w="1611" w:type="pct"/>
                  <w:gridSpan w:val="2"/>
                  <w:tcBorders>
                    <w:tl2br w:val="nil"/>
                    <w:tr2bl w:val="nil"/>
                  </w:tcBorders>
                  <w:noWrap w:val="0"/>
                  <w:vAlign w:val="center"/>
                </w:tcPr>
                <w:p w14:paraId="262BE8D1">
                  <w:pPr>
                    <w:pStyle w:val="41"/>
                    <w:bidi w:val="0"/>
                    <w:rPr>
                      <w:rFonts w:hint="eastAsia"/>
                      <w:color w:val="auto"/>
                      <w:highlight w:val="none"/>
                      <w:lang w:eastAsia="zh-CN"/>
                    </w:rPr>
                  </w:pPr>
                  <w:r>
                    <w:rPr>
                      <w:rFonts w:hint="eastAsia"/>
                      <w:color w:val="auto"/>
                      <w:highlight w:val="none"/>
                      <w:lang w:val="en-US" w:eastAsia="zh-CN"/>
                    </w:rPr>
                    <w:t>风速（m/s）</w:t>
                  </w:r>
                </w:p>
              </w:tc>
            </w:tr>
            <w:tr w14:paraId="16942D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771" w:type="pct"/>
                  <w:gridSpan w:val="2"/>
                  <w:vMerge w:val="continue"/>
                  <w:tcBorders>
                    <w:tl2br w:val="nil"/>
                    <w:tr2bl w:val="nil"/>
                  </w:tcBorders>
                  <w:noWrap w:val="0"/>
                  <w:vAlign w:val="center"/>
                </w:tcPr>
                <w:p w14:paraId="4A9E281F">
                  <w:pPr>
                    <w:pStyle w:val="41"/>
                    <w:bidi w:val="0"/>
                    <w:rPr>
                      <w:rFonts w:hint="eastAsia"/>
                      <w:color w:val="auto"/>
                      <w:highlight w:val="none"/>
                      <w:lang w:val="en-US" w:eastAsia="zh-CN"/>
                    </w:rPr>
                  </w:pPr>
                </w:p>
              </w:tc>
              <w:tc>
                <w:tcPr>
                  <w:tcW w:w="928" w:type="pct"/>
                  <w:gridSpan w:val="2"/>
                  <w:tcBorders>
                    <w:tl2br w:val="nil"/>
                    <w:tr2bl w:val="nil"/>
                  </w:tcBorders>
                  <w:noWrap w:val="0"/>
                  <w:vAlign w:val="center"/>
                </w:tcPr>
                <w:p w14:paraId="63229EAE">
                  <w:pPr>
                    <w:pStyle w:val="41"/>
                    <w:bidi w:val="0"/>
                    <w:rPr>
                      <w:rFonts w:hint="eastAsia"/>
                      <w:color w:val="auto"/>
                      <w:highlight w:val="none"/>
                      <w:lang w:val="en-US" w:eastAsia="zh-CN"/>
                    </w:rPr>
                  </w:pPr>
                  <w:r>
                    <w:rPr>
                      <w:rFonts w:hint="eastAsia"/>
                      <w:color w:val="auto"/>
                      <w:highlight w:val="none"/>
                      <w:lang w:eastAsia="zh-CN"/>
                    </w:rPr>
                    <w:t>2024.11.04</w:t>
                  </w:r>
                </w:p>
              </w:tc>
              <w:tc>
                <w:tcPr>
                  <w:tcW w:w="688" w:type="pct"/>
                  <w:tcBorders>
                    <w:tl2br w:val="nil"/>
                    <w:tr2bl w:val="nil"/>
                  </w:tcBorders>
                  <w:noWrap w:val="0"/>
                  <w:vAlign w:val="center"/>
                </w:tcPr>
                <w:p w14:paraId="1B0FEBD2">
                  <w:pPr>
                    <w:pStyle w:val="41"/>
                    <w:bidi w:val="0"/>
                    <w:rPr>
                      <w:rFonts w:hint="default"/>
                      <w:color w:val="auto"/>
                      <w:highlight w:val="none"/>
                      <w:lang w:val="en-US" w:eastAsia="zh-CN"/>
                    </w:rPr>
                  </w:pPr>
                  <w:r>
                    <w:rPr>
                      <w:rFonts w:hint="eastAsia"/>
                      <w:color w:val="auto"/>
                      <w:highlight w:val="none"/>
                      <w:lang w:val="en-US" w:eastAsia="zh-CN"/>
                    </w:rPr>
                    <w:t>晴</w:t>
                  </w:r>
                </w:p>
              </w:tc>
              <w:tc>
                <w:tcPr>
                  <w:tcW w:w="1611" w:type="pct"/>
                  <w:gridSpan w:val="2"/>
                  <w:tcBorders>
                    <w:tl2br w:val="nil"/>
                    <w:tr2bl w:val="nil"/>
                  </w:tcBorders>
                  <w:noWrap w:val="0"/>
                  <w:vAlign w:val="center"/>
                </w:tcPr>
                <w:p w14:paraId="2CDD7BD3">
                  <w:pPr>
                    <w:pStyle w:val="41"/>
                    <w:bidi w:val="0"/>
                    <w:rPr>
                      <w:rFonts w:hint="default"/>
                      <w:color w:val="auto"/>
                      <w:highlight w:val="none"/>
                      <w:lang w:val="en-US" w:eastAsia="zh-CN"/>
                    </w:rPr>
                  </w:pPr>
                  <w:r>
                    <w:rPr>
                      <w:rFonts w:hint="eastAsia"/>
                      <w:color w:val="auto"/>
                      <w:highlight w:val="none"/>
                      <w:lang w:val="en-US" w:eastAsia="zh-CN"/>
                    </w:rPr>
                    <w:t>2.4</w:t>
                  </w:r>
                </w:p>
              </w:tc>
            </w:tr>
            <w:tr w14:paraId="0EF127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771" w:type="pct"/>
                  <w:gridSpan w:val="2"/>
                  <w:vMerge w:val="continue"/>
                  <w:tcBorders>
                    <w:tl2br w:val="nil"/>
                    <w:tr2bl w:val="nil"/>
                  </w:tcBorders>
                  <w:noWrap w:val="0"/>
                  <w:vAlign w:val="center"/>
                </w:tcPr>
                <w:p w14:paraId="59D1F533">
                  <w:pPr>
                    <w:pStyle w:val="41"/>
                    <w:bidi w:val="0"/>
                    <w:rPr>
                      <w:rFonts w:hint="eastAsia"/>
                      <w:color w:val="auto"/>
                      <w:highlight w:val="none"/>
                      <w:lang w:val="en-US" w:eastAsia="zh-CN"/>
                    </w:rPr>
                  </w:pPr>
                </w:p>
              </w:tc>
              <w:tc>
                <w:tcPr>
                  <w:tcW w:w="928" w:type="pct"/>
                  <w:gridSpan w:val="2"/>
                  <w:tcBorders>
                    <w:tl2br w:val="nil"/>
                    <w:tr2bl w:val="nil"/>
                  </w:tcBorders>
                  <w:noWrap w:val="0"/>
                  <w:vAlign w:val="center"/>
                </w:tcPr>
                <w:p w14:paraId="64CE627A">
                  <w:pPr>
                    <w:pStyle w:val="41"/>
                    <w:bidi w:val="0"/>
                    <w:rPr>
                      <w:rFonts w:hint="default"/>
                      <w:color w:val="auto"/>
                      <w:highlight w:val="none"/>
                      <w:lang w:val="en-US" w:eastAsia="zh-CN"/>
                    </w:rPr>
                  </w:pPr>
                  <w:r>
                    <w:rPr>
                      <w:rFonts w:hint="eastAsia"/>
                      <w:color w:val="auto"/>
                      <w:highlight w:val="none"/>
                      <w:lang w:eastAsia="zh-CN"/>
                    </w:rPr>
                    <w:t>2024.10.05</w:t>
                  </w:r>
                </w:p>
              </w:tc>
              <w:tc>
                <w:tcPr>
                  <w:tcW w:w="688" w:type="pct"/>
                  <w:tcBorders>
                    <w:tl2br w:val="nil"/>
                    <w:tr2bl w:val="nil"/>
                  </w:tcBorders>
                  <w:noWrap w:val="0"/>
                  <w:vAlign w:val="center"/>
                </w:tcPr>
                <w:p w14:paraId="6952197B">
                  <w:pPr>
                    <w:pStyle w:val="41"/>
                    <w:bidi w:val="0"/>
                    <w:rPr>
                      <w:rFonts w:hint="eastAsia"/>
                      <w:color w:val="auto"/>
                      <w:highlight w:val="none"/>
                      <w:lang w:val="en-US" w:eastAsia="zh-CN"/>
                    </w:rPr>
                  </w:pPr>
                  <w:r>
                    <w:rPr>
                      <w:rFonts w:hint="eastAsia"/>
                      <w:color w:val="auto"/>
                      <w:highlight w:val="none"/>
                      <w:lang w:val="en-US" w:eastAsia="zh-CN"/>
                    </w:rPr>
                    <w:t>晴</w:t>
                  </w:r>
                </w:p>
              </w:tc>
              <w:tc>
                <w:tcPr>
                  <w:tcW w:w="1611" w:type="pct"/>
                  <w:gridSpan w:val="2"/>
                  <w:tcBorders>
                    <w:tl2br w:val="nil"/>
                    <w:tr2bl w:val="nil"/>
                  </w:tcBorders>
                  <w:noWrap w:val="0"/>
                  <w:vAlign w:val="center"/>
                </w:tcPr>
                <w:p w14:paraId="09A984E5">
                  <w:pPr>
                    <w:pStyle w:val="41"/>
                    <w:bidi w:val="0"/>
                    <w:rPr>
                      <w:rFonts w:hint="default"/>
                      <w:color w:val="auto"/>
                      <w:highlight w:val="none"/>
                      <w:lang w:val="en-US" w:eastAsia="zh-CN"/>
                    </w:rPr>
                  </w:pPr>
                  <w:r>
                    <w:rPr>
                      <w:rFonts w:hint="eastAsia"/>
                      <w:color w:val="auto"/>
                      <w:highlight w:val="none"/>
                      <w:lang w:val="en-US" w:eastAsia="zh-CN"/>
                    </w:rPr>
                    <w:t>2.6</w:t>
                  </w:r>
                </w:p>
              </w:tc>
            </w:tr>
            <w:tr w14:paraId="5542C6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000" w:type="pct"/>
                  <w:gridSpan w:val="7"/>
                  <w:tcBorders>
                    <w:tl2br w:val="nil"/>
                    <w:tr2bl w:val="nil"/>
                  </w:tcBorders>
                  <w:noWrap w:val="0"/>
                  <w:vAlign w:val="center"/>
                </w:tcPr>
                <w:p w14:paraId="5E2711DC">
                  <w:pPr>
                    <w:pStyle w:val="41"/>
                    <w:bidi w:val="0"/>
                    <w:rPr>
                      <w:rFonts w:hint="default"/>
                      <w:color w:val="auto"/>
                      <w:highlight w:val="none"/>
                      <w:lang w:val="en-US" w:eastAsia="zh-CN"/>
                    </w:rPr>
                  </w:pPr>
                  <w:r>
                    <w:rPr>
                      <w:rFonts w:hint="eastAsia"/>
                      <w:color w:val="auto"/>
                      <w:highlight w:val="none"/>
                      <w:lang w:val="en-US" w:eastAsia="zh-CN"/>
                    </w:rPr>
                    <w:t>备注：排放限值为《工业企业厂界环境噪声排放标准》（GB12348-2008）中2类标准</w:t>
                  </w:r>
                </w:p>
              </w:tc>
            </w:tr>
          </w:tbl>
          <w:p w14:paraId="66FED139">
            <w:pPr>
              <w:pStyle w:val="41"/>
              <w:bidi w:val="0"/>
              <w:rPr>
                <w:rFonts w:hint="eastAsia"/>
                <w:lang w:val="en-US" w:eastAsia="zh-CN"/>
              </w:rPr>
            </w:pPr>
          </w:p>
          <w:p w14:paraId="2F124D3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val="en-US" w:eastAsia="zh-CN"/>
              </w:rPr>
            </w:pPr>
            <w:r>
              <w:rPr>
                <w:rFonts w:hint="eastAsia"/>
                <w:b/>
                <w:bCs/>
                <w:lang w:val="en-US" w:eastAsia="zh-CN"/>
              </w:rPr>
              <w:t>4）固体废物</w:t>
            </w:r>
          </w:p>
          <w:p w14:paraId="3BE528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val="en-US" w:eastAsia="zh-CN"/>
              </w:rPr>
              <w:t>现有项目</w:t>
            </w:r>
            <w:r>
              <w:t>产生的</w:t>
            </w:r>
            <w:r>
              <w:rPr>
                <w:rFonts w:hint="eastAsia"/>
              </w:rPr>
              <w:t>固体废物</w:t>
            </w:r>
            <w:r>
              <w:t>包括</w:t>
            </w:r>
            <w:r>
              <w:rPr>
                <w:rFonts w:hint="eastAsia"/>
              </w:rPr>
              <w:t>一般固体废物、危险废物和职工办公生活产生的生活垃圾。一般固体废物包括</w:t>
            </w:r>
            <w:r>
              <w:rPr>
                <w:rFonts w:hint="eastAsia"/>
                <w:lang w:val="en-US" w:eastAsia="zh-CN"/>
              </w:rPr>
              <w:t>废药渣及中药材粉末、废滤芯、废包装材料</w:t>
            </w:r>
            <w:r>
              <w:rPr>
                <w:rFonts w:hint="eastAsia"/>
              </w:rPr>
              <w:t>；危险废物包括</w:t>
            </w:r>
            <w:r>
              <w:rPr>
                <w:rFonts w:hint="eastAsia"/>
                <w:lang w:val="en-US" w:eastAsia="zh-CN"/>
              </w:rPr>
              <w:t>废液及废料</w:t>
            </w:r>
            <w:r>
              <w:rPr>
                <w:rFonts w:hint="eastAsia"/>
                <w:lang w:eastAsia="zh-CN"/>
              </w:rPr>
              <w:t>、</w:t>
            </w:r>
            <w:r>
              <w:rPr>
                <w:rFonts w:hint="eastAsia"/>
                <w:lang w:val="en-US" w:eastAsia="zh-CN"/>
              </w:rPr>
              <w:t>报废药品及过期原辅料、废实验用品、废试剂包装、废过滤器、污水处理站污泥、废活性炭</w:t>
            </w:r>
            <w:r>
              <w:rPr>
                <w:rFonts w:hint="eastAsia"/>
              </w:rPr>
              <w:t>。</w:t>
            </w:r>
            <w:r>
              <w:rPr>
                <w:rFonts w:hint="eastAsia"/>
                <w:lang w:val="en-US" w:eastAsia="zh-CN"/>
              </w:rPr>
              <w:t>现有项目</w:t>
            </w:r>
            <w:r>
              <w:rPr>
                <w:rFonts w:hint="eastAsia"/>
                <w:lang w:eastAsia="zh-CN"/>
              </w:rPr>
              <w:t>固体废物产生及处置情况汇总见</w:t>
            </w:r>
            <w:r>
              <w:rPr>
                <w:rFonts w:hint="eastAsia"/>
                <w:lang w:val="en-US" w:eastAsia="zh-CN"/>
              </w:rPr>
              <w:t>下</w:t>
            </w:r>
            <w:r>
              <w:rPr>
                <w:rFonts w:hint="eastAsia"/>
                <w:lang w:eastAsia="zh-CN"/>
              </w:rPr>
              <w:t>表。</w:t>
            </w:r>
          </w:p>
          <w:p w14:paraId="35DF159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p>
          <w:p w14:paraId="131E3669">
            <w:pPr>
              <w:pStyle w:val="44"/>
              <w:bidi w:val="0"/>
              <w:rPr>
                <w:rStyle w:val="169"/>
                <w:rFonts w:hint="default"/>
                <w:lang w:val="en-US" w:eastAsia="zh-CN"/>
              </w:rPr>
            </w:pPr>
            <w:r>
              <w:rPr>
                <w:rStyle w:val="169"/>
                <w:rFonts w:hint="eastAsia"/>
                <w:lang w:val="en-US" w:eastAsia="zh-CN"/>
              </w:rPr>
              <w:t>现有项目固体废物产生及处理处置情况一览表（含在建项目）</w:t>
            </w:r>
          </w:p>
          <w:tbl>
            <w:tblPr>
              <w:tblStyle w:val="32"/>
              <w:tblW w:w="779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552"/>
              <w:gridCol w:w="803"/>
              <w:gridCol w:w="739"/>
              <w:gridCol w:w="933"/>
              <w:gridCol w:w="1089"/>
              <w:gridCol w:w="1250"/>
              <w:gridCol w:w="1430"/>
            </w:tblGrid>
            <w:tr w14:paraId="2E40CD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552" w:type="dxa"/>
                  <w:vMerge w:val="restart"/>
                  <w:tcBorders>
                    <w:right w:val="single" w:color="auto" w:sz="6" w:space="0"/>
                  </w:tcBorders>
                  <w:vAlign w:val="center"/>
                </w:tcPr>
                <w:p w14:paraId="115292AF">
                  <w:pPr>
                    <w:pStyle w:val="41"/>
                    <w:bidi w:val="0"/>
                    <w:rPr>
                      <w:b/>
                      <w:bCs/>
                    </w:rPr>
                  </w:pPr>
                  <w:r>
                    <w:rPr>
                      <w:b/>
                      <w:bCs/>
                    </w:rPr>
                    <w:t>固废名称</w:t>
                  </w:r>
                </w:p>
              </w:tc>
              <w:tc>
                <w:tcPr>
                  <w:tcW w:w="803" w:type="dxa"/>
                  <w:vMerge w:val="restart"/>
                  <w:tcBorders>
                    <w:left w:val="single" w:color="auto" w:sz="6" w:space="0"/>
                    <w:right w:val="single" w:color="auto" w:sz="6" w:space="0"/>
                  </w:tcBorders>
                  <w:vAlign w:val="center"/>
                </w:tcPr>
                <w:p w14:paraId="606A6D3C">
                  <w:pPr>
                    <w:pStyle w:val="41"/>
                    <w:bidi w:val="0"/>
                    <w:rPr>
                      <w:b/>
                      <w:bCs/>
                    </w:rPr>
                  </w:pPr>
                  <w:r>
                    <w:rPr>
                      <w:b/>
                      <w:bCs/>
                    </w:rPr>
                    <w:t>属性</w:t>
                  </w:r>
                </w:p>
              </w:tc>
              <w:tc>
                <w:tcPr>
                  <w:tcW w:w="739" w:type="dxa"/>
                  <w:vMerge w:val="restart"/>
                  <w:tcBorders>
                    <w:left w:val="single" w:color="auto" w:sz="6" w:space="0"/>
                    <w:right w:val="single" w:color="auto" w:sz="6" w:space="0"/>
                  </w:tcBorders>
                  <w:vAlign w:val="center"/>
                </w:tcPr>
                <w:p w14:paraId="44698A7E">
                  <w:pPr>
                    <w:pStyle w:val="41"/>
                    <w:bidi w:val="0"/>
                    <w:rPr>
                      <w:b/>
                      <w:bCs/>
                    </w:rPr>
                  </w:pPr>
                  <w:r>
                    <w:rPr>
                      <w:b/>
                      <w:bCs/>
                    </w:rPr>
                    <w:t>形态</w:t>
                  </w:r>
                </w:p>
              </w:tc>
              <w:tc>
                <w:tcPr>
                  <w:tcW w:w="3272" w:type="dxa"/>
                  <w:gridSpan w:val="3"/>
                  <w:tcBorders>
                    <w:left w:val="single" w:color="auto" w:sz="6" w:space="0"/>
                  </w:tcBorders>
                  <w:vAlign w:val="center"/>
                </w:tcPr>
                <w:p w14:paraId="11417D46">
                  <w:pPr>
                    <w:pStyle w:val="41"/>
                    <w:bidi w:val="0"/>
                    <w:rPr>
                      <w:rFonts w:hint="eastAsia"/>
                      <w:b/>
                      <w:bCs/>
                    </w:rPr>
                  </w:pPr>
                  <w:r>
                    <w:rPr>
                      <w:rFonts w:hint="eastAsia"/>
                      <w:b/>
                      <w:bCs/>
                    </w:rPr>
                    <w:t>产生量（t/a）</w:t>
                  </w:r>
                </w:p>
              </w:tc>
              <w:tc>
                <w:tcPr>
                  <w:tcW w:w="1430" w:type="dxa"/>
                  <w:vMerge w:val="restart"/>
                  <w:tcBorders>
                    <w:left w:val="single" w:color="auto" w:sz="6" w:space="0"/>
                  </w:tcBorders>
                  <w:vAlign w:val="center"/>
                </w:tcPr>
                <w:p w14:paraId="65098DA9">
                  <w:pPr>
                    <w:pStyle w:val="41"/>
                    <w:bidi w:val="0"/>
                    <w:rPr>
                      <w:b/>
                      <w:bCs/>
                    </w:rPr>
                  </w:pPr>
                  <w:r>
                    <w:rPr>
                      <w:b/>
                      <w:bCs/>
                    </w:rPr>
                    <w:t>处理处置方式</w:t>
                  </w:r>
                </w:p>
              </w:tc>
            </w:tr>
            <w:tr w14:paraId="22A971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552" w:type="dxa"/>
                  <w:vMerge w:val="continue"/>
                  <w:tcBorders>
                    <w:right w:val="single" w:color="auto" w:sz="6" w:space="0"/>
                  </w:tcBorders>
                  <w:vAlign w:val="center"/>
                </w:tcPr>
                <w:p w14:paraId="5BDF5D3C">
                  <w:pPr>
                    <w:pStyle w:val="41"/>
                    <w:bidi w:val="0"/>
                  </w:pPr>
                </w:p>
              </w:tc>
              <w:tc>
                <w:tcPr>
                  <w:tcW w:w="803" w:type="dxa"/>
                  <w:vMerge w:val="continue"/>
                  <w:tcBorders>
                    <w:left w:val="single" w:color="auto" w:sz="6" w:space="0"/>
                    <w:right w:val="single" w:color="auto" w:sz="6" w:space="0"/>
                  </w:tcBorders>
                  <w:vAlign w:val="center"/>
                </w:tcPr>
                <w:p w14:paraId="7E376A57">
                  <w:pPr>
                    <w:pStyle w:val="41"/>
                    <w:bidi w:val="0"/>
                  </w:pPr>
                </w:p>
              </w:tc>
              <w:tc>
                <w:tcPr>
                  <w:tcW w:w="739" w:type="dxa"/>
                  <w:vMerge w:val="continue"/>
                  <w:tcBorders>
                    <w:left w:val="single" w:color="auto" w:sz="6" w:space="0"/>
                    <w:right w:val="single" w:color="auto" w:sz="6" w:space="0"/>
                  </w:tcBorders>
                  <w:vAlign w:val="center"/>
                </w:tcPr>
                <w:p w14:paraId="54ADD69A">
                  <w:pPr>
                    <w:pStyle w:val="41"/>
                    <w:bidi w:val="0"/>
                  </w:pPr>
                </w:p>
              </w:tc>
              <w:tc>
                <w:tcPr>
                  <w:tcW w:w="933" w:type="dxa"/>
                  <w:tcBorders>
                    <w:left w:val="single" w:color="auto" w:sz="6" w:space="0"/>
                    <w:right w:val="single" w:color="auto" w:sz="6" w:space="0"/>
                  </w:tcBorders>
                  <w:vAlign w:val="center"/>
                </w:tcPr>
                <w:p w14:paraId="308AE6EC">
                  <w:pPr>
                    <w:pStyle w:val="41"/>
                    <w:bidi w:val="0"/>
                    <w:rPr>
                      <w:rFonts w:hint="default"/>
                      <w:b/>
                      <w:bCs/>
                      <w:lang w:val="en-US" w:eastAsia="zh-CN"/>
                    </w:rPr>
                  </w:pPr>
                  <w:r>
                    <w:rPr>
                      <w:rFonts w:hint="eastAsia"/>
                      <w:b/>
                      <w:bCs/>
                      <w:lang w:val="en-US" w:eastAsia="zh-CN"/>
                    </w:rPr>
                    <w:t>已批已验项目</w:t>
                  </w:r>
                </w:p>
              </w:tc>
              <w:tc>
                <w:tcPr>
                  <w:tcW w:w="1089" w:type="dxa"/>
                  <w:tcBorders>
                    <w:left w:val="single" w:color="auto" w:sz="6" w:space="0"/>
                    <w:right w:val="single" w:color="auto" w:sz="6" w:space="0"/>
                  </w:tcBorders>
                  <w:vAlign w:val="center"/>
                </w:tcPr>
                <w:p w14:paraId="1E875C36">
                  <w:pPr>
                    <w:pStyle w:val="41"/>
                    <w:bidi w:val="0"/>
                    <w:rPr>
                      <w:rFonts w:hint="default"/>
                      <w:b/>
                      <w:bCs/>
                      <w:lang w:val="en-US" w:eastAsia="zh-CN"/>
                    </w:rPr>
                  </w:pPr>
                  <w:r>
                    <w:rPr>
                      <w:rFonts w:hint="eastAsia"/>
                      <w:b/>
                      <w:bCs/>
                      <w:lang w:val="en-US" w:eastAsia="zh-CN"/>
                    </w:rPr>
                    <w:t>已批在建项目</w:t>
                  </w:r>
                </w:p>
              </w:tc>
              <w:tc>
                <w:tcPr>
                  <w:tcW w:w="1250" w:type="dxa"/>
                  <w:tcBorders>
                    <w:left w:val="single" w:color="auto" w:sz="6" w:space="0"/>
                  </w:tcBorders>
                  <w:vAlign w:val="center"/>
                </w:tcPr>
                <w:p w14:paraId="67E7A057">
                  <w:pPr>
                    <w:pStyle w:val="41"/>
                    <w:bidi w:val="0"/>
                    <w:rPr>
                      <w:rFonts w:hint="default"/>
                      <w:b/>
                      <w:bCs/>
                      <w:lang w:val="en-US" w:eastAsia="zh-CN"/>
                    </w:rPr>
                  </w:pPr>
                  <w:r>
                    <w:rPr>
                      <w:rFonts w:hint="eastAsia"/>
                      <w:b/>
                      <w:bCs/>
                      <w:lang w:val="en-US" w:eastAsia="zh-CN"/>
                    </w:rPr>
                    <w:t>全厂</w:t>
                  </w:r>
                </w:p>
              </w:tc>
              <w:tc>
                <w:tcPr>
                  <w:tcW w:w="1430" w:type="dxa"/>
                  <w:vMerge w:val="continue"/>
                  <w:tcBorders>
                    <w:left w:val="single" w:color="auto" w:sz="6" w:space="0"/>
                  </w:tcBorders>
                  <w:vAlign w:val="center"/>
                </w:tcPr>
                <w:p w14:paraId="45A135EB">
                  <w:pPr>
                    <w:pStyle w:val="41"/>
                    <w:bidi w:val="0"/>
                    <w:rPr>
                      <w:rFonts w:hint="eastAsia"/>
                    </w:rPr>
                  </w:pPr>
                </w:p>
              </w:tc>
            </w:tr>
            <w:tr w14:paraId="7BA32B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552" w:type="dxa"/>
                  <w:tcBorders>
                    <w:right w:val="single" w:color="auto" w:sz="6" w:space="0"/>
                  </w:tcBorders>
                  <w:vAlign w:val="center"/>
                </w:tcPr>
                <w:p w14:paraId="47EDA192">
                  <w:pPr>
                    <w:pStyle w:val="41"/>
                    <w:bidi w:val="0"/>
                    <w:rPr>
                      <w:rFonts w:hint="default"/>
                      <w:lang w:val="en-US" w:eastAsia="zh-CN"/>
                    </w:rPr>
                  </w:pPr>
                  <w:r>
                    <w:rPr>
                      <w:rFonts w:hint="eastAsia"/>
                      <w:lang w:val="en-US" w:eastAsia="zh-CN"/>
                    </w:rPr>
                    <w:t>废药渣及中药材粉末</w:t>
                  </w:r>
                </w:p>
              </w:tc>
              <w:tc>
                <w:tcPr>
                  <w:tcW w:w="803" w:type="dxa"/>
                  <w:vMerge w:val="restart"/>
                  <w:tcBorders>
                    <w:left w:val="single" w:color="auto" w:sz="6" w:space="0"/>
                    <w:right w:val="single" w:color="auto" w:sz="6" w:space="0"/>
                  </w:tcBorders>
                  <w:vAlign w:val="center"/>
                </w:tcPr>
                <w:p w14:paraId="6B34A9C6">
                  <w:pPr>
                    <w:pStyle w:val="41"/>
                    <w:bidi w:val="0"/>
                  </w:pPr>
                  <w:r>
                    <w:t>一般固废</w:t>
                  </w:r>
                </w:p>
              </w:tc>
              <w:tc>
                <w:tcPr>
                  <w:tcW w:w="739" w:type="dxa"/>
                  <w:tcBorders>
                    <w:left w:val="single" w:color="auto" w:sz="6" w:space="0"/>
                    <w:right w:val="single" w:color="auto" w:sz="6" w:space="0"/>
                  </w:tcBorders>
                  <w:vAlign w:val="center"/>
                </w:tcPr>
                <w:p w14:paraId="2911C3B1">
                  <w:pPr>
                    <w:pStyle w:val="41"/>
                    <w:bidi w:val="0"/>
                  </w:pPr>
                  <w:r>
                    <w:rPr>
                      <w:rFonts w:hint="eastAsia"/>
                    </w:rPr>
                    <w:t>固</w:t>
                  </w:r>
                </w:p>
              </w:tc>
              <w:tc>
                <w:tcPr>
                  <w:tcW w:w="933" w:type="dxa"/>
                  <w:tcBorders>
                    <w:left w:val="single" w:color="auto" w:sz="6" w:space="0"/>
                    <w:right w:val="single" w:color="auto" w:sz="6" w:space="0"/>
                  </w:tcBorders>
                  <w:vAlign w:val="center"/>
                </w:tcPr>
                <w:p w14:paraId="0145A440">
                  <w:pPr>
                    <w:pStyle w:val="41"/>
                    <w:bidi w:val="0"/>
                    <w:rPr>
                      <w:rFonts w:hint="default"/>
                      <w:lang w:val="en-US" w:eastAsia="zh-CN"/>
                    </w:rPr>
                  </w:pPr>
                  <w:r>
                    <w:rPr>
                      <w:rFonts w:hint="eastAsia"/>
                      <w:lang w:val="en-US" w:eastAsia="zh-CN"/>
                    </w:rPr>
                    <w:t>0.2</w:t>
                  </w:r>
                </w:p>
              </w:tc>
              <w:tc>
                <w:tcPr>
                  <w:tcW w:w="1089" w:type="dxa"/>
                  <w:tcBorders>
                    <w:left w:val="single" w:color="auto" w:sz="6" w:space="0"/>
                    <w:right w:val="single" w:color="auto" w:sz="6" w:space="0"/>
                  </w:tcBorders>
                  <w:vAlign w:val="center"/>
                </w:tcPr>
                <w:p w14:paraId="219C7081">
                  <w:pPr>
                    <w:pStyle w:val="41"/>
                    <w:bidi w:val="0"/>
                    <w:rPr>
                      <w:rFonts w:hint="default"/>
                      <w:lang w:val="en-US" w:eastAsia="zh-CN"/>
                    </w:rPr>
                  </w:pPr>
                  <w:r>
                    <w:rPr>
                      <w:rFonts w:hint="eastAsia"/>
                      <w:lang w:val="en-US" w:eastAsia="zh-CN"/>
                    </w:rPr>
                    <w:t>0</w:t>
                  </w:r>
                </w:p>
              </w:tc>
              <w:tc>
                <w:tcPr>
                  <w:tcW w:w="1250" w:type="dxa"/>
                  <w:tcBorders>
                    <w:left w:val="single" w:color="auto" w:sz="6" w:space="0"/>
                  </w:tcBorders>
                  <w:vAlign w:val="center"/>
                </w:tcPr>
                <w:p w14:paraId="717B8972">
                  <w:pPr>
                    <w:pStyle w:val="41"/>
                    <w:bidi w:val="0"/>
                    <w:rPr>
                      <w:rFonts w:hint="default"/>
                      <w:lang w:val="en-US" w:eastAsia="zh-CN"/>
                    </w:rPr>
                  </w:pPr>
                  <w:r>
                    <w:rPr>
                      <w:rFonts w:hint="eastAsia"/>
                      <w:lang w:val="en-US" w:eastAsia="zh-CN"/>
                    </w:rPr>
                    <w:t>0.2</w:t>
                  </w:r>
                </w:p>
              </w:tc>
              <w:tc>
                <w:tcPr>
                  <w:tcW w:w="1430" w:type="dxa"/>
                  <w:tcBorders>
                    <w:left w:val="single" w:color="auto" w:sz="6" w:space="0"/>
                  </w:tcBorders>
                  <w:vAlign w:val="center"/>
                </w:tcPr>
                <w:p w14:paraId="65BF20F8">
                  <w:pPr>
                    <w:pStyle w:val="41"/>
                    <w:bidi w:val="0"/>
                    <w:rPr>
                      <w:rFonts w:hint="default"/>
                      <w:lang w:val="en-US" w:eastAsia="zh-CN"/>
                    </w:rPr>
                  </w:pPr>
                  <w:r>
                    <w:rPr>
                      <w:rFonts w:hint="eastAsia"/>
                      <w:lang w:val="en-US" w:eastAsia="zh-CN"/>
                    </w:rPr>
                    <w:t>园区绿化</w:t>
                  </w:r>
                </w:p>
              </w:tc>
            </w:tr>
            <w:tr w14:paraId="341B09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552" w:type="dxa"/>
                  <w:tcBorders>
                    <w:right w:val="single" w:color="auto" w:sz="6" w:space="0"/>
                  </w:tcBorders>
                  <w:vAlign w:val="center"/>
                </w:tcPr>
                <w:p w14:paraId="046AAE14">
                  <w:pPr>
                    <w:pStyle w:val="41"/>
                    <w:bidi w:val="0"/>
                    <w:rPr>
                      <w:rFonts w:hint="eastAsia"/>
                      <w:lang w:val="en-US" w:eastAsia="zh-CN"/>
                    </w:rPr>
                  </w:pPr>
                  <w:r>
                    <w:rPr>
                      <w:rFonts w:hint="eastAsia"/>
                      <w:lang w:val="en-US" w:eastAsia="zh-CN"/>
                    </w:rPr>
                    <w:t>废滤芯</w:t>
                  </w:r>
                </w:p>
              </w:tc>
              <w:tc>
                <w:tcPr>
                  <w:tcW w:w="803" w:type="dxa"/>
                  <w:vMerge w:val="continue"/>
                  <w:tcBorders>
                    <w:left w:val="single" w:color="auto" w:sz="6" w:space="0"/>
                    <w:right w:val="single" w:color="auto" w:sz="6" w:space="0"/>
                  </w:tcBorders>
                  <w:vAlign w:val="center"/>
                </w:tcPr>
                <w:p w14:paraId="5CC9E22E">
                  <w:pPr>
                    <w:pStyle w:val="41"/>
                    <w:bidi w:val="0"/>
                  </w:pPr>
                </w:p>
              </w:tc>
              <w:tc>
                <w:tcPr>
                  <w:tcW w:w="739" w:type="dxa"/>
                  <w:tcBorders>
                    <w:left w:val="single" w:color="auto" w:sz="6" w:space="0"/>
                    <w:right w:val="single" w:color="auto" w:sz="6" w:space="0"/>
                  </w:tcBorders>
                  <w:vAlign w:val="center"/>
                </w:tcPr>
                <w:p w14:paraId="7356981E">
                  <w:pPr>
                    <w:pStyle w:val="41"/>
                    <w:bidi w:val="0"/>
                    <w:rPr>
                      <w:rFonts w:hint="eastAsia"/>
                      <w:lang w:val="en-US" w:eastAsia="zh-CN"/>
                    </w:rPr>
                  </w:pPr>
                  <w:r>
                    <w:rPr>
                      <w:rFonts w:hint="eastAsia"/>
                      <w:lang w:val="en-US" w:eastAsia="zh-CN"/>
                    </w:rPr>
                    <w:t>固</w:t>
                  </w:r>
                </w:p>
              </w:tc>
              <w:tc>
                <w:tcPr>
                  <w:tcW w:w="933" w:type="dxa"/>
                  <w:tcBorders>
                    <w:left w:val="single" w:color="auto" w:sz="6" w:space="0"/>
                    <w:right w:val="single" w:color="auto" w:sz="6" w:space="0"/>
                  </w:tcBorders>
                  <w:vAlign w:val="center"/>
                </w:tcPr>
                <w:p w14:paraId="6C63DF4A">
                  <w:pPr>
                    <w:pStyle w:val="41"/>
                    <w:bidi w:val="0"/>
                    <w:rPr>
                      <w:rFonts w:hint="default"/>
                      <w:lang w:val="en-US" w:eastAsia="zh-CN"/>
                    </w:rPr>
                  </w:pPr>
                  <w:r>
                    <w:rPr>
                      <w:rFonts w:hint="eastAsia"/>
                      <w:lang w:val="en-US" w:eastAsia="zh-CN"/>
                    </w:rPr>
                    <w:t>0.02</w:t>
                  </w:r>
                </w:p>
              </w:tc>
              <w:tc>
                <w:tcPr>
                  <w:tcW w:w="1089" w:type="dxa"/>
                  <w:tcBorders>
                    <w:left w:val="single" w:color="auto" w:sz="6" w:space="0"/>
                    <w:right w:val="single" w:color="auto" w:sz="6" w:space="0"/>
                  </w:tcBorders>
                  <w:vAlign w:val="center"/>
                </w:tcPr>
                <w:p w14:paraId="565588FF">
                  <w:pPr>
                    <w:pStyle w:val="41"/>
                    <w:bidi w:val="0"/>
                    <w:rPr>
                      <w:rFonts w:hint="default"/>
                      <w:lang w:val="en-US" w:eastAsia="zh-CN"/>
                    </w:rPr>
                  </w:pPr>
                  <w:r>
                    <w:rPr>
                      <w:rFonts w:hint="eastAsia"/>
                      <w:lang w:val="en-US" w:eastAsia="zh-CN"/>
                    </w:rPr>
                    <w:t>0</w:t>
                  </w:r>
                </w:p>
              </w:tc>
              <w:tc>
                <w:tcPr>
                  <w:tcW w:w="1250" w:type="dxa"/>
                  <w:tcBorders>
                    <w:left w:val="single" w:color="auto" w:sz="6" w:space="0"/>
                  </w:tcBorders>
                  <w:vAlign w:val="center"/>
                </w:tcPr>
                <w:p w14:paraId="26980D81">
                  <w:pPr>
                    <w:pStyle w:val="41"/>
                    <w:bidi w:val="0"/>
                    <w:rPr>
                      <w:rFonts w:hint="eastAsia"/>
                      <w:lang w:val="en-US" w:eastAsia="zh-CN"/>
                    </w:rPr>
                  </w:pPr>
                  <w:r>
                    <w:rPr>
                      <w:rFonts w:hint="eastAsia"/>
                      <w:lang w:val="en-US" w:eastAsia="zh-CN"/>
                    </w:rPr>
                    <w:t>0.02</w:t>
                  </w:r>
                </w:p>
              </w:tc>
              <w:tc>
                <w:tcPr>
                  <w:tcW w:w="1430" w:type="dxa"/>
                  <w:vMerge w:val="restart"/>
                  <w:tcBorders>
                    <w:left w:val="single" w:color="auto" w:sz="6" w:space="0"/>
                  </w:tcBorders>
                  <w:vAlign w:val="center"/>
                </w:tcPr>
                <w:p w14:paraId="6EC97D9C">
                  <w:pPr>
                    <w:pStyle w:val="41"/>
                    <w:bidi w:val="0"/>
                    <w:rPr>
                      <w:rFonts w:hint="eastAsia"/>
                      <w:lang w:val="en-US" w:eastAsia="zh-CN"/>
                    </w:rPr>
                  </w:pPr>
                  <w:r>
                    <w:rPr>
                      <w:rFonts w:hint="eastAsia"/>
                      <w:lang w:val="en-US" w:eastAsia="zh-CN"/>
                    </w:rPr>
                    <w:t>环卫清运</w:t>
                  </w:r>
                </w:p>
              </w:tc>
            </w:tr>
            <w:tr w14:paraId="3EC1DB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552" w:type="dxa"/>
                  <w:tcBorders>
                    <w:right w:val="single" w:color="auto" w:sz="6" w:space="0"/>
                  </w:tcBorders>
                  <w:vAlign w:val="center"/>
                </w:tcPr>
                <w:p w14:paraId="27C40D1E">
                  <w:pPr>
                    <w:pStyle w:val="41"/>
                    <w:bidi w:val="0"/>
                    <w:rPr>
                      <w:rFonts w:hint="eastAsia"/>
                      <w:lang w:val="en-US" w:eastAsia="zh-CN"/>
                    </w:rPr>
                  </w:pPr>
                  <w:r>
                    <w:rPr>
                      <w:rFonts w:hint="eastAsia"/>
                      <w:lang w:val="en-US" w:eastAsia="zh-CN"/>
                    </w:rPr>
                    <w:t>废包装材料</w:t>
                  </w:r>
                </w:p>
              </w:tc>
              <w:tc>
                <w:tcPr>
                  <w:tcW w:w="803" w:type="dxa"/>
                  <w:vMerge w:val="continue"/>
                  <w:tcBorders>
                    <w:left w:val="single" w:color="auto" w:sz="6" w:space="0"/>
                    <w:right w:val="single" w:color="auto" w:sz="6" w:space="0"/>
                  </w:tcBorders>
                  <w:vAlign w:val="center"/>
                </w:tcPr>
                <w:p w14:paraId="388E7650">
                  <w:pPr>
                    <w:pStyle w:val="41"/>
                    <w:bidi w:val="0"/>
                  </w:pPr>
                </w:p>
              </w:tc>
              <w:tc>
                <w:tcPr>
                  <w:tcW w:w="739" w:type="dxa"/>
                  <w:tcBorders>
                    <w:left w:val="single" w:color="auto" w:sz="6" w:space="0"/>
                    <w:right w:val="single" w:color="auto" w:sz="6" w:space="0"/>
                  </w:tcBorders>
                  <w:vAlign w:val="center"/>
                </w:tcPr>
                <w:p w14:paraId="24D43048">
                  <w:pPr>
                    <w:pStyle w:val="41"/>
                    <w:bidi w:val="0"/>
                    <w:rPr>
                      <w:rFonts w:hint="eastAsia"/>
                      <w:lang w:val="en-US" w:eastAsia="zh-CN"/>
                    </w:rPr>
                  </w:pPr>
                  <w:r>
                    <w:rPr>
                      <w:rFonts w:hint="eastAsia"/>
                      <w:lang w:val="en-US" w:eastAsia="zh-CN"/>
                    </w:rPr>
                    <w:t>固</w:t>
                  </w:r>
                </w:p>
              </w:tc>
              <w:tc>
                <w:tcPr>
                  <w:tcW w:w="933" w:type="dxa"/>
                  <w:tcBorders>
                    <w:left w:val="single" w:color="auto" w:sz="6" w:space="0"/>
                    <w:right w:val="single" w:color="auto" w:sz="6" w:space="0"/>
                  </w:tcBorders>
                  <w:vAlign w:val="center"/>
                </w:tcPr>
                <w:p w14:paraId="0D142680">
                  <w:pPr>
                    <w:pStyle w:val="41"/>
                    <w:bidi w:val="0"/>
                    <w:rPr>
                      <w:rFonts w:hint="default"/>
                      <w:lang w:val="en-US" w:eastAsia="zh-CN"/>
                    </w:rPr>
                  </w:pPr>
                  <w:r>
                    <w:rPr>
                      <w:rFonts w:hint="eastAsia"/>
                      <w:lang w:val="en-US" w:eastAsia="zh-CN"/>
                    </w:rPr>
                    <w:t>0.5</w:t>
                  </w:r>
                </w:p>
              </w:tc>
              <w:tc>
                <w:tcPr>
                  <w:tcW w:w="1089" w:type="dxa"/>
                  <w:tcBorders>
                    <w:left w:val="single" w:color="auto" w:sz="6" w:space="0"/>
                    <w:right w:val="single" w:color="auto" w:sz="6" w:space="0"/>
                  </w:tcBorders>
                  <w:vAlign w:val="center"/>
                </w:tcPr>
                <w:p w14:paraId="127B1E7E">
                  <w:pPr>
                    <w:pStyle w:val="41"/>
                    <w:bidi w:val="0"/>
                    <w:rPr>
                      <w:rFonts w:hint="default"/>
                      <w:lang w:val="en-US" w:eastAsia="zh-CN"/>
                    </w:rPr>
                  </w:pPr>
                  <w:r>
                    <w:rPr>
                      <w:rFonts w:hint="eastAsia"/>
                      <w:lang w:val="en-US" w:eastAsia="zh-CN"/>
                    </w:rPr>
                    <w:t>0</w:t>
                  </w:r>
                </w:p>
              </w:tc>
              <w:tc>
                <w:tcPr>
                  <w:tcW w:w="1250" w:type="dxa"/>
                  <w:tcBorders>
                    <w:left w:val="single" w:color="auto" w:sz="6" w:space="0"/>
                  </w:tcBorders>
                  <w:vAlign w:val="center"/>
                </w:tcPr>
                <w:p w14:paraId="6FFA411D">
                  <w:pPr>
                    <w:pStyle w:val="41"/>
                    <w:bidi w:val="0"/>
                    <w:rPr>
                      <w:rFonts w:hint="eastAsia"/>
                      <w:lang w:val="en-US" w:eastAsia="zh-CN"/>
                    </w:rPr>
                  </w:pPr>
                  <w:r>
                    <w:rPr>
                      <w:rFonts w:hint="eastAsia"/>
                      <w:lang w:val="en-US" w:eastAsia="zh-CN"/>
                    </w:rPr>
                    <w:t>0.5</w:t>
                  </w:r>
                </w:p>
              </w:tc>
              <w:tc>
                <w:tcPr>
                  <w:tcW w:w="1430" w:type="dxa"/>
                  <w:vMerge w:val="continue"/>
                  <w:tcBorders>
                    <w:left w:val="single" w:color="auto" w:sz="6" w:space="0"/>
                  </w:tcBorders>
                  <w:vAlign w:val="center"/>
                </w:tcPr>
                <w:p w14:paraId="1B76792D">
                  <w:pPr>
                    <w:pStyle w:val="41"/>
                    <w:bidi w:val="0"/>
                    <w:rPr>
                      <w:rFonts w:hint="eastAsia"/>
                    </w:rPr>
                  </w:pPr>
                </w:p>
              </w:tc>
            </w:tr>
            <w:tr w14:paraId="3E4EA9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552" w:type="dxa"/>
                  <w:tcBorders>
                    <w:right w:val="single" w:color="auto" w:sz="6" w:space="0"/>
                  </w:tcBorders>
                  <w:vAlign w:val="center"/>
                </w:tcPr>
                <w:p w14:paraId="6FD8AA55">
                  <w:pPr>
                    <w:pStyle w:val="41"/>
                    <w:bidi w:val="0"/>
                    <w:rPr>
                      <w:rFonts w:hint="eastAsia"/>
                      <w:lang w:val="en-US" w:eastAsia="zh-CN"/>
                    </w:rPr>
                  </w:pPr>
                  <w:r>
                    <w:rPr>
                      <w:rFonts w:hint="eastAsia"/>
                      <w:lang w:val="en-US" w:eastAsia="zh-CN"/>
                    </w:rPr>
                    <w:t>废液及废料</w:t>
                  </w:r>
                </w:p>
              </w:tc>
              <w:tc>
                <w:tcPr>
                  <w:tcW w:w="803" w:type="dxa"/>
                  <w:vMerge w:val="restart"/>
                  <w:tcBorders>
                    <w:left w:val="single" w:color="auto" w:sz="6" w:space="0"/>
                    <w:right w:val="single" w:color="auto" w:sz="6" w:space="0"/>
                  </w:tcBorders>
                  <w:vAlign w:val="center"/>
                </w:tcPr>
                <w:p w14:paraId="3DDDBB2F">
                  <w:pPr>
                    <w:pStyle w:val="41"/>
                    <w:bidi w:val="0"/>
                  </w:pPr>
                  <w:r>
                    <w:rPr>
                      <w:rFonts w:hint="eastAsia"/>
                    </w:rPr>
                    <w:t>危险废物</w:t>
                  </w:r>
                </w:p>
              </w:tc>
              <w:tc>
                <w:tcPr>
                  <w:tcW w:w="739" w:type="dxa"/>
                  <w:tcBorders>
                    <w:left w:val="single" w:color="auto" w:sz="6" w:space="0"/>
                    <w:right w:val="single" w:color="auto" w:sz="6" w:space="0"/>
                  </w:tcBorders>
                  <w:vAlign w:val="center"/>
                </w:tcPr>
                <w:p w14:paraId="2C7EBFC2">
                  <w:pPr>
                    <w:pStyle w:val="41"/>
                    <w:bidi w:val="0"/>
                    <w:rPr>
                      <w:rFonts w:hint="default"/>
                      <w:lang w:val="en-US" w:eastAsia="zh-CN"/>
                    </w:rPr>
                  </w:pPr>
                  <w:r>
                    <w:rPr>
                      <w:rFonts w:hint="eastAsia"/>
                    </w:rPr>
                    <w:t>固</w:t>
                  </w:r>
                  <w:r>
                    <w:rPr>
                      <w:rFonts w:hint="eastAsia"/>
                      <w:lang w:val="en-US" w:eastAsia="zh-CN"/>
                    </w:rPr>
                    <w:t>/液</w:t>
                  </w:r>
                </w:p>
              </w:tc>
              <w:tc>
                <w:tcPr>
                  <w:tcW w:w="933" w:type="dxa"/>
                  <w:tcBorders>
                    <w:left w:val="single" w:color="auto" w:sz="6" w:space="0"/>
                    <w:right w:val="single" w:color="auto" w:sz="6" w:space="0"/>
                  </w:tcBorders>
                  <w:vAlign w:val="center"/>
                </w:tcPr>
                <w:p w14:paraId="543C3733">
                  <w:pPr>
                    <w:pStyle w:val="41"/>
                    <w:bidi w:val="0"/>
                    <w:rPr>
                      <w:rFonts w:hint="default"/>
                      <w:lang w:val="en-US" w:eastAsia="zh-CN"/>
                    </w:rPr>
                  </w:pPr>
                  <w:r>
                    <w:rPr>
                      <w:rFonts w:hint="eastAsia"/>
                      <w:lang w:val="en-US" w:eastAsia="zh-CN"/>
                    </w:rPr>
                    <w:t>37.12</w:t>
                  </w:r>
                </w:p>
              </w:tc>
              <w:tc>
                <w:tcPr>
                  <w:tcW w:w="1089" w:type="dxa"/>
                  <w:tcBorders>
                    <w:left w:val="single" w:color="auto" w:sz="6" w:space="0"/>
                    <w:right w:val="single" w:color="auto" w:sz="6" w:space="0"/>
                  </w:tcBorders>
                  <w:vAlign w:val="center"/>
                </w:tcPr>
                <w:p w14:paraId="6C8CE01E">
                  <w:pPr>
                    <w:pStyle w:val="41"/>
                    <w:bidi w:val="0"/>
                    <w:rPr>
                      <w:rFonts w:hint="default"/>
                      <w:lang w:val="en-US" w:eastAsia="zh-CN"/>
                    </w:rPr>
                  </w:pPr>
                  <w:r>
                    <w:rPr>
                      <w:rFonts w:hint="eastAsia"/>
                      <w:lang w:val="en-US" w:eastAsia="zh-CN"/>
                    </w:rPr>
                    <w:t>11</w:t>
                  </w:r>
                </w:p>
              </w:tc>
              <w:tc>
                <w:tcPr>
                  <w:tcW w:w="1250" w:type="dxa"/>
                  <w:tcBorders>
                    <w:left w:val="single" w:color="auto" w:sz="6" w:space="0"/>
                  </w:tcBorders>
                  <w:vAlign w:val="center"/>
                </w:tcPr>
                <w:p w14:paraId="05387A96">
                  <w:pPr>
                    <w:pStyle w:val="41"/>
                    <w:bidi w:val="0"/>
                    <w:rPr>
                      <w:rFonts w:hint="eastAsia"/>
                      <w:lang w:val="en-US" w:eastAsia="zh-CN"/>
                    </w:rPr>
                  </w:pPr>
                  <w:r>
                    <w:rPr>
                      <w:rFonts w:hint="eastAsia"/>
                      <w:lang w:val="en-US" w:eastAsia="zh-CN"/>
                    </w:rPr>
                    <w:t>48.12</w:t>
                  </w:r>
                </w:p>
              </w:tc>
              <w:tc>
                <w:tcPr>
                  <w:tcW w:w="1430" w:type="dxa"/>
                  <w:vMerge w:val="restart"/>
                  <w:tcBorders>
                    <w:left w:val="single" w:color="auto" w:sz="6" w:space="0"/>
                  </w:tcBorders>
                  <w:vAlign w:val="center"/>
                </w:tcPr>
                <w:p w14:paraId="67338E41">
                  <w:pPr>
                    <w:pStyle w:val="41"/>
                    <w:bidi w:val="0"/>
                  </w:pPr>
                  <w:r>
                    <w:rPr>
                      <w:rFonts w:hint="eastAsia"/>
                    </w:rPr>
                    <w:t>收集后暂存于</w:t>
                  </w:r>
                  <w:r>
                    <w:rPr>
                      <w:rFonts w:hint="eastAsia"/>
                      <w:lang w:val="en-US" w:eastAsia="zh-CN"/>
                    </w:rPr>
                    <w:t>危废暂存点</w:t>
                  </w:r>
                  <w:r>
                    <w:rPr>
                      <w:rFonts w:hint="eastAsia"/>
                    </w:rPr>
                    <w:t>，定期委托</w:t>
                  </w:r>
                  <w:r>
                    <w:rPr>
                      <w:rFonts w:hint="eastAsia"/>
                      <w:lang w:val="en-US" w:eastAsia="zh-CN"/>
                    </w:rPr>
                    <w:t>有资质单位</w:t>
                  </w:r>
                  <w:r>
                    <w:rPr>
                      <w:rFonts w:hint="eastAsia"/>
                    </w:rPr>
                    <w:t>处置</w:t>
                  </w:r>
                </w:p>
              </w:tc>
            </w:tr>
            <w:tr w14:paraId="44FEAF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552" w:type="dxa"/>
                  <w:tcBorders>
                    <w:right w:val="single" w:color="auto" w:sz="6" w:space="0"/>
                  </w:tcBorders>
                  <w:vAlign w:val="center"/>
                </w:tcPr>
                <w:p w14:paraId="7244C8A3">
                  <w:pPr>
                    <w:pStyle w:val="41"/>
                    <w:bidi w:val="0"/>
                    <w:rPr>
                      <w:rFonts w:hint="default"/>
                      <w:lang w:val="en-US" w:eastAsia="zh-CN"/>
                    </w:rPr>
                  </w:pPr>
                  <w:r>
                    <w:rPr>
                      <w:rFonts w:hint="eastAsia"/>
                      <w:lang w:eastAsia="zh-CN"/>
                    </w:rPr>
                    <w:t>报废药品及过期原辅料</w:t>
                  </w:r>
                </w:p>
              </w:tc>
              <w:tc>
                <w:tcPr>
                  <w:tcW w:w="803" w:type="dxa"/>
                  <w:vMerge w:val="continue"/>
                  <w:tcBorders>
                    <w:left w:val="single" w:color="auto" w:sz="6" w:space="0"/>
                    <w:right w:val="single" w:color="auto" w:sz="6" w:space="0"/>
                  </w:tcBorders>
                  <w:vAlign w:val="center"/>
                </w:tcPr>
                <w:p w14:paraId="1920A3C5">
                  <w:pPr>
                    <w:pStyle w:val="41"/>
                    <w:bidi w:val="0"/>
                  </w:pPr>
                </w:p>
              </w:tc>
              <w:tc>
                <w:tcPr>
                  <w:tcW w:w="739" w:type="dxa"/>
                  <w:tcBorders>
                    <w:left w:val="single" w:color="auto" w:sz="6" w:space="0"/>
                    <w:right w:val="single" w:color="auto" w:sz="6" w:space="0"/>
                  </w:tcBorders>
                  <w:vAlign w:val="center"/>
                </w:tcPr>
                <w:p w14:paraId="04EC8718">
                  <w:pPr>
                    <w:pStyle w:val="41"/>
                    <w:bidi w:val="0"/>
                  </w:pPr>
                  <w:r>
                    <w:rPr>
                      <w:rFonts w:hint="eastAsia"/>
                    </w:rPr>
                    <w:t>固</w:t>
                  </w:r>
                </w:p>
              </w:tc>
              <w:tc>
                <w:tcPr>
                  <w:tcW w:w="933" w:type="dxa"/>
                  <w:tcBorders>
                    <w:left w:val="single" w:color="auto" w:sz="6" w:space="0"/>
                    <w:right w:val="single" w:color="auto" w:sz="6" w:space="0"/>
                  </w:tcBorders>
                  <w:vAlign w:val="center"/>
                </w:tcPr>
                <w:p w14:paraId="1E7990E8">
                  <w:pPr>
                    <w:pStyle w:val="41"/>
                    <w:bidi w:val="0"/>
                    <w:rPr>
                      <w:rFonts w:hint="eastAsia"/>
                      <w:lang w:val="en-US" w:eastAsia="zh-CN"/>
                    </w:rPr>
                  </w:pPr>
                  <w:r>
                    <w:rPr>
                      <w:rFonts w:hint="eastAsia"/>
                      <w:lang w:val="en-US" w:eastAsia="zh-CN"/>
                    </w:rPr>
                    <w:t>1.1</w:t>
                  </w:r>
                </w:p>
              </w:tc>
              <w:tc>
                <w:tcPr>
                  <w:tcW w:w="1089" w:type="dxa"/>
                  <w:tcBorders>
                    <w:left w:val="single" w:color="auto" w:sz="6" w:space="0"/>
                    <w:right w:val="single" w:color="auto" w:sz="6" w:space="0"/>
                  </w:tcBorders>
                  <w:vAlign w:val="center"/>
                </w:tcPr>
                <w:p w14:paraId="1ED618A5">
                  <w:pPr>
                    <w:pStyle w:val="41"/>
                    <w:bidi w:val="0"/>
                    <w:rPr>
                      <w:rFonts w:hint="default"/>
                      <w:lang w:val="en-US" w:eastAsia="zh-CN"/>
                    </w:rPr>
                  </w:pPr>
                  <w:r>
                    <w:rPr>
                      <w:rFonts w:hint="eastAsia"/>
                      <w:lang w:val="en-US" w:eastAsia="zh-CN"/>
                    </w:rPr>
                    <w:t>0.005</w:t>
                  </w:r>
                </w:p>
              </w:tc>
              <w:tc>
                <w:tcPr>
                  <w:tcW w:w="1250" w:type="dxa"/>
                  <w:tcBorders>
                    <w:left w:val="single" w:color="auto" w:sz="6" w:space="0"/>
                  </w:tcBorders>
                  <w:vAlign w:val="center"/>
                </w:tcPr>
                <w:p w14:paraId="4709987E">
                  <w:pPr>
                    <w:pStyle w:val="41"/>
                    <w:bidi w:val="0"/>
                    <w:rPr>
                      <w:rFonts w:hint="eastAsia"/>
                      <w:lang w:val="en-US" w:eastAsia="zh-CN"/>
                    </w:rPr>
                  </w:pPr>
                  <w:r>
                    <w:rPr>
                      <w:rFonts w:hint="eastAsia"/>
                      <w:lang w:val="en-US" w:eastAsia="zh-CN"/>
                    </w:rPr>
                    <w:t>1.105</w:t>
                  </w:r>
                </w:p>
              </w:tc>
              <w:tc>
                <w:tcPr>
                  <w:tcW w:w="1430" w:type="dxa"/>
                  <w:vMerge w:val="continue"/>
                  <w:tcBorders>
                    <w:left w:val="single" w:color="auto" w:sz="6" w:space="0"/>
                  </w:tcBorders>
                  <w:vAlign w:val="center"/>
                </w:tcPr>
                <w:p w14:paraId="1EB730A8">
                  <w:pPr>
                    <w:pStyle w:val="41"/>
                    <w:bidi w:val="0"/>
                  </w:pPr>
                </w:p>
              </w:tc>
            </w:tr>
            <w:tr w14:paraId="12949C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552" w:type="dxa"/>
                  <w:tcBorders>
                    <w:right w:val="single" w:color="auto" w:sz="6" w:space="0"/>
                  </w:tcBorders>
                  <w:vAlign w:val="center"/>
                </w:tcPr>
                <w:p w14:paraId="5682DEC5">
                  <w:pPr>
                    <w:pStyle w:val="41"/>
                    <w:bidi w:val="0"/>
                    <w:rPr>
                      <w:rFonts w:hint="eastAsia"/>
                      <w:lang w:val="en-US" w:eastAsia="zh-CN"/>
                    </w:rPr>
                  </w:pPr>
                  <w:r>
                    <w:rPr>
                      <w:rFonts w:hint="eastAsia"/>
                      <w:lang w:eastAsia="zh-CN"/>
                    </w:rPr>
                    <w:t>废实验用品</w:t>
                  </w:r>
                </w:p>
              </w:tc>
              <w:tc>
                <w:tcPr>
                  <w:tcW w:w="803" w:type="dxa"/>
                  <w:vMerge w:val="continue"/>
                  <w:tcBorders>
                    <w:left w:val="single" w:color="auto" w:sz="6" w:space="0"/>
                    <w:right w:val="single" w:color="auto" w:sz="6" w:space="0"/>
                  </w:tcBorders>
                  <w:vAlign w:val="center"/>
                </w:tcPr>
                <w:p w14:paraId="001FCA80">
                  <w:pPr>
                    <w:pStyle w:val="41"/>
                    <w:bidi w:val="0"/>
                  </w:pPr>
                </w:p>
              </w:tc>
              <w:tc>
                <w:tcPr>
                  <w:tcW w:w="739" w:type="dxa"/>
                  <w:tcBorders>
                    <w:left w:val="single" w:color="auto" w:sz="6" w:space="0"/>
                    <w:right w:val="single" w:color="auto" w:sz="6" w:space="0"/>
                  </w:tcBorders>
                  <w:vAlign w:val="center"/>
                </w:tcPr>
                <w:p w14:paraId="0D417628">
                  <w:pPr>
                    <w:pStyle w:val="41"/>
                    <w:bidi w:val="0"/>
                  </w:pPr>
                  <w:r>
                    <w:t>固</w:t>
                  </w:r>
                </w:p>
              </w:tc>
              <w:tc>
                <w:tcPr>
                  <w:tcW w:w="933" w:type="dxa"/>
                  <w:tcBorders>
                    <w:left w:val="single" w:color="auto" w:sz="6" w:space="0"/>
                    <w:right w:val="single" w:color="auto" w:sz="6" w:space="0"/>
                  </w:tcBorders>
                  <w:vAlign w:val="center"/>
                </w:tcPr>
                <w:p w14:paraId="53B6812B">
                  <w:pPr>
                    <w:pStyle w:val="41"/>
                    <w:bidi w:val="0"/>
                    <w:rPr>
                      <w:rFonts w:hint="default"/>
                      <w:lang w:val="en-US" w:eastAsia="zh-CN"/>
                    </w:rPr>
                  </w:pPr>
                  <w:r>
                    <w:rPr>
                      <w:rFonts w:hint="eastAsia"/>
                      <w:lang w:val="en-US" w:eastAsia="zh-CN"/>
                    </w:rPr>
                    <w:t>10.2</w:t>
                  </w:r>
                </w:p>
              </w:tc>
              <w:tc>
                <w:tcPr>
                  <w:tcW w:w="1089" w:type="dxa"/>
                  <w:tcBorders>
                    <w:left w:val="single" w:color="auto" w:sz="6" w:space="0"/>
                    <w:right w:val="single" w:color="auto" w:sz="6" w:space="0"/>
                  </w:tcBorders>
                  <w:vAlign w:val="center"/>
                </w:tcPr>
                <w:p w14:paraId="637D0C74">
                  <w:pPr>
                    <w:pStyle w:val="41"/>
                    <w:bidi w:val="0"/>
                    <w:rPr>
                      <w:rFonts w:hint="default"/>
                      <w:lang w:val="en-US" w:eastAsia="zh-CN"/>
                    </w:rPr>
                  </w:pPr>
                  <w:r>
                    <w:rPr>
                      <w:rFonts w:hint="eastAsia"/>
                      <w:lang w:val="en-US" w:eastAsia="zh-CN"/>
                    </w:rPr>
                    <w:t>0.115</w:t>
                  </w:r>
                </w:p>
              </w:tc>
              <w:tc>
                <w:tcPr>
                  <w:tcW w:w="1250" w:type="dxa"/>
                  <w:tcBorders>
                    <w:left w:val="single" w:color="auto" w:sz="6" w:space="0"/>
                  </w:tcBorders>
                  <w:vAlign w:val="center"/>
                </w:tcPr>
                <w:p w14:paraId="1955A6B6">
                  <w:pPr>
                    <w:pStyle w:val="41"/>
                    <w:bidi w:val="0"/>
                    <w:rPr>
                      <w:rFonts w:hint="eastAsia"/>
                      <w:lang w:val="en-US" w:eastAsia="zh-CN"/>
                    </w:rPr>
                  </w:pPr>
                  <w:r>
                    <w:rPr>
                      <w:rFonts w:hint="eastAsia"/>
                      <w:lang w:val="en-US" w:eastAsia="zh-CN"/>
                    </w:rPr>
                    <w:t>10.315</w:t>
                  </w:r>
                </w:p>
              </w:tc>
              <w:tc>
                <w:tcPr>
                  <w:tcW w:w="1430" w:type="dxa"/>
                  <w:vMerge w:val="continue"/>
                  <w:tcBorders>
                    <w:left w:val="single" w:color="auto" w:sz="6" w:space="0"/>
                  </w:tcBorders>
                  <w:vAlign w:val="center"/>
                </w:tcPr>
                <w:p w14:paraId="02000AC4">
                  <w:pPr>
                    <w:pStyle w:val="41"/>
                    <w:bidi w:val="0"/>
                  </w:pPr>
                </w:p>
              </w:tc>
            </w:tr>
            <w:tr w14:paraId="7F86D4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552" w:type="dxa"/>
                  <w:tcBorders>
                    <w:right w:val="single" w:color="auto" w:sz="6" w:space="0"/>
                  </w:tcBorders>
                  <w:vAlign w:val="center"/>
                </w:tcPr>
                <w:p w14:paraId="204DF9D5">
                  <w:pPr>
                    <w:pStyle w:val="41"/>
                    <w:bidi w:val="0"/>
                    <w:rPr>
                      <w:rFonts w:hint="eastAsia"/>
                      <w:lang w:val="en-US" w:eastAsia="zh-CN"/>
                    </w:rPr>
                  </w:pPr>
                  <w:r>
                    <w:rPr>
                      <w:rFonts w:hint="eastAsia"/>
                      <w:lang w:eastAsia="zh-CN"/>
                    </w:rPr>
                    <w:t>废试剂包装</w:t>
                  </w:r>
                </w:p>
              </w:tc>
              <w:tc>
                <w:tcPr>
                  <w:tcW w:w="803" w:type="dxa"/>
                  <w:vMerge w:val="continue"/>
                  <w:tcBorders>
                    <w:left w:val="single" w:color="auto" w:sz="6" w:space="0"/>
                    <w:right w:val="single" w:color="auto" w:sz="6" w:space="0"/>
                  </w:tcBorders>
                  <w:vAlign w:val="center"/>
                </w:tcPr>
                <w:p w14:paraId="0AC18CAB">
                  <w:pPr>
                    <w:pStyle w:val="41"/>
                    <w:bidi w:val="0"/>
                  </w:pPr>
                </w:p>
              </w:tc>
              <w:tc>
                <w:tcPr>
                  <w:tcW w:w="739" w:type="dxa"/>
                  <w:tcBorders>
                    <w:left w:val="single" w:color="auto" w:sz="6" w:space="0"/>
                    <w:right w:val="single" w:color="auto" w:sz="6" w:space="0"/>
                  </w:tcBorders>
                  <w:vAlign w:val="center"/>
                </w:tcPr>
                <w:p w14:paraId="2CF56C66">
                  <w:pPr>
                    <w:pStyle w:val="41"/>
                    <w:bidi w:val="0"/>
                    <w:rPr>
                      <w:rFonts w:hint="default"/>
                      <w:lang w:val="en-US" w:eastAsia="zh-CN"/>
                    </w:rPr>
                  </w:pPr>
                  <w:r>
                    <w:rPr>
                      <w:rFonts w:hint="eastAsia"/>
                      <w:lang w:val="en-US" w:eastAsia="zh-CN"/>
                    </w:rPr>
                    <w:t>固</w:t>
                  </w:r>
                </w:p>
              </w:tc>
              <w:tc>
                <w:tcPr>
                  <w:tcW w:w="933" w:type="dxa"/>
                  <w:tcBorders>
                    <w:left w:val="single" w:color="auto" w:sz="6" w:space="0"/>
                    <w:right w:val="single" w:color="auto" w:sz="6" w:space="0"/>
                  </w:tcBorders>
                  <w:vAlign w:val="center"/>
                </w:tcPr>
                <w:p w14:paraId="2523E7AE">
                  <w:pPr>
                    <w:pStyle w:val="41"/>
                    <w:bidi w:val="0"/>
                    <w:rPr>
                      <w:rFonts w:hint="default"/>
                      <w:lang w:val="en-US" w:eastAsia="zh-CN"/>
                    </w:rPr>
                  </w:pPr>
                  <w:r>
                    <w:rPr>
                      <w:rFonts w:hint="eastAsia"/>
                      <w:lang w:val="en-US" w:eastAsia="zh-CN"/>
                    </w:rPr>
                    <w:t>10.5</w:t>
                  </w:r>
                </w:p>
              </w:tc>
              <w:tc>
                <w:tcPr>
                  <w:tcW w:w="1089" w:type="dxa"/>
                  <w:tcBorders>
                    <w:left w:val="single" w:color="auto" w:sz="6" w:space="0"/>
                    <w:right w:val="single" w:color="auto" w:sz="6" w:space="0"/>
                  </w:tcBorders>
                  <w:vAlign w:val="center"/>
                </w:tcPr>
                <w:p w14:paraId="7BD6E5E8">
                  <w:pPr>
                    <w:pStyle w:val="41"/>
                    <w:bidi w:val="0"/>
                    <w:rPr>
                      <w:rFonts w:hint="default"/>
                      <w:lang w:val="en-US" w:eastAsia="zh-CN"/>
                    </w:rPr>
                  </w:pPr>
                  <w:r>
                    <w:rPr>
                      <w:rFonts w:hint="eastAsia"/>
                      <w:lang w:val="en-US" w:eastAsia="zh-CN"/>
                    </w:rPr>
                    <w:t>0.05</w:t>
                  </w:r>
                </w:p>
              </w:tc>
              <w:tc>
                <w:tcPr>
                  <w:tcW w:w="1250" w:type="dxa"/>
                  <w:tcBorders>
                    <w:left w:val="single" w:color="auto" w:sz="6" w:space="0"/>
                  </w:tcBorders>
                  <w:vAlign w:val="center"/>
                </w:tcPr>
                <w:p w14:paraId="4538DA8B">
                  <w:pPr>
                    <w:pStyle w:val="41"/>
                    <w:bidi w:val="0"/>
                    <w:rPr>
                      <w:rFonts w:hint="eastAsia"/>
                      <w:lang w:val="en-US" w:eastAsia="zh-CN"/>
                    </w:rPr>
                  </w:pPr>
                  <w:r>
                    <w:rPr>
                      <w:rFonts w:hint="eastAsia"/>
                      <w:lang w:val="en-US" w:eastAsia="zh-CN"/>
                    </w:rPr>
                    <w:t>10.55</w:t>
                  </w:r>
                </w:p>
              </w:tc>
              <w:tc>
                <w:tcPr>
                  <w:tcW w:w="1430" w:type="dxa"/>
                  <w:vMerge w:val="continue"/>
                  <w:tcBorders>
                    <w:left w:val="single" w:color="auto" w:sz="6" w:space="0"/>
                  </w:tcBorders>
                  <w:vAlign w:val="center"/>
                </w:tcPr>
                <w:p w14:paraId="0684967F">
                  <w:pPr>
                    <w:pStyle w:val="41"/>
                    <w:bidi w:val="0"/>
                  </w:pPr>
                </w:p>
              </w:tc>
            </w:tr>
            <w:tr w14:paraId="560BF6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552" w:type="dxa"/>
                  <w:tcBorders>
                    <w:right w:val="single" w:color="auto" w:sz="6" w:space="0"/>
                  </w:tcBorders>
                  <w:vAlign w:val="center"/>
                </w:tcPr>
                <w:p w14:paraId="16726957">
                  <w:pPr>
                    <w:pStyle w:val="41"/>
                    <w:bidi w:val="0"/>
                    <w:rPr>
                      <w:rFonts w:hint="default"/>
                      <w:lang w:val="en-US" w:eastAsia="zh-CN"/>
                    </w:rPr>
                  </w:pPr>
                  <w:r>
                    <w:rPr>
                      <w:rFonts w:hint="eastAsia"/>
                      <w:lang w:val="en-US" w:eastAsia="zh-CN"/>
                    </w:rPr>
                    <w:t>废过滤器</w:t>
                  </w:r>
                </w:p>
              </w:tc>
              <w:tc>
                <w:tcPr>
                  <w:tcW w:w="803" w:type="dxa"/>
                  <w:vMerge w:val="continue"/>
                  <w:tcBorders>
                    <w:left w:val="single" w:color="auto" w:sz="6" w:space="0"/>
                    <w:right w:val="single" w:color="auto" w:sz="6" w:space="0"/>
                  </w:tcBorders>
                  <w:vAlign w:val="center"/>
                </w:tcPr>
                <w:p w14:paraId="154EB879">
                  <w:pPr>
                    <w:pStyle w:val="41"/>
                    <w:bidi w:val="0"/>
                  </w:pPr>
                </w:p>
              </w:tc>
              <w:tc>
                <w:tcPr>
                  <w:tcW w:w="739" w:type="dxa"/>
                  <w:tcBorders>
                    <w:left w:val="single" w:color="auto" w:sz="6" w:space="0"/>
                    <w:right w:val="single" w:color="auto" w:sz="6" w:space="0"/>
                  </w:tcBorders>
                  <w:vAlign w:val="center"/>
                </w:tcPr>
                <w:p w14:paraId="49B3985B">
                  <w:pPr>
                    <w:pStyle w:val="41"/>
                    <w:bidi w:val="0"/>
                    <w:rPr>
                      <w:rFonts w:hint="default"/>
                      <w:lang w:val="en-US" w:eastAsia="zh-CN"/>
                    </w:rPr>
                  </w:pPr>
                  <w:r>
                    <w:rPr>
                      <w:rFonts w:hint="eastAsia"/>
                      <w:lang w:val="en-US" w:eastAsia="zh-CN"/>
                    </w:rPr>
                    <w:t>固</w:t>
                  </w:r>
                </w:p>
              </w:tc>
              <w:tc>
                <w:tcPr>
                  <w:tcW w:w="933" w:type="dxa"/>
                  <w:tcBorders>
                    <w:left w:val="single" w:color="auto" w:sz="6" w:space="0"/>
                    <w:right w:val="single" w:color="auto" w:sz="6" w:space="0"/>
                  </w:tcBorders>
                  <w:vAlign w:val="center"/>
                </w:tcPr>
                <w:p w14:paraId="2FC79649">
                  <w:pPr>
                    <w:pStyle w:val="41"/>
                    <w:bidi w:val="0"/>
                    <w:rPr>
                      <w:rFonts w:hint="default"/>
                      <w:lang w:val="en-US" w:eastAsia="zh-CN"/>
                    </w:rPr>
                  </w:pPr>
                  <w:r>
                    <w:rPr>
                      <w:rFonts w:hint="eastAsia"/>
                      <w:lang w:val="en-US" w:eastAsia="zh-CN"/>
                    </w:rPr>
                    <w:t>0.07</w:t>
                  </w:r>
                </w:p>
              </w:tc>
              <w:tc>
                <w:tcPr>
                  <w:tcW w:w="1089" w:type="dxa"/>
                  <w:tcBorders>
                    <w:left w:val="single" w:color="auto" w:sz="6" w:space="0"/>
                    <w:right w:val="single" w:color="auto" w:sz="6" w:space="0"/>
                  </w:tcBorders>
                  <w:vAlign w:val="center"/>
                </w:tcPr>
                <w:p w14:paraId="0FE5C9F7">
                  <w:pPr>
                    <w:pStyle w:val="41"/>
                    <w:bidi w:val="0"/>
                    <w:rPr>
                      <w:rFonts w:hint="default"/>
                      <w:lang w:val="en-US" w:eastAsia="zh-CN"/>
                    </w:rPr>
                  </w:pPr>
                  <w:r>
                    <w:rPr>
                      <w:rFonts w:hint="eastAsia"/>
                      <w:lang w:val="en-US" w:eastAsia="zh-CN"/>
                    </w:rPr>
                    <w:t>0</w:t>
                  </w:r>
                </w:p>
              </w:tc>
              <w:tc>
                <w:tcPr>
                  <w:tcW w:w="1250" w:type="dxa"/>
                  <w:tcBorders>
                    <w:left w:val="single" w:color="auto" w:sz="6" w:space="0"/>
                  </w:tcBorders>
                  <w:vAlign w:val="center"/>
                </w:tcPr>
                <w:p w14:paraId="5E244DB3">
                  <w:pPr>
                    <w:pStyle w:val="41"/>
                    <w:bidi w:val="0"/>
                    <w:rPr>
                      <w:rFonts w:hint="default"/>
                      <w:lang w:val="en-US" w:eastAsia="zh-CN"/>
                    </w:rPr>
                  </w:pPr>
                  <w:r>
                    <w:rPr>
                      <w:rFonts w:hint="eastAsia"/>
                      <w:lang w:val="en-US" w:eastAsia="zh-CN"/>
                    </w:rPr>
                    <w:t>0.07</w:t>
                  </w:r>
                </w:p>
              </w:tc>
              <w:tc>
                <w:tcPr>
                  <w:tcW w:w="1430" w:type="dxa"/>
                  <w:vMerge w:val="continue"/>
                  <w:tcBorders>
                    <w:left w:val="single" w:color="auto" w:sz="6" w:space="0"/>
                  </w:tcBorders>
                  <w:vAlign w:val="center"/>
                </w:tcPr>
                <w:p w14:paraId="2AF8FA89">
                  <w:pPr>
                    <w:pStyle w:val="41"/>
                    <w:bidi w:val="0"/>
                  </w:pPr>
                </w:p>
              </w:tc>
            </w:tr>
            <w:tr w14:paraId="18F3BC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552" w:type="dxa"/>
                  <w:tcBorders>
                    <w:right w:val="single" w:color="auto" w:sz="6" w:space="0"/>
                  </w:tcBorders>
                  <w:vAlign w:val="center"/>
                </w:tcPr>
                <w:p w14:paraId="6DF80361">
                  <w:pPr>
                    <w:pStyle w:val="41"/>
                    <w:bidi w:val="0"/>
                    <w:rPr>
                      <w:rFonts w:hint="eastAsia"/>
                      <w:lang w:val="en-US" w:eastAsia="zh-CN"/>
                    </w:rPr>
                  </w:pPr>
                  <w:r>
                    <w:rPr>
                      <w:rFonts w:hint="eastAsia"/>
                      <w:lang w:val="en-US" w:eastAsia="zh-CN"/>
                    </w:rPr>
                    <w:t>污水处理站污泥</w:t>
                  </w:r>
                </w:p>
              </w:tc>
              <w:tc>
                <w:tcPr>
                  <w:tcW w:w="803" w:type="dxa"/>
                  <w:vMerge w:val="continue"/>
                  <w:tcBorders>
                    <w:left w:val="single" w:color="auto" w:sz="6" w:space="0"/>
                    <w:right w:val="single" w:color="auto" w:sz="6" w:space="0"/>
                  </w:tcBorders>
                  <w:vAlign w:val="center"/>
                </w:tcPr>
                <w:p w14:paraId="2C676195">
                  <w:pPr>
                    <w:pStyle w:val="41"/>
                    <w:bidi w:val="0"/>
                  </w:pPr>
                </w:p>
              </w:tc>
              <w:tc>
                <w:tcPr>
                  <w:tcW w:w="739" w:type="dxa"/>
                  <w:tcBorders>
                    <w:left w:val="single" w:color="auto" w:sz="6" w:space="0"/>
                    <w:right w:val="single" w:color="auto" w:sz="6" w:space="0"/>
                  </w:tcBorders>
                  <w:vAlign w:val="center"/>
                </w:tcPr>
                <w:p w14:paraId="1372F304">
                  <w:pPr>
                    <w:pStyle w:val="41"/>
                    <w:bidi w:val="0"/>
                  </w:pPr>
                  <w:r>
                    <w:rPr>
                      <w:rFonts w:hint="eastAsia"/>
                    </w:rPr>
                    <w:t>固</w:t>
                  </w:r>
                </w:p>
              </w:tc>
              <w:tc>
                <w:tcPr>
                  <w:tcW w:w="933" w:type="dxa"/>
                  <w:tcBorders>
                    <w:left w:val="single" w:color="auto" w:sz="6" w:space="0"/>
                    <w:right w:val="single" w:color="auto" w:sz="6" w:space="0"/>
                  </w:tcBorders>
                  <w:vAlign w:val="center"/>
                </w:tcPr>
                <w:p w14:paraId="4371F115">
                  <w:pPr>
                    <w:pStyle w:val="41"/>
                    <w:bidi w:val="0"/>
                    <w:rPr>
                      <w:rFonts w:hint="default"/>
                      <w:lang w:val="en-US" w:eastAsia="zh-CN"/>
                    </w:rPr>
                  </w:pPr>
                  <w:r>
                    <w:rPr>
                      <w:rFonts w:hint="eastAsia"/>
                      <w:lang w:val="en-US" w:eastAsia="zh-CN"/>
                    </w:rPr>
                    <w:t>1</w:t>
                  </w:r>
                </w:p>
              </w:tc>
              <w:tc>
                <w:tcPr>
                  <w:tcW w:w="1089" w:type="dxa"/>
                  <w:tcBorders>
                    <w:left w:val="single" w:color="auto" w:sz="6" w:space="0"/>
                    <w:right w:val="single" w:color="auto" w:sz="6" w:space="0"/>
                  </w:tcBorders>
                  <w:vAlign w:val="center"/>
                </w:tcPr>
                <w:p w14:paraId="142EB762">
                  <w:pPr>
                    <w:pStyle w:val="41"/>
                    <w:bidi w:val="0"/>
                    <w:rPr>
                      <w:rFonts w:hint="default"/>
                      <w:lang w:val="en-US" w:eastAsia="zh-CN"/>
                    </w:rPr>
                  </w:pPr>
                  <w:r>
                    <w:rPr>
                      <w:rFonts w:hint="eastAsia"/>
                      <w:lang w:val="en-US" w:eastAsia="zh-CN"/>
                    </w:rPr>
                    <w:t>0.2</w:t>
                  </w:r>
                </w:p>
              </w:tc>
              <w:tc>
                <w:tcPr>
                  <w:tcW w:w="1250" w:type="dxa"/>
                  <w:tcBorders>
                    <w:left w:val="single" w:color="auto" w:sz="6" w:space="0"/>
                  </w:tcBorders>
                  <w:vAlign w:val="center"/>
                </w:tcPr>
                <w:p w14:paraId="73F1B5AC">
                  <w:pPr>
                    <w:pStyle w:val="41"/>
                    <w:bidi w:val="0"/>
                    <w:rPr>
                      <w:rFonts w:hint="eastAsia"/>
                      <w:lang w:val="en-US" w:eastAsia="zh-CN"/>
                    </w:rPr>
                  </w:pPr>
                  <w:r>
                    <w:rPr>
                      <w:rFonts w:hint="eastAsia"/>
                      <w:lang w:val="en-US" w:eastAsia="zh-CN"/>
                    </w:rPr>
                    <w:t>1.2</w:t>
                  </w:r>
                </w:p>
              </w:tc>
              <w:tc>
                <w:tcPr>
                  <w:tcW w:w="1430" w:type="dxa"/>
                  <w:vMerge w:val="restart"/>
                  <w:tcBorders>
                    <w:left w:val="single" w:color="auto" w:sz="6" w:space="0"/>
                  </w:tcBorders>
                  <w:vAlign w:val="center"/>
                </w:tcPr>
                <w:p w14:paraId="1C4BD0A3">
                  <w:pPr>
                    <w:pStyle w:val="41"/>
                    <w:bidi w:val="0"/>
                    <w:rPr>
                      <w:rFonts w:hint="default"/>
                      <w:lang w:val="en-US" w:eastAsia="zh-CN"/>
                    </w:rPr>
                  </w:pPr>
                  <w:r>
                    <w:rPr>
                      <w:rFonts w:hint="eastAsia"/>
                      <w:lang w:val="en-US" w:eastAsia="zh-CN"/>
                    </w:rPr>
                    <w:t>不贮存，更换时</w:t>
                  </w:r>
                  <w:r>
                    <w:rPr>
                      <w:rFonts w:hint="eastAsia"/>
                    </w:rPr>
                    <w:t>委托南京</w:t>
                  </w:r>
                  <w:r>
                    <w:rPr>
                      <w:rFonts w:hint="eastAsia"/>
                      <w:lang w:val="en-US" w:eastAsia="zh-CN"/>
                    </w:rPr>
                    <w:t>伊环环境服务</w:t>
                  </w:r>
                  <w:r>
                    <w:rPr>
                      <w:rFonts w:hint="eastAsia"/>
                    </w:rPr>
                    <w:t>有限公司处置</w:t>
                  </w:r>
                </w:p>
              </w:tc>
            </w:tr>
            <w:tr w14:paraId="457E22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552" w:type="dxa"/>
                  <w:tcBorders>
                    <w:right w:val="single" w:color="auto" w:sz="6" w:space="0"/>
                  </w:tcBorders>
                  <w:vAlign w:val="center"/>
                </w:tcPr>
                <w:p w14:paraId="10F3EA6F">
                  <w:pPr>
                    <w:pStyle w:val="41"/>
                    <w:bidi w:val="0"/>
                    <w:rPr>
                      <w:rFonts w:hint="eastAsia"/>
                      <w:lang w:val="en-US" w:eastAsia="zh-CN"/>
                    </w:rPr>
                  </w:pPr>
                  <w:r>
                    <w:rPr>
                      <w:rFonts w:hint="eastAsia"/>
                      <w:lang w:val="en-US" w:eastAsia="zh-CN"/>
                    </w:rPr>
                    <w:t>废活性炭</w:t>
                  </w:r>
                </w:p>
              </w:tc>
              <w:tc>
                <w:tcPr>
                  <w:tcW w:w="803" w:type="dxa"/>
                  <w:vMerge w:val="continue"/>
                  <w:tcBorders>
                    <w:left w:val="single" w:color="auto" w:sz="6" w:space="0"/>
                    <w:right w:val="single" w:color="auto" w:sz="6" w:space="0"/>
                  </w:tcBorders>
                  <w:vAlign w:val="center"/>
                </w:tcPr>
                <w:p w14:paraId="7F441BC3">
                  <w:pPr>
                    <w:pStyle w:val="41"/>
                    <w:bidi w:val="0"/>
                  </w:pPr>
                </w:p>
              </w:tc>
              <w:tc>
                <w:tcPr>
                  <w:tcW w:w="739" w:type="dxa"/>
                  <w:tcBorders>
                    <w:left w:val="single" w:color="auto" w:sz="6" w:space="0"/>
                    <w:right w:val="single" w:color="auto" w:sz="6" w:space="0"/>
                  </w:tcBorders>
                  <w:vAlign w:val="center"/>
                </w:tcPr>
                <w:p w14:paraId="048B1167">
                  <w:pPr>
                    <w:pStyle w:val="41"/>
                    <w:bidi w:val="0"/>
                    <w:rPr>
                      <w:rFonts w:hint="eastAsia"/>
                      <w:lang w:eastAsia="zh-CN"/>
                    </w:rPr>
                  </w:pPr>
                  <w:r>
                    <w:rPr>
                      <w:rFonts w:hint="eastAsia"/>
                      <w:lang w:eastAsia="zh-CN"/>
                    </w:rPr>
                    <w:t>固</w:t>
                  </w:r>
                </w:p>
              </w:tc>
              <w:tc>
                <w:tcPr>
                  <w:tcW w:w="933" w:type="dxa"/>
                  <w:tcBorders>
                    <w:left w:val="single" w:color="auto" w:sz="6" w:space="0"/>
                    <w:right w:val="single" w:color="auto" w:sz="6" w:space="0"/>
                  </w:tcBorders>
                  <w:vAlign w:val="center"/>
                </w:tcPr>
                <w:p w14:paraId="1FB49F03">
                  <w:pPr>
                    <w:pStyle w:val="41"/>
                    <w:bidi w:val="0"/>
                    <w:rPr>
                      <w:rFonts w:hint="eastAsia"/>
                      <w:lang w:val="en-US" w:eastAsia="zh-CN"/>
                    </w:rPr>
                  </w:pPr>
                  <w:r>
                    <w:rPr>
                      <w:rFonts w:hint="eastAsia"/>
                      <w:lang w:val="en-US" w:eastAsia="zh-CN"/>
                    </w:rPr>
                    <w:t>3</w:t>
                  </w:r>
                </w:p>
              </w:tc>
              <w:tc>
                <w:tcPr>
                  <w:tcW w:w="1089" w:type="dxa"/>
                  <w:tcBorders>
                    <w:left w:val="single" w:color="auto" w:sz="6" w:space="0"/>
                    <w:right w:val="single" w:color="auto" w:sz="6" w:space="0"/>
                  </w:tcBorders>
                  <w:vAlign w:val="center"/>
                </w:tcPr>
                <w:p w14:paraId="58BE77B2">
                  <w:pPr>
                    <w:pStyle w:val="41"/>
                    <w:bidi w:val="0"/>
                    <w:rPr>
                      <w:rFonts w:hint="default"/>
                      <w:lang w:val="en-US" w:eastAsia="zh-CN"/>
                    </w:rPr>
                  </w:pPr>
                  <w:r>
                    <w:rPr>
                      <w:rFonts w:hint="eastAsia"/>
                      <w:lang w:val="en-US" w:eastAsia="zh-CN"/>
                    </w:rPr>
                    <w:t>0</w:t>
                  </w:r>
                </w:p>
              </w:tc>
              <w:tc>
                <w:tcPr>
                  <w:tcW w:w="1250" w:type="dxa"/>
                  <w:tcBorders>
                    <w:left w:val="single" w:color="auto" w:sz="6" w:space="0"/>
                  </w:tcBorders>
                  <w:vAlign w:val="center"/>
                </w:tcPr>
                <w:p w14:paraId="4F613706">
                  <w:pPr>
                    <w:pStyle w:val="41"/>
                    <w:bidi w:val="0"/>
                    <w:rPr>
                      <w:rFonts w:hint="eastAsia"/>
                      <w:lang w:val="en-US" w:eastAsia="zh-CN"/>
                    </w:rPr>
                  </w:pPr>
                  <w:r>
                    <w:rPr>
                      <w:rFonts w:hint="eastAsia"/>
                      <w:lang w:val="en-US" w:eastAsia="zh-CN"/>
                    </w:rPr>
                    <w:t>3</w:t>
                  </w:r>
                </w:p>
              </w:tc>
              <w:tc>
                <w:tcPr>
                  <w:tcW w:w="1430" w:type="dxa"/>
                  <w:vMerge w:val="continue"/>
                  <w:tcBorders>
                    <w:left w:val="single" w:color="auto" w:sz="6" w:space="0"/>
                  </w:tcBorders>
                  <w:vAlign w:val="center"/>
                </w:tcPr>
                <w:p w14:paraId="1FA62FC7">
                  <w:pPr>
                    <w:pStyle w:val="41"/>
                    <w:bidi w:val="0"/>
                  </w:pPr>
                </w:p>
              </w:tc>
            </w:tr>
            <w:tr w14:paraId="28BE78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552" w:type="dxa"/>
                  <w:tcBorders>
                    <w:right w:val="single" w:color="auto" w:sz="6" w:space="0"/>
                  </w:tcBorders>
                  <w:vAlign w:val="center"/>
                </w:tcPr>
                <w:p w14:paraId="375093A6">
                  <w:pPr>
                    <w:pStyle w:val="41"/>
                    <w:bidi w:val="0"/>
                    <w:rPr>
                      <w:rFonts w:hint="eastAsia"/>
                      <w:lang w:val="en-US" w:eastAsia="zh-CN"/>
                    </w:rPr>
                  </w:pPr>
                  <w:r>
                    <w:rPr>
                      <w:rFonts w:hint="eastAsia"/>
                    </w:rPr>
                    <w:t>生活垃圾</w:t>
                  </w:r>
                </w:p>
              </w:tc>
              <w:tc>
                <w:tcPr>
                  <w:tcW w:w="803" w:type="dxa"/>
                  <w:tcBorders>
                    <w:left w:val="single" w:color="auto" w:sz="6" w:space="0"/>
                    <w:right w:val="single" w:color="auto" w:sz="6" w:space="0"/>
                  </w:tcBorders>
                  <w:vAlign w:val="center"/>
                </w:tcPr>
                <w:p w14:paraId="6CEC9EE4">
                  <w:pPr>
                    <w:pStyle w:val="41"/>
                    <w:bidi w:val="0"/>
                    <w:rPr>
                      <w:rFonts w:hint="eastAsia"/>
                      <w:lang w:val="en-US" w:eastAsia="zh-CN"/>
                    </w:rPr>
                  </w:pPr>
                  <w:r>
                    <w:rPr>
                      <w:rFonts w:hint="eastAsia"/>
                      <w:lang w:val="en-US" w:eastAsia="zh-CN"/>
                    </w:rPr>
                    <w:t>生活垃圾</w:t>
                  </w:r>
                </w:p>
              </w:tc>
              <w:tc>
                <w:tcPr>
                  <w:tcW w:w="739" w:type="dxa"/>
                  <w:tcBorders>
                    <w:left w:val="single" w:color="auto" w:sz="6" w:space="0"/>
                    <w:right w:val="single" w:color="auto" w:sz="6" w:space="0"/>
                  </w:tcBorders>
                  <w:vAlign w:val="center"/>
                </w:tcPr>
                <w:p w14:paraId="70E015E7">
                  <w:pPr>
                    <w:pStyle w:val="41"/>
                    <w:bidi w:val="0"/>
                  </w:pPr>
                  <w:r>
                    <w:rPr>
                      <w:rFonts w:hint="eastAsia"/>
                    </w:rPr>
                    <w:t>固</w:t>
                  </w:r>
                </w:p>
              </w:tc>
              <w:tc>
                <w:tcPr>
                  <w:tcW w:w="933" w:type="dxa"/>
                  <w:tcBorders>
                    <w:left w:val="single" w:color="auto" w:sz="6" w:space="0"/>
                    <w:right w:val="single" w:color="auto" w:sz="6" w:space="0"/>
                  </w:tcBorders>
                  <w:vAlign w:val="center"/>
                </w:tcPr>
                <w:p w14:paraId="136067CD">
                  <w:pPr>
                    <w:pStyle w:val="41"/>
                    <w:bidi w:val="0"/>
                    <w:rPr>
                      <w:rFonts w:hint="default" w:eastAsia="宋体"/>
                      <w:lang w:val="en-US" w:eastAsia="zh-CN"/>
                    </w:rPr>
                  </w:pPr>
                  <w:r>
                    <w:rPr>
                      <w:rFonts w:hint="eastAsia"/>
                      <w:lang w:val="en-US" w:eastAsia="zh-CN"/>
                    </w:rPr>
                    <w:t>158.82</w:t>
                  </w:r>
                </w:p>
              </w:tc>
              <w:tc>
                <w:tcPr>
                  <w:tcW w:w="1089" w:type="dxa"/>
                  <w:tcBorders>
                    <w:left w:val="single" w:color="auto" w:sz="6" w:space="0"/>
                    <w:right w:val="single" w:color="auto" w:sz="6" w:space="0"/>
                  </w:tcBorders>
                  <w:vAlign w:val="center"/>
                </w:tcPr>
                <w:p w14:paraId="34959E5E">
                  <w:pPr>
                    <w:pStyle w:val="41"/>
                    <w:bidi w:val="0"/>
                    <w:rPr>
                      <w:rFonts w:hint="default"/>
                      <w:lang w:val="en-US" w:eastAsia="zh-CN"/>
                    </w:rPr>
                  </w:pPr>
                  <w:r>
                    <w:rPr>
                      <w:rFonts w:hint="eastAsia"/>
                      <w:lang w:val="en-US" w:eastAsia="zh-CN"/>
                    </w:rPr>
                    <w:t>7.5</w:t>
                  </w:r>
                </w:p>
              </w:tc>
              <w:tc>
                <w:tcPr>
                  <w:tcW w:w="1250" w:type="dxa"/>
                  <w:tcBorders>
                    <w:left w:val="single" w:color="auto" w:sz="6" w:space="0"/>
                  </w:tcBorders>
                  <w:vAlign w:val="center"/>
                </w:tcPr>
                <w:p w14:paraId="70639380">
                  <w:pPr>
                    <w:pStyle w:val="41"/>
                    <w:bidi w:val="0"/>
                    <w:rPr>
                      <w:rFonts w:hint="default"/>
                      <w:lang w:val="en-US" w:eastAsia="zh-CN"/>
                    </w:rPr>
                  </w:pPr>
                  <w:r>
                    <w:rPr>
                      <w:rFonts w:hint="eastAsia"/>
                      <w:lang w:val="en-US" w:eastAsia="zh-CN"/>
                    </w:rPr>
                    <w:t>166.32</w:t>
                  </w:r>
                </w:p>
              </w:tc>
              <w:tc>
                <w:tcPr>
                  <w:tcW w:w="1430" w:type="dxa"/>
                  <w:tcBorders>
                    <w:left w:val="single" w:color="auto" w:sz="6" w:space="0"/>
                  </w:tcBorders>
                  <w:vAlign w:val="center"/>
                </w:tcPr>
                <w:p w14:paraId="2912828D">
                  <w:pPr>
                    <w:pStyle w:val="41"/>
                    <w:bidi w:val="0"/>
                    <w:rPr>
                      <w:rFonts w:hint="default"/>
                      <w:lang w:val="en-US" w:eastAsia="zh-CN"/>
                    </w:rPr>
                  </w:pPr>
                  <w:r>
                    <w:rPr>
                      <w:rFonts w:hint="eastAsia"/>
                      <w:lang w:val="en-US" w:eastAsia="zh-CN"/>
                    </w:rPr>
                    <w:t>环卫清运</w:t>
                  </w:r>
                </w:p>
              </w:tc>
            </w:tr>
          </w:tbl>
          <w:p w14:paraId="03582639">
            <w:pPr>
              <w:pStyle w:val="41"/>
              <w:bidi w:val="0"/>
              <w:rPr>
                <w:rFonts w:hint="eastAsia"/>
              </w:rPr>
            </w:pPr>
          </w:p>
          <w:p w14:paraId="78309A5C">
            <w:pPr>
              <w:bidi w:val="0"/>
              <w:ind w:firstLine="482" w:firstLineChars="200"/>
              <w:rPr>
                <w:b/>
                <w:bCs/>
              </w:rPr>
            </w:pPr>
            <w:r>
              <w:rPr>
                <w:rFonts w:hint="eastAsia"/>
                <w:b/>
                <w:bCs/>
                <w:lang w:val="en-US" w:eastAsia="zh-CN"/>
              </w:rPr>
              <w:t>5）</w:t>
            </w:r>
            <w:r>
              <w:rPr>
                <w:b/>
                <w:bCs/>
                <w:lang w:val="zh-CN"/>
              </w:rPr>
              <w:t>现有项目污染物排放</w:t>
            </w:r>
            <w:r>
              <w:rPr>
                <w:rFonts w:hint="eastAsia"/>
                <w:b/>
                <w:bCs/>
                <w:lang w:val="en-US" w:eastAsia="zh-CN"/>
              </w:rPr>
              <w:t>总</w:t>
            </w:r>
            <w:r>
              <w:rPr>
                <w:b/>
                <w:bCs/>
                <w:lang w:val="zh-CN"/>
              </w:rPr>
              <w:t>量</w:t>
            </w:r>
          </w:p>
          <w:p w14:paraId="79AFD853">
            <w:pPr>
              <w:bidi w:val="0"/>
              <w:ind w:firstLine="480" w:firstLineChars="200"/>
              <w:rPr>
                <w:rFonts w:hint="eastAsia"/>
                <w:lang w:val="en-US" w:eastAsia="zh-CN"/>
              </w:rPr>
            </w:pPr>
            <w:r>
              <w:rPr>
                <w:rFonts w:hint="eastAsia"/>
                <w:lang w:val="en-US" w:eastAsia="zh-CN"/>
              </w:rPr>
              <w:t>由于企业“康缘医药科技园6号楼改建项目”目前暂未进行验收，此处仅对已批已验的“康缘医药科技园项目”“创新中药人工智能及多组学研究平台项目”进行污染物排放总量核算。</w:t>
            </w:r>
          </w:p>
          <w:p w14:paraId="2916CE6A">
            <w:pPr>
              <w:bidi w:val="0"/>
              <w:ind w:firstLine="482" w:firstLineChars="200"/>
              <w:rPr>
                <w:rFonts w:hint="default"/>
                <w:lang w:val="en-US" w:eastAsia="zh-CN"/>
              </w:rPr>
            </w:pPr>
            <w:r>
              <w:rPr>
                <w:rFonts w:hint="eastAsia"/>
                <w:b/>
                <w:bCs/>
                <w:lang w:val="en-US" w:eastAsia="zh-CN"/>
              </w:rPr>
              <w:t>①废水总量核定</w:t>
            </w:r>
          </w:p>
          <w:p w14:paraId="0DA3C53A">
            <w:pPr>
              <w:bidi w:val="0"/>
              <w:ind w:firstLine="480" w:firstLineChars="200"/>
              <w:rPr>
                <w:rFonts w:hint="default"/>
                <w:lang w:val="en-US" w:eastAsia="zh-CN"/>
              </w:rPr>
            </w:pPr>
            <w:r>
              <w:rPr>
                <w:rFonts w:hint="eastAsia"/>
                <w:lang w:val="en-US" w:eastAsia="zh-CN"/>
              </w:rPr>
              <w:t>根据企业“</w:t>
            </w:r>
            <w:r>
              <w:rPr>
                <w:rFonts w:hint="eastAsia"/>
                <w:caps w:val="0"/>
                <w:color w:val="auto"/>
                <w:highlight w:val="none"/>
                <w:lang w:eastAsia="zh-CN"/>
              </w:rPr>
              <w:t>创新中药人工智能及多组学研究平台项目</w:t>
            </w:r>
            <w:r>
              <w:rPr>
                <w:rFonts w:hint="eastAsia"/>
                <w:lang w:val="en-US" w:eastAsia="zh-CN"/>
              </w:rPr>
              <w:t>”验收监测报告（附件8）中废水监测结果，现有项目废水排放总量满足环评要求，详细计算结果如下表。</w:t>
            </w:r>
          </w:p>
          <w:p w14:paraId="6FADCD38">
            <w:pPr>
              <w:pStyle w:val="44"/>
              <w:bidi w:val="0"/>
              <w:rPr>
                <w:rFonts w:hint="eastAsia"/>
                <w:lang w:val="en-US" w:eastAsia="zh-CN"/>
              </w:rPr>
            </w:pPr>
            <w:r>
              <w:rPr>
                <w:rFonts w:hint="eastAsia"/>
                <w:lang w:val="en-US" w:eastAsia="zh-CN"/>
              </w:rPr>
              <w:t>现有项目废水排放总量核算一览表</w:t>
            </w:r>
          </w:p>
          <w:tbl>
            <w:tblPr>
              <w:tblStyle w:val="32"/>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167"/>
              <w:gridCol w:w="1105"/>
              <w:gridCol w:w="1907"/>
              <w:gridCol w:w="1762"/>
              <w:gridCol w:w="1857"/>
            </w:tblGrid>
            <w:tr w14:paraId="21D4A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748" w:type="pct"/>
                  <w:tcBorders>
                    <w:tl2br w:val="nil"/>
                    <w:tr2bl w:val="nil"/>
                  </w:tcBorders>
                  <w:noWrap w:val="0"/>
                  <w:vAlign w:val="center"/>
                </w:tcPr>
                <w:p w14:paraId="2169AC4B">
                  <w:pPr>
                    <w:pStyle w:val="41"/>
                    <w:bidi w:val="0"/>
                    <w:jc w:val="center"/>
                    <w:rPr>
                      <w:b/>
                      <w:bCs/>
                      <w:color w:val="auto"/>
                      <w:highlight w:val="none"/>
                    </w:rPr>
                  </w:pPr>
                  <w:r>
                    <w:rPr>
                      <w:b/>
                      <w:bCs/>
                      <w:color w:val="auto"/>
                      <w:highlight w:val="none"/>
                    </w:rPr>
                    <w:t>类型</w:t>
                  </w:r>
                </w:p>
              </w:tc>
              <w:tc>
                <w:tcPr>
                  <w:tcW w:w="708" w:type="pct"/>
                  <w:tcBorders>
                    <w:tl2br w:val="nil"/>
                    <w:tr2bl w:val="nil"/>
                  </w:tcBorders>
                  <w:noWrap w:val="0"/>
                  <w:vAlign w:val="center"/>
                </w:tcPr>
                <w:p w14:paraId="640D055B">
                  <w:pPr>
                    <w:pStyle w:val="41"/>
                    <w:bidi w:val="0"/>
                    <w:jc w:val="center"/>
                    <w:rPr>
                      <w:b/>
                      <w:bCs/>
                      <w:color w:val="auto"/>
                      <w:highlight w:val="none"/>
                    </w:rPr>
                  </w:pPr>
                  <w:r>
                    <w:rPr>
                      <w:b/>
                      <w:bCs/>
                      <w:color w:val="auto"/>
                      <w:highlight w:val="none"/>
                    </w:rPr>
                    <w:t>监测因子</w:t>
                  </w:r>
                </w:p>
              </w:tc>
              <w:tc>
                <w:tcPr>
                  <w:tcW w:w="1222" w:type="pct"/>
                  <w:tcBorders>
                    <w:tl2br w:val="nil"/>
                    <w:tr2bl w:val="nil"/>
                  </w:tcBorders>
                  <w:noWrap w:val="0"/>
                  <w:vAlign w:val="center"/>
                </w:tcPr>
                <w:p w14:paraId="37D88248">
                  <w:pPr>
                    <w:pStyle w:val="41"/>
                    <w:bidi w:val="0"/>
                    <w:jc w:val="center"/>
                    <w:rPr>
                      <w:b/>
                      <w:bCs/>
                      <w:color w:val="auto"/>
                      <w:highlight w:val="none"/>
                    </w:rPr>
                  </w:pPr>
                  <w:r>
                    <w:rPr>
                      <w:rFonts w:hint="eastAsia"/>
                      <w:b/>
                      <w:bCs/>
                      <w:color w:val="auto"/>
                      <w:highlight w:val="none"/>
                      <w:lang w:eastAsia="zh-CN"/>
                    </w:rPr>
                    <w:t>最大</w:t>
                  </w:r>
                  <w:r>
                    <w:rPr>
                      <w:rFonts w:hint="eastAsia"/>
                      <w:b/>
                      <w:bCs/>
                      <w:color w:val="auto"/>
                      <w:highlight w:val="none"/>
                      <w:lang w:val="en-US" w:eastAsia="zh-CN"/>
                    </w:rPr>
                    <w:t>排放浓度</w:t>
                  </w:r>
                  <w:r>
                    <w:rPr>
                      <w:b/>
                      <w:bCs/>
                      <w:color w:val="auto"/>
                      <w:highlight w:val="none"/>
                    </w:rPr>
                    <w:t>（mg/L）</w:t>
                  </w:r>
                </w:p>
              </w:tc>
              <w:tc>
                <w:tcPr>
                  <w:tcW w:w="1129" w:type="pct"/>
                  <w:tcBorders>
                    <w:tl2br w:val="nil"/>
                    <w:tr2bl w:val="nil"/>
                  </w:tcBorders>
                  <w:noWrap w:val="0"/>
                  <w:vAlign w:val="center"/>
                </w:tcPr>
                <w:p w14:paraId="311A3D7E">
                  <w:pPr>
                    <w:pStyle w:val="41"/>
                    <w:bidi w:val="0"/>
                    <w:jc w:val="center"/>
                    <w:rPr>
                      <w:b/>
                      <w:bCs/>
                      <w:color w:val="auto"/>
                      <w:highlight w:val="none"/>
                    </w:rPr>
                  </w:pPr>
                  <w:r>
                    <w:rPr>
                      <w:rFonts w:hint="eastAsia"/>
                      <w:b/>
                      <w:bCs/>
                      <w:color w:val="auto"/>
                      <w:highlight w:val="none"/>
                    </w:rPr>
                    <w:t>核定接管</w:t>
                  </w:r>
                  <w:r>
                    <w:rPr>
                      <w:rFonts w:hint="eastAsia"/>
                      <w:b/>
                      <w:bCs/>
                      <w:color w:val="auto"/>
                      <w:highlight w:val="none"/>
                      <w:lang w:val="en-US" w:eastAsia="zh-CN"/>
                    </w:rPr>
                    <w:t>量</w:t>
                  </w:r>
                  <w:r>
                    <w:rPr>
                      <w:b/>
                      <w:bCs/>
                      <w:color w:val="auto"/>
                      <w:highlight w:val="none"/>
                    </w:rPr>
                    <w:t>（t/a）</w:t>
                  </w:r>
                </w:p>
              </w:tc>
              <w:tc>
                <w:tcPr>
                  <w:tcW w:w="1190" w:type="pct"/>
                  <w:tcBorders>
                    <w:tl2br w:val="nil"/>
                    <w:tr2bl w:val="nil"/>
                  </w:tcBorders>
                  <w:noWrap w:val="0"/>
                  <w:vAlign w:val="center"/>
                </w:tcPr>
                <w:p w14:paraId="63D0D78B">
                  <w:pPr>
                    <w:pStyle w:val="41"/>
                    <w:bidi w:val="0"/>
                    <w:jc w:val="center"/>
                    <w:rPr>
                      <w:b/>
                      <w:bCs/>
                      <w:color w:val="auto"/>
                      <w:highlight w:val="none"/>
                    </w:rPr>
                  </w:pPr>
                  <w:r>
                    <w:rPr>
                      <w:rFonts w:hint="eastAsia"/>
                      <w:b/>
                      <w:bCs/>
                      <w:color w:val="auto"/>
                      <w:highlight w:val="none"/>
                    </w:rPr>
                    <w:t>环评核定接管量</w:t>
                  </w:r>
                  <w:r>
                    <w:rPr>
                      <w:b/>
                      <w:bCs/>
                      <w:color w:val="auto"/>
                      <w:highlight w:val="none"/>
                    </w:rPr>
                    <w:t>（t/a）</w:t>
                  </w:r>
                </w:p>
              </w:tc>
            </w:tr>
            <w:tr w14:paraId="78AB6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748" w:type="pct"/>
                  <w:vMerge w:val="restart"/>
                  <w:tcBorders>
                    <w:tl2br w:val="nil"/>
                    <w:tr2bl w:val="nil"/>
                  </w:tcBorders>
                  <w:noWrap w:val="0"/>
                  <w:vAlign w:val="center"/>
                </w:tcPr>
                <w:p w14:paraId="3CC3F6EC">
                  <w:pPr>
                    <w:pStyle w:val="41"/>
                    <w:bidi w:val="0"/>
                    <w:jc w:val="center"/>
                    <w:rPr>
                      <w:color w:val="auto"/>
                      <w:highlight w:val="none"/>
                    </w:rPr>
                  </w:pPr>
                  <w:r>
                    <w:rPr>
                      <w:rFonts w:hint="eastAsia"/>
                      <w:color w:val="auto"/>
                      <w:highlight w:val="none"/>
                      <w:lang w:val="en-US" w:eastAsia="zh-CN"/>
                    </w:rPr>
                    <w:t>综合污水</w:t>
                  </w:r>
                  <w:r>
                    <w:rPr>
                      <w:rFonts w:hint="eastAsia"/>
                      <w:color w:val="auto"/>
                      <w:highlight w:val="none"/>
                    </w:rPr>
                    <w:t>（</w:t>
                  </w:r>
                  <w:r>
                    <w:rPr>
                      <w:rFonts w:hint="eastAsia"/>
                      <w:color w:val="auto"/>
                      <w:highlight w:val="none"/>
                      <w:lang w:val="en-US" w:eastAsia="zh-CN"/>
                    </w:rPr>
                    <w:t>28562.95</w:t>
                  </w:r>
                  <w:r>
                    <w:rPr>
                      <w:rFonts w:hint="eastAsia"/>
                      <w:color w:val="auto"/>
                      <w:highlight w:val="none"/>
                    </w:rPr>
                    <w:t>t/a）</w:t>
                  </w:r>
                </w:p>
              </w:tc>
              <w:tc>
                <w:tcPr>
                  <w:tcW w:w="708" w:type="pct"/>
                  <w:tcBorders>
                    <w:tl2br w:val="nil"/>
                    <w:tr2bl w:val="nil"/>
                  </w:tcBorders>
                  <w:noWrap w:val="0"/>
                  <w:vAlign w:val="center"/>
                </w:tcPr>
                <w:p w14:paraId="044744BC">
                  <w:pPr>
                    <w:pStyle w:val="41"/>
                    <w:bidi w:val="0"/>
                    <w:jc w:val="center"/>
                    <w:rPr>
                      <w:color w:val="auto"/>
                      <w:highlight w:val="none"/>
                      <w:lang w:val="en-US" w:eastAsia="zh-CN"/>
                    </w:rPr>
                  </w:pPr>
                  <w:r>
                    <w:rPr>
                      <w:color w:val="auto"/>
                      <w:highlight w:val="none"/>
                    </w:rPr>
                    <w:t>化学需氧量</w:t>
                  </w:r>
                </w:p>
              </w:tc>
              <w:tc>
                <w:tcPr>
                  <w:tcW w:w="1222" w:type="pct"/>
                  <w:tcBorders>
                    <w:tl2br w:val="nil"/>
                    <w:tr2bl w:val="nil"/>
                  </w:tcBorders>
                  <w:noWrap w:val="0"/>
                  <w:vAlign w:val="center"/>
                </w:tcPr>
                <w:p w14:paraId="48F52215">
                  <w:pPr>
                    <w:pStyle w:val="41"/>
                    <w:bidi w:val="0"/>
                    <w:jc w:val="center"/>
                    <w:rPr>
                      <w:rFonts w:hint="default"/>
                      <w:color w:val="auto"/>
                      <w:highlight w:val="none"/>
                      <w:lang w:val="en-US" w:eastAsia="zh-CN"/>
                    </w:rPr>
                  </w:pPr>
                  <w:r>
                    <w:rPr>
                      <w:rFonts w:hint="eastAsia"/>
                      <w:color w:val="auto"/>
                      <w:highlight w:val="none"/>
                      <w:lang w:val="en-US" w:eastAsia="zh-CN"/>
                    </w:rPr>
                    <w:t>47</w:t>
                  </w:r>
                </w:p>
              </w:tc>
              <w:tc>
                <w:tcPr>
                  <w:tcW w:w="1129" w:type="pct"/>
                  <w:tcBorders>
                    <w:tl2br w:val="nil"/>
                    <w:tr2bl w:val="nil"/>
                  </w:tcBorders>
                  <w:shd w:val="clear" w:color="auto" w:fill="auto"/>
                  <w:noWrap w:val="0"/>
                  <w:vAlign w:val="top"/>
                </w:tcPr>
                <w:p w14:paraId="61F68D1B">
                  <w:pPr>
                    <w:pStyle w:val="41"/>
                    <w:bidi w:val="0"/>
                    <w:rPr>
                      <w:rFonts w:hint="eastAsia" w:eastAsia="宋体"/>
                      <w:lang w:val="en-US" w:eastAsia="zh-CN"/>
                    </w:rPr>
                  </w:pPr>
                  <w:r>
                    <w:rPr>
                      <w:rFonts w:hint="eastAsia"/>
                    </w:rPr>
                    <w:t>1.3425</w:t>
                  </w:r>
                </w:p>
              </w:tc>
              <w:tc>
                <w:tcPr>
                  <w:tcW w:w="1190" w:type="pct"/>
                  <w:tcBorders>
                    <w:tl2br w:val="nil"/>
                    <w:tr2bl w:val="nil"/>
                  </w:tcBorders>
                  <w:noWrap w:val="0"/>
                  <w:vAlign w:val="center"/>
                </w:tcPr>
                <w:p w14:paraId="1DBD2905">
                  <w:pPr>
                    <w:pStyle w:val="41"/>
                    <w:bidi w:val="0"/>
                    <w:jc w:val="center"/>
                    <w:rPr>
                      <w:rFonts w:hint="default" w:eastAsia="宋体"/>
                      <w:color w:val="auto"/>
                      <w:highlight w:val="none"/>
                      <w:lang w:val="en-US" w:eastAsia="zh-CN"/>
                    </w:rPr>
                  </w:pPr>
                  <w:r>
                    <w:rPr>
                      <w:rFonts w:hint="eastAsia"/>
                      <w:b w:val="0"/>
                      <w:bCs w:val="0"/>
                      <w:color w:val="auto"/>
                      <w:highlight w:val="none"/>
                      <w:lang w:val="en-US" w:eastAsia="zh-CN"/>
                    </w:rPr>
                    <w:t>7.706</w:t>
                  </w:r>
                </w:p>
              </w:tc>
            </w:tr>
            <w:tr w14:paraId="2BDF7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748" w:type="pct"/>
                  <w:vMerge w:val="continue"/>
                  <w:tcBorders>
                    <w:tl2br w:val="nil"/>
                    <w:tr2bl w:val="nil"/>
                  </w:tcBorders>
                  <w:noWrap w:val="0"/>
                  <w:vAlign w:val="center"/>
                </w:tcPr>
                <w:p w14:paraId="6937F5C9">
                  <w:pPr>
                    <w:pStyle w:val="41"/>
                    <w:bidi w:val="0"/>
                    <w:jc w:val="center"/>
                    <w:rPr>
                      <w:color w:val="auto"/>
                      <w:highlight w:val="none"/>
                    </w:rPr>
                  </w:pPr>
                </w:p>
              </w:tc>
              <w:tc>
                <w:tcPr>
                  <w:tcW w:w="708" w:type="pct"/>
                  <w:tcBorders>
                    <w:tl2br w:val="nil"/>
                    <w:tr2bl w:val="nil"/>
                  </w:tcBorders>
                  <w:noWrap w:val="0"/>
                  <w:vAlign w:val="center"/>
                </w:tcPr>
                <w:p w14:paraId="5CF0AC3B">
                  <w:pPr>
                    <w:pStyle w:val="41"/>
                    <w:bidi w:val="0"/>
                    <w:jc w:val="center"/>
                    <w:rPr>
                      <w:color w:val="auto"/>
                      <w:highlight w:val="none"/>
                      <w:lang w:val="en-US" w:eastAsia="zh-CN"/>
                    </w:rPr>
                  </w:pPr>
                  <w:r>
                    <w:rPr>
                      <w:color w:val="auto"/>
                      <w:highlight w:val="none"/>
                    </w:rPr>
                    <w:t>悬浮物</w:t>
                  </w:r>
                </w:p>
              </w:tc>
              <w:tc>
                <w:tcPr>
                  <w:tcW w:w="1222" w:type="pct"/>
                  <w:tcBorders>
                    <w:tl2br w:val="nil"/>
                    <w:tr2bl w:val="nil"/>
                  </w:tcBorders>
                  <w:noWrap w:val="0"/>
                  <w:vAlign w:val="center"/>
                </w:tcPr>
                <w:p w14:paraId="3B33EBEB">
                  <w:pPr>
                    <w:pStyle w:val="41"/>
                    <w:bidi w:val="0"/>
                    <w:jc w:val="center"/>
                    <w:rPr>
                      <w:rFonts w:hint="default"/>
                      <w:color w:val="auto"/>
                      <w:highlight w:val="none"/>
                      <w:lang w:val="en-US" w:eastAsia="zh-CN"/>
                    </w:rPr>
                  </w:pPr>
                  <w:r>
                    <w:rPr>
                      <w:rFonts w:hint="eastAsia"/>
                      <w:color w:val="auto"/>
                      <w:highlight w:val="none"/>
                      <w:lang w:val="en-US" w:eastAsia="zh-CN"/>
                    </w:rPr>
                    <w:t>29</w:t>
                  </w:r>
                </w:p>
              </w:tc>
              <w:tc>
                <w:tcPr>
                  <w:tcW w:w="1129" w:type="pct"/>
                  <w:tcBorders>
                    <w:tl2br w:val="nil"/>
                    <w:tr2bl w:val="nil"/>
                  </w:tcBorders>
                  <w:shd w:val="clear" w:color="auto" w:fill="auto"/>
                  <w:noWrap w:val="0"/>
                  <w:vAlign w:val="top"/>
                </w:tcPr>
                <w:p w14:paraId="780C0A05">
                  <w:pPr>
                    <w:pStyle w:val="41"/>
                    <w:bidi w:val="0"/>
                    <w:rPr>
                      <w:rFonts w:hint="eastAsia" w:eastAsia="宋体"/>
                      <w:lang w:val="en-US" w:eastAsia="zh-CN"/>
                    </w:rPr>
                  </w:pPr>
                  <w:r>
                    <w:rPr>
                      <w:rFonts w:hint="eastAsia"/>
                    </w:rPr>
                    <w:t>0.8283</w:t>
                  </w:r>
                </w:p>
              </w:tc>
              <w:tc>
                <w:tcPr>
                  <w:tcW w:w="1190" w:type="pct"/>
                  <w:tcBorders>
                    <w:tl2br w:val="nil"/>
                    <w:tr2bl w:val="nil"/>
                  </w:tcBorders>
                  <w:noWrap w:val="0"/>
                  <w:vAlign w:val="center"/>
                </w:tcPr>
                <w:p w14:paraId="40C38AE1">
                  <w:pPr>
                    <w:pStyle w:val="41"/>
                    <w:bidi w:val="0"/>
                    <w:jc w:val="center"/>
                    <w:rPr>
                      <w:rFonts w:hint="default" w:eastAsia="宋体"/>
                      <w:color w:val="auto"/>
                      <w:highlight w:val="none"/>
                      <w:lang w:val="en-US" w:eastAsia="zh-CN"/>
                    </w:rPr>
                  </w:pPr>
                  <w:r>
                    <w:rPr>
                      <w:rFonts w:hint="eastAsia"/>
                      <w:color w:val="auto"/>
                      <w:highlight w:val="none"/>
                      <w:lang w:val="en-US" w:eastAsia="zh-CN"/>
                    </w:rPr>
                    <w:t>6.267</w:t>
                  </w:r>
                </w:p>
              </w:tc>
            </w:tr>
            <w:tr w14:paraId="0D5D0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748" w:type="pct"/>
                  <w:vMerge w:val="continue"/>
                  <w:tcBorders>
                    <w:tl2br w:val="nil"/>
                    <w:tr2bl w:val="nil"/>
                  </w:tcBorders>
                  <w:noWrap w:val="0"/>
                  <w:vAlign w:val="center"/>
                </w:tcPr>
                <w:p w14:paraId="396EF359">
                  <w:pPr>
                    <w:pStyle w:val="41"/>
                    <w:bidi w:val="0"/>
                    <w:jc w:val="center"/>
                    <w:rPr>
                      <w:color w:val="auto"/>
                      <w:highlight w:val="none"/>
                    </w:rPr>
                  </w:pPr>
                </w:p>
              </w:tc>
              <w:tc>
                <w:tcPr>
                  <w:tcW w:w="708" w:type="pct"/>
                  <w:tcBorders>
                    <w:tl2br w:val="nil"/>
                    <w:tr2bl w:val="nil"/>
                  </w:tcBorders>
                  <w:noWrap w:val="0"/>
                  <w:vAlign w:val="center"/>
                </w:tcPr>
                <w:p w14:paraId="7A8023E1">
                  <w:pPr>
                    <w:pStyle w:val="41"/>
                    <w:bidi w:val="0"/>
                    <w:jc w:val="center"/>
                    <w:rPr>
                      <w:color w:val="auto"/>
                      <w:highlight w:val="none"/>
                      <w:lang w:val="en-US" w:eastAsia="zh-CN"/>
                    </w:rPr>
                  </w:pPr>
                  <w:r>
                    <w:rPr>
                      <w:color w:val="auto"/>
                      <w:highlight w:val="none"/>
                    </w:rPr>
                    <w:t>氨氮</w:t>
                  </w:r>
                </w:p>
              </w:tc>
              <w:tc>
                <w:tcPr>
                  <w:tcW w:w="1222" w:type="pct"/>
                  <w:tcBorders>
                    <w:tl2br w:val="nil"/>
                    <w:tr2bl w:val="nil"/>
                  </w:tcBorders>
                  <w:noWrap w:val="0"/>
                  <w:vAlign w:val="center"/>
                </w:tcPr>
                <w:p w14:paraId="67672DD2">
                  <w:pPr>
                    <w:pStyle w:val="41"/>
                    <w:bidi w:val="0"/>
                    <w:jc w:val="center"/>
                    <w:rPr>
                      <w:rFonts w:hint="default"/>
                      <w:color w:val="auto"/>
                      <w:highlight w:val="none"/>
                      <w:lang w:val="en-US" w:eastAsia="zh-CN"/>
                    </w:rPr>
                  </w:pPr>
                  <w:r>
                    <w:rPr>
                      <w:rFonts w:hint="eastAsia"/>
                      <w:color w:val="auto"/>
                      <w:highlight w:val="none"/>
                      <w:lang w:val="en-US" w:eastAsia="zh-CN"/>
                    </w:rPr>
                    <w:t>2.85</w:t>
                  </w:r>
                </w:p>
              </w:tc>
              <w:tc>
                <w:tcPr>
                  <w:tcW w:w="1129" w:type="pct"/>
                  <w:tcBorders>
                    <w:tl2br w:val="nil"/>
                    <w:tr2bl w:val="nil"/>
                  </w:tcBorders>
                  <w:shd w:val="clear" w:color="auto" w:fill="auto"/>
                  <w:noWrap w:val="0"/>
                  <w:vAlign w:val="top"/>
                </w:tcPr>
                <w:p w14:paraId="372EBAB1">
                  <w:pPr>
                    <w:pStyle w:val="41"/>
                    <w:bidi w:val="0"/>
                    <w:rPr>
                      <w:rFonts w:hint="eastAsia" w:eastAsia="宋体"/>
                      <w:lang w:val="en-US" w:eastAsia="zh-CN"/>
                    </w:rPr>
                  </w:pPr>
                  <w:r>
                    <w:rPr>
                      <w:rFonts w:hint="eastAsia"/>
                    </w:rPr>
                    <w:t>0.0814</w:t>
                  </w:r>
                </w:p>
              </w:tc>
              <w:tc>
                <w:tcPr>
                  <w:tcW w:w="1190" w:type="pct"/>
                  <w:tcBorders>
                    <w:tl2br w:val="nil"/>
                    <w:tr2bl w:val="nil"/>
                  </w:tcBorders>
                  <w:noWrap w:val="0"/>
                  <w:vAlign w:val="center"/>
                </w:tcPr>
                <w:p w14:paraId="2FB1A964">
                  <w:pPr>
                    <w:pStyle w:val="41"/>
                    <w:bidi w:val="0"/>
                    <w:jc w:val="center"/>
                    <w:rPr>
                      <w:rFonts w:hint="default" w:eastAsia="宋体"/>
                      <w:color w:val="auto"/>
                      <w:highlight w:val="none"/>
                      <w:lang w:val="en-US" w:eastAsia="zh-CN"/>
                    </w:rPr>
                  </w:pPr>
                  <w:r>
                    <w:rPr>
                      <w:color w:val="auto"/>
                      <w:highlight w:val="none"/>
                    </w:rPr>
                    <w:t>0.</w:t>
                  </w:r>
                  <w:r>
                    <w:rPr>
                      <w:rFonts w:hint="eastAsia"/>
                      <w:color w:val="auto"/>
                      <w:highlight w:val="none"/>
                      <w:lang w:val="en-US" w:eastAsia="zh-CN"/>
                    </w:rPr>
                    <w:t>7157</w:t>
                  </w:r>
                </w:p>
              </w:tc>
            </w:tr>
            <w:tr w14:paraId="08539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748" w:type="pct"/>
                  <w:vMerge w:val="continue"/>
                  <w:tcBorders>
                    <w:tl2br w:val="nil"/>
                    <w:tr2bl w:val="nil"/>
                  </w:tcBorders>
                  <w:noWrap w:val="0"/>
                  <w:vAlign w:val="center"/>
                </w:tcPr>
                <w:p w14:paraId="0FF5B20E">
                  <w:pPr>
                    <w:pStyle w:val="41"/>
                    <w:bidi w:val="0"/>
                    <w:jc w:val="center"/>
                    <w:rPr>
                      <w:color w:val="auto"/>
                      <w:highlight w:val="none"/>
                    </w:rPr>
                  </w:pPr>
                </w:p>
              </w:tc>
              <w:tc>
                <w:tcPr>
                  <w:tcW w:w="708" w:type="pct"/>
                  <w:tcBorders>
                    <w:tl2br w:val="nil"/>
                    <w:tr2bl w:val="nil"/>
                  </w:tcBorders>
                  <w:noWrap w:val="0"/>
                  <w:vAlign w:val="center"/>
                </w:tcPr>
                <w:p w14:paraId="46752888">
                  <w:pPr>
                    <w:pStyle w:val="41"/>
                    <w:bidi w:val="0"/>
                    <w:jc w:val="center"/>
                    <w:rPr>
                      <w:rFonts w:hint="eastAsia" w:eastAsia="宋体"/>
                      <w:color w:val="auto"/>
                      <w:highlight w:val="none"/>
                      <w:lang w:val="en-US" w:eastAsia="zh-CN"/>
                    </w:rPr>
                  </w:pPr>
                  <w:r>
                    <w:rPr>
                      <w:rFonts w:hint="eastAsia"/>
                      <w:color w:val="auto"/>
                      <w:highlight w:val="none"/>
                      <w:lang w:val="en-US" w:eastAsia="zh-CN"/>
                    </w:rPr>
                    <w:t>总氮</w:t>
                  </w:r>
                </w:p>
              </w:tc>
              <w:tc>
                <w:tcPr>
                  <w:tcW w:w="1222" w:type="pct"/>
                  <w:tcBorders>
                    <w:tl2br w:val="nil"/>
                    <w:tr2bl w:val="nil"/>
                  </w:tcBorders>
                  <w:noWrap w:val="0"/>
                  <w:vAlign w:val="center"/>
                </w:tcPr>
                <w:p w14:paraId="5C3CE7C9">
                  <w:pPr>
                    <w:pStyle w:val="41"/>
                    <w:bidi w:val="0"/>
                    <w:jc w:val="center"/>
                    <w:rPr>
                      <w:rFonts w:hint="default"/>
                      <w:color w:val="auto"/>
                      <w:highlight w:val="none"/>
                      <w:lang w:val="en-US" w:eastAsia="zh-CN"/>
                    </w:rPr>
                  </w:pPr>
                  <w:r>
                    <w:rPr>
                      <w:rFonts w:hint="eastAsia"/>
                      <w:color w:val="auto"/>
                      <w:highlight w:val="none"/>
                      <w:lang w:val="en-US" w:eastAsia="zh-CN"/>
                    </w:rPr>
                    <w:t>6.72</w:t>
                  </w:r>
                </w:p>
              </w:tc>
              <w:tc>
                <w:tcPr>
                  <w:tcW w:w="1129" w:type="pct"/>
                  <w:tcBorders>
                    <w:tl2br w:val="nil"/>
                    <w:tr2bl w:val="nil"/>
                  </w:tcBorders>
                  <w:shd w:val="clear" w:color="auto" w:fill="auto"/>
                  <w:noWrap w:val="0"/>
                  <w:vAlign w:val="top"/>
                </w:tcPr>
                <w:p w14:paraId="5B032ED7">
                  <w:pPr>
                    <w:pStyle w:val="41"/>
                    <w:bidi w:val="0"/>
                    <w:rPr>
                      <w:rFonts w:hint="eastAsia" w:eastAsia="宋体"/>
                      <w:lang w:val="en-US" w:eastAsia="zh-CN"/>
                    </w:rPr>
                  </w:pPr>
                  <w:r>
                    <w:rPr>
                      <w:rFonts w:hint="eastAsia"/>
                    </w:rPr>
                    <w:t>0.1919</w:t>
                  </w:r>
                </w:p>
              </w:tc>
              <w:tc>
                <w:tcPr>
                  <w:tcW w:w="1190" w:type="pct"/>
                  <w:tcBorders>
                    <w:tl2br w:val="nil"/>
                    <w:tr2bl w:val="nil"/>
                  </w:tcBorders>
                  <w:noWrap w:val="0"/>
                  <w:vAlign w:val="center"/>
                </w:tcPr>
                <w:p w14:paraId="54005E78">
                  <w:pPr>
                    <w:pStyle w:val="41"/>
                    <w:bidi w:val="0"/>
                    <w:jc w:val="center"/>
                    <w:rPr>
                      <w:rFonts w:hint="default" w:eastAsia="宋体"/>
                      <w:color w:val="auto"/>
                      <w:highlight w:val="none"/>
                      <w:lang w:val="en-US" w:eastAsia="zh-CN"/>
                    </w:rPr>
                  </w:pPr>
                  <w:r>
                    <w:rPr>
                      <w:rFonts w:hint="eastAsia"/>
                      <w:color w:val="auto"/>
                      <w:highlight w:val="none"/>
                      <w:lang w:val="en-US" w:eastAsia="zh-CN"/>
                    </w:rPr>
                    <w:t>0.154</w:t>
                  </w:r>
                </w:p>
              </w:tc>
            </w:tr>
            <w:tr w14:paraId="5FD29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748" w:type="pct"/>
                  <w:vMerge w:val="continue"/>
                  <w:tcBorders>
                    <w:tl2br w:val="nil"/>
                    <w:tr2bl w:val="nil"/>
                  </w:tcBorders>
                  <w:noWrap w:val="0"/>
                  <w:vAlign w:val="center"/>
                </w:tcPr>
                <w:p w14:paraId="075C819F">
                  <w:pPr>
                    <w:pStyle w:val="41"/>
                    <w:bidi w:val="0"/>
                    <w:jc w:val="center"/>
                    <w:rPr>
                      <w:color w:val="auto"/>
                      <w:highlight w:val="none"/>
                    </w:rPr>
                  </w:pPr>
                </w:p>
              </w:tc>
              <w:tc>
                <w:tcPr>
                  <w:tcW w:w="708" w:type="pct"/>
                  <w:tcBorders>
                    <w:tl2br w:val="nil"/>
                    <w:tr2bl w:val="nil"/>
                  </w:tcBorders>
                  <w:noWrap w:val="0"/>
                  <w:vAlign w:val="center"/>
                </w:tcPr>
                <w:p w14:paraId="1BDD1076">
                  <w:pPr>
                    <w:pStyle w:val="41"/>
                    <w:bidi w:val="0"/>
                    <w:jc w:val="center"/>
                    <w:rPr>
                      <w:color w:val="auto"/>
                      <w:highlight w:val="none"/>
                      <w:lang w:val="en-US" w:eastAsia="zh-CN"/>
                    </w:rPr>
                  </w:pPr>
                  <w:r>
                    <w:rPr>
                      <w:color w:val="auto"/>
                      <w:highlight w:val="none"/>
                    </w:rPr>
                    <w:t>总磷</w:t>
                  </w:r>
                </w:p>
              </w:tc>
              <w:tc>
                <w:tcPr>
                  <w:tcW w:w="1222" w:type="pct"/>
                  <w:tcBorders>
                    <w:tl2br w:val="nil"/>
                    <w:tr2bl w:val="nil"/>
                  </w:tcBorders>
                  <w:noWrap w:val="0"/>
                  <w:vAlign w:val="center"/>
                </w:tcPr>
                <w:p w14:paraId="2788EB93">
                  <w:pPr>
                    <w:pStyle w:val="41"/>
                    <w:bidi w:val="0"/>
                    <w:jc w:val="center"/>
                    <w:rPr>
                      <w:rFonts w:hint="default"/>
                      <w:color w:val="auto"/>
                      <w:highlight w:val="none"/>
                      <w:lang w:val="en-US" w:eastAsia="zh-CN"/>
                    </w:rPr>
                  </w:pPr>
                  <w:r>
                    <w:rPr>
                      <w:rFonts w:hint="eastAsia"/>
                      <w:color w:val="auto"/>
                      <w:highlight w:val="none"/>
                      <w:lang w:val="en-US" w:eastAsia="zh-CN"/>
                    </w:rPr>
                    <w:t>0.29</w:t>
                  </w:r>
                </w:p>
              </w:tc>
              <w:tc>
                <w:tcPr>
                  <w:tcW w:w="1129" w:type="pct"/>
                  <w:tcBorders>
                    <w:tl2br w:val="nil"/>
                    <w:tr2bl w:val="nil"/>
                  </w:tcBorders>
                  <w:shd w:val="clear" w:color="auto" w:fill="auto"/>
                  <w:noWrap w:val="0"/>
                  <w:vAlign w:val="top"/>
                </w:tcPr>
                <w:p w14:paraId="79355EFF">
                  <w:pPr>
                    <w:pStyle w:val="41"/>
                    <w:bidi w:val="0"/>
                    <w:rPr>
                      <w:rFonts w:hint="eastAsia" w:eastAsia="宋体"/>
                      <w:lang w:val="en-US" w:eastAsia="zh-CN"/>
                    </w:rPr>
                  </w:pPr>
                  <w:r>
                    <w:rPr>
                      <w:rFonts w:hint="eastAsia"/>
                    </w:rPr>
                    <w:t>0.0083</w:t>
                  </w:r>
                </w:p>
              </w:tc>
              <w:tc>
                <w:tcPr>
                  <w:tcW w:w="1190" w:type="pct"/>
                  <w:tcBorders>
                    <w:tl2br w:val="nil"/>
                    <w:tr2bl w:val="nil"/>
                  </w:tcBorders>
                  <w:noWrap w:val="0"/>
                  <w:vAlign w:val="center"/>
                </w:tcPr>
                <w:p w14:paraId="4C7F2153">
                  <w:pPr>
                    <w:pStyle w:val="41"/>
                    <w:bidi w:val="0"/>
                    <w:jc w:val="center"/>
                    <w:rPr>
                      <w:rFonts w:hint="default" w:eastAsia="宋体"/>
                      <w:color w:val="auto"/>
                      <w:highlight w:val="none"/>
                      <w:lang w:val="en-US" w:eastAsia="zh-CN"/>
                    </w:rPr>
                  </w:pPr>
                  <w:r>
                    <w:rPr>
                      <w:rFonts w:hint="eastAsia"/>
                      <w:color w:val="auto"/>
                      <w:highlight w:val="none"/>
                      <w:lang w:val="en-US" w:eastAsia="zh-CN"/>
                    </w:rPr>
                    <w:t>0.12037</w:t>
                  </w:r>
                </w:p>
              </w:tc>
            </w:tr>
          </w:tbl>
          <w:p w14:paraId="6EE60931">
            <w:pPr>
              <w:pStyle w:val="41"/>
              <w:bidi w:val="0"/>
              <w:rPr>
                <w:rFonts w:hint="eastAsia"/>
                <w:lang w:val="en-US" w:eastAsia="zh-CN"/>
              </w:rPr>
            </w:pPr>
          </w:p>
          <w:p w14:paraId="163998D0">
            <w:pPr>
              <w:bidi w:val="0"/>
              <w:ind w:firstLine="482" w:firstLineChars="200"/>
              <w:rPr>
                <w:rFonts w:hint="default"/>
                <w:b/>
                <w:bCs/>
                <w:lang w:val="en-US" w:eastAsia="zh-CN"/>
              </w:rPr>
            </w:pPr>
            <w:r>
              <w:rPr>
                <w:rFonts w:hint="eastAsia"/>
                <w:b/>
                <w:bCs/>
                <w:lang w:val="en-US" w:eastAsia="zh-CN"/>
              </w:rPr>
              <w:t>②废气总量核定</w:t>
            </w:r>
          </w:p>
          <w:p w14:paraId="4D13BAF2">
            <w:pPr>
              <w:bidi w:val="0"/>
              <w:ind w:firstLine="480" w:firstLineChars="200"/>
              <w:rPr>
                <w:rFonts w:hint="default"/>
                <w:lang w:val="en-US" w:eastAsia="zh-CN"/>
              </w:rPr>
            </w:pPr>
            <w:r>
              <w:rPr>
                <w:rFonts w:hint="eastAsia"/>
                <w:lang w:val="en-US" w:eastAsia="zh-CN"/>
              </w:rPr>
              <w:t>由于企业仅对5号楼废气排放情况进行了例行监测，3号楼无有组织废气，此处根据企业“康缘医药科技园项目”验收监测报告对现有项目废气排放总量进行评价。</w:t>
            </w:r>
          </w:p>
          <w:p w14:paraId="45A31DB8">
            <w:pPr>
              <w:pStyle w:val="44"/>
              <w:bidi w:val="0"/>
              <w:rPr>
                <w:rFonts w:hint="default"/>
                <w:lang w:val="en-US"/>
              </w:rPr>
            </w:pPr>
            <w:r>
              <w:rPr>
                <w:rFonts w:hint="eastAsia"/>
                <w:lang w:val="en-US" w:eastAsia="zh-CN"/>
              </w:rPr>
              <w:t>现有项目废气排放总量核算一览表</w:t>
            </w:r>
          </w:p>
          <w:tbl>
            <w:tblPr>
              <w:tblStyle w:val="32"/>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3" w:type="dxa"/>
                <w:bottom w:w="0" w:type="dxa"/>
                <w:right w:w="23" w:type="dxa"/>
              </w:tblCellMar>
            </w:tblPr>
            <w:tblGrid>
              <w:gridCol w:w="1018"/>
              <w:gridCol w:w="1764"/>
              <w:gridCol w:w="2339"/>
              <w:gridCol w:w="2684"/>
            </w:tblGrid>
            <w:tr w14:paraId="33DC9C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23" w:hRule="atLeast"/>
                <w:jc w:val="center"/>
              </w:trPr>
              <w:tc>
                <w:tcPr>
                  <w:tcW w:w="652" w:type="pct"/>
                  <w:tcBorders>
                    <w:tl2br w:val="nil"/>
                    <w:tr2bl w:val="nil"/>
                  </w:tcBorders>
                  <w:vAlign w:val="center"/>
                </w:tcPr>
                <w:p w14:paraId="10C5DCB3">
                  <w:pPr>
                    <w:pStyle w:val="41"/>
                    <w:bidi w:val="0"/>
                    <w:rPr>
                      <w:rFonts w:hint="default"/>
                      <w:b/>
                      <w:bCs/>
                    </w:rPr>
                  </w:pPr>
                  <w:r>
                    <w:rPr>
                      <w:rFonts w:hint="default"/>
                      <w:b/>
                      <w:bCs/>
                    </w:rPr>
                    <w:t>类型</w:t>
                  </w:r>
                </w:p>
              </w:tc>
              <w:tc>
                <w:tcPr>
                  <w:tcW w:w="1130" w:type="pct"/>
                  <w:tcBorders>
                    <w:tl2br w:val="nil"/>
                    <w:tr2bl w:val="nil"/>
                  </w:tcBorders>
                  <w:vAlign w:val="center"/>
                </w:tcPr>
                <w:p w14:paraId="3B7184F3">
                  <w:pPr>
                    <w:pStyle w:val="41"/>
                    <w:bidi w:val="0"/>
                    <w:rPr>
                      <w:rFonts w:hint="default"/>
                      <w:b/>
                      <w:bCs/>
                    </w:rPr>
                  </w:pPr>
                  <w:r>
                    <w:rPr>
                      <w:rFonts w:hint="default"/>
                      <w:b/>
                      <w:bCs/>
                    </w:rPr>
                    <w:t>监测因子</w:t>
                  </w:r>
                </w:p>
              </w:tc>
              <w:tc>
                <w:tcPr>
                  <w:tcW w:w="1498" w:type="pct"/>
                  <w:tcBorders>
                    <w:tl2br w:val="nil"/>
                    <w:tr2bl w:val="nil"/>
                  </w:tcBorders>
                  <w:vAlign w:val="center"/>
                </w:tcPr>
                <w:p w14:paraId="6C60FCD2">
                  <w:pPr>
                    <w:pStyle w:val="41"/>
                    <w:bidi w:val="0"/>
                    <w:rPr>
                      <w:rFonts w:hint="default"/>
                      <w:b/>
                      <w:bCs/>
                    </w:rPr>
                  </w:pPr>
                  <w:r>
                    <w:rPr>
                      <w:rFonts w:hint="default"/>
                      <w:b/>
                      <w:bCs/>
                    </w:rPr>
                    <w:t>核定结果（t/a）</w:t>
                  </w:r>
                </w:p>
              </w:tc>
              <w:tc>
                <w:tcPr>
                  <w:tcW w:w="1719" w:type="pct"/>
                  <w:tcBorders>
                    <w:tl2br w:val="nil"/>
                    <w:tr2bl w:val="nil"/>
                  </w:tcBorders>
                  <w:vAlign w:val="center"/>
                </w:tcPr>
                <w:p w14:paraId="3F26995C">
                  <w:pPr>
                    <w:pStyle w:val="41"/>
                    <w:bidi w:val="0"/>
                    <w:rPr>
                      <w:rFonts w:hint="default"/>
                      <w:b/>
                      <w:bCs/>
                    </w:rPr>
                  </w:pPr>
                  <w:r>
                    <w:rPr>
                      <w:rFonts w:hint="default"/>
                      <w:b/>
                      <w:bCs/>
                    </w:rPr>
                    <w:t>控制总量（t/a）</w:t>
                  </w:r>
                </w:p>
              </w:tc>
            </w:tr>
            <w:tr w14:paraId="1513A0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23" w:hRule="atLeast"/>
                <w:jc w:val="center"/>
              </w:trPr>
              <w:tc>
                <w:tcPr>
                  <w:tcW w:w="652" w:type="pct"/>
                  <w:vMerge w:val="restart"/>
                  <w:tcBorders>
                    <w:tl2br w:val="nil"/>
                    <w:tr2bl w:val="nil"/>
                  </w:tcBorders>
                  <w:vAlign w:val="center"/>
                </w:tcPr>
                <w:p w14:paraId="47031375">
                  <w:pPr>
                    <w:pStyle w:val="41"/>
                    <w:bidi w:val="0"/>
                    <w:rPr>
                      <w:rFonts w:hint="default"/>
                    </w:rPr>
                  </w:pPr>
                  <w:r>
                    <w:rPr>
                      <w:rFonts w:hint="default"/>
                    </w:rPr>
                    <w:t>废气</w:t>
                  </w:r>
                </w:p>
              </w:tc>
              <w:tc>
                <w:tcPr>
                  <w:tcW w:w="1130" w:type="pct"/>
                  <w:tcBorders>
                    <w:tl2br w:val="nil"/>
                    <w:tr2bl w:val="nil"/>
                  </w:tcBorders>
                  <w:vAlign w:val="center"/>
                </w:tcPr>
                <w:p w14:paraId="403EE83C">
                  <w:pPr>
                    <w:pStyle w:val="41"/>
                    <w:bidi w:val="0"/>
                    <w:rPr>
                      <w:rFonts w:hint="default"/>
                      <w:lang w:val="en-US" w:eastAsia="zh-CN"/>
                    </w:rPr>
                  </w:pPr>
                  <w:r>
                    <w:rPr>
                      <w:rFonts w:hint="eastAsia"/>
                      <w:lang w:val="en-US" w:eastAsia="zh-CN"/>
                    </w:rPr>
                    <w:t>非甲烷总烃</w:t>
                  </w:r>
                </w:p>
              </w:tc>
              <w:tc>
                <w:tcPr>
                  <w:tcW w:w="1498" w:type="pct"/>
                  <w:tcBorders>
                    <w:tl2br w:val="nil"/>
                    <w:tr2bl w:val="nil"/>
                  </w:tcBorders>
                  <w:vAlign w:val="center"/>
                </w:tcPr>
                <w:p w14:paraId="05AFC071">
                  <w:pPr>
                    <w:pStyle w:val="41"/>
                    <w:bidi w:val="0"/>
                    <w:rPr>
                      <w:rFonts w:hint="default"/>
                    </w:rPr>
                  </w:pPr>
                  <w:r>
                    <w:rPr>
                      <w:rFonts w:hint="default"/>
                    </w:rPr>
                    <w:t>0.043</w:t>
                  </w:r>
                </w:p>
              </w:tc>
              <w:tc>
                <w:tcPr>
                  <w:tcW w:w="1719" w:type="pct"/>
                  <w:tcBorders>
                    <w:tl2br w:val="nil"/>
                    <w:tr2bl w:val="nil"/>
                  </w:tcBorders>
                  <w:vAlign w:val="center"/>
                </w:tcPr>
                <w:p w14:paraId="1277BCCB">
                  <w:pPr>
                    <w:pStyle w:val="41"/>
                    <w:bidi w:val="0"/>
                    <w:rPr>
                      <w:rFonts w:hint="default"/>
                    </w:rPr>
                  </w:pPr>
                  <w:r>
                    <w:rPr>
                      <w:rFonts w:hint="default"/>
                    </w:rPr>
                    <w:t>0.283</w:t>
                  </w:r>
                </w:p>
              </w:tc>
            </w:tr>
            <w:tr w14:paraId="30E618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23" w:hRule="atLeast"/>
                <w:jc w:val="center"/>
              </w:trPr>
              <w:tc>
                <w:tcPr>
                  <w:tcW w:w="652" w:type="pct"/>
                  <w:vMerge w:val="continue"/>
                  <w:tcBorders>
                    <w:tl2br w:val="nil"/>
                    <w:tr2bl w:val="nil"/>
                  </w:tcBorders>
                  <w:vAlign w:val="center"/>
                </w:tcPr>
                <w:p w14:paraId="59EA1709">
                  <w:pPr>
                    <w:pStyle w:val="41"/>
                    <w:bidi w:val="0"/>
                    <w:rPr>
                      <w:rFonts w:hint="default"/>
                    </w:rPr>
                  </w:pPr>
                </w:p>
              </w:tc>
              <w:tc>
                <w:tcPr>
                  <w:tcW w:w="1130" w:type="pct"/>
                  <w:tcBorders>
                    <w:tl2br w:val="nil"/>
                    <w:tr2bl w:val="nil"/>
                  </w:tcBorders>
                  <w:vAlign w:val="center"/>
                </w:tcPr>
                <w:p w14:paraId="72474444">
                  <w:pPr>
                    <w:pStyle w:val="41"/>
                    <w:bidi w:val="0"/>
                    <w:rPr>
                      <w:rFonts w:hint="default"/>
                    </w:rPr>
                  </w:pPr>
                  <w:r>
                    <w:rPr>
                      <w:rFonts w:hint="default"/>
                    </w:rPr>
                    <w:t>氨气</w:t>
                  </w:r>
                </w:p>
              </w:tc>
              <w:tc>
                <w:tcPr>
                  <w:tcW w:w="1498" w:type="pct"/>
                  <w:tcBorders>
                    <w:tl2br w:val="nil"/>
                    <w:tr2bl w:val="nil"/>
                  </w:tcBorders>
                  <w:vAlign w:val="center"/>
                </w:tcPr>
                <w:p w14:paraId="37DB6A8C">
                  <w:pPr>
                    <w:pStyle w:val="41"/>
                    <w:bidi w:val="0"/>
                    <w:rPr>
                      <w:rFonts w:hint="eastAsia"/>
                      <w:lang w:val="en-US" w:eastAsia="zh-CN"/>
                    </w:rPr>
                  </w:pPr>
                  <w:r>
                    <w:rPr>
                      <w:rFonts w:hint="eastAsia"/>
                      <w:lang w:val="en-US" w:eastAsia="zh-CN"/>
                    </w:rPr>
                    <w:t>2.02824</w:t>
                  </w:r>
                  <w:r>
                    <w:rPr>
                      <w:rFonts w:hint="default"/>
                      <w:lang w:val="en-US" w:eastAsia="zh-CN"/>
                    </w:rPr>
                    <w:t>×</w:t>
                  </w:r>
                  <w:r>
                    <w:rPr>
                      <w:rFonts w:hint="eastAsia"/>
                      <w:lang w:val="en-US" w:eastAsia="zh-CN"/>
                    </w:rPr>
                    <w:t>10</w:t>
                  </w:r>
                  <w:r>
                    <w:rPr>
                      <w:rFonts w:hint="eastAsia"/>
                      <w:vertAlign w:val="superscript"/>
                      <w:lang w:val="en-US" w:eastAsia="zh-CN"/>
                    </w:rPr>
                    <w:t>-4</w:t>
                  </w:r>
                </w:p>
              </w:tc>
              <w:tc>
                <w:tcPr>
                  <w:tcW w:w="1719" w:type="pct"/>
                  <w:tcBorders>
                    <w:tl2br w:val="nil"/>
                    <w:tr2bl w:val="nil"/>
                  </w:tcBorders>
                  <w:vAlign w:val="center"/>
                </w:tcPr>
                <w:p w14:paraId="5628703E">
                  <w:pPr>
                    <w:pStyle w:val="41"/>
                    <w:bidi w:val="0"/>
                    <w:rPr>
                      <w:rFonts w:hint="default"/>
                    </w:rPr>
                  </w:pPr>
                  <w:r>
                    <w:rPr>
                      <w:rFonts w:hint="default"/>
                    </w:rPr>
                    <w:t>0.02</w:t>
                  </w:r>
                </w:p>
              </w:tc>
            </w:tr>
            <w:tr w14:paraId="59E5EE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23" w:hRule="atLeast"/>
                <w:jc w:val="center"/>
              </w:trPr>
              <w:tc>
                <w:tcPr>
                  <w:tcW w:w="652" w:type="pct"/>
                  <w:vMerge w:val="continue"/>
                  <w:tcBorders>
                    <w:tl2br w:val="nil"/>
                    <w:tr2bl w:val="nil"/>
                  </w:tcBorders>
                  <w:vAlign w:val="center"/>
                </w:tcPr>
                <w:p w14:paraId="6AA33DB9">
                  <w:pPr>
                    <w:pStyle w:val="41"/>
                    <w:bidi w:val="0"/>
                    <w:rPr>
                      <w:rFonts w:hint="default"/>
                    </w:rPr>
                  </w:pPr>
                </w:p>
              </w:tc>
              <w:tc>
                <w:tcPr>
                  <w:tcW w:w="1130" w:type="pct"/>
                  <w:tcBorders>
                    <w:tl2br w:val="nil"/>
                    <w:tr2bl w:val="nil"/>
                  </w:tcBorders>
                  <w:vAlign w:val="center"/>
                </w:tcPr>
                <w:p w14:paraId="528E075E">
                  <w:pPr>
                    <w:pStyle w:val="41"/>
                    <w:bidi w:val="0"/>
                    <w:rPr>
                      <w:rFonts w:hint="default"/>
                    </w:rPr>
                  </w:pPr>
                  <w:r>
                    <w:rPr>
                      <w:rFonts w:hint="default"/>
                    </w:rPr>
                    <w:t>SO</w:t>
                  </w:r>
                  <w:r>
                    <w:rPr>
                      <w:rFonts w:hint="default"/>
                      <w:vertAlign w:val="subscript"/>
                    </w:rPr>
                    <w:t>2</w:t>
                  </w:r>
                </w:p>
              </w:tc>
              <w:tc>
                <w:tcPr>
                  <w:tcW w:w="1498" w:type="pct"/>
                  <w:tcBorders>
                    <w:tl2br w:val="nil"/>
                    <w:tr2bl w:val="nil"/>
                  </w:tcBorders>
                  <w:vAlign w:val="center"/>
                </w:tcPr>
                <w:p w14:paraId="729FA29A">
                  <w:pPr>
                    <w:pStyle w:val="41"/>
                    <w:bidi w:val="0"/>
                    <w:rPr>
                      <w:rFonts w:hint="default"/>
                    </w:rPr>
                  </w:pPr>
                  <w:r>
                    <w:rPr>
                      <w:rFonts w:hint="default"/>
                    </w:rPr>
                    <w:t>0.00520</w:t>
                  </w:r>
                </w:p>
              </w:tc>
              <w:tc>
                <w:tcPr>
                  <w:tcW w:w="1719" w:type="pct"/>
                  <w:tcBorders>
                    <w:tl2br w:val="nil"/>
                    <w:tr2bl w:val="nil"/>
                  </w:tcBorders>
                  <w:vAlign w:val="center"/>
                </w:tcPr>
                <w:p w14:paraId="71D8D64A">
                  <w:pPr>
                    <w:pStyle w:val="41"/>
                    <w:bidi w:val="0"/>
                    <w:rPr>
                      <w:rFonts w:hint="default"/>
                    </w:rPr>
                  </w:pPr>
                  <w:r>
                    <w:rPr>
                      <w:rFonts w:hint="default"/>
                    </w:rPr>
                    <w:t>0.04</w:t>
                  </w:r>
                </w:p>
              </w:tc>
            </w:tr>
            <w:tr w14:paraId="785A38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23" w:hRule="atLeast"/>
                <w:jc w:val="center"/>
              </w:trPr>
              <w:tc>
                <w:tcPr>
                  <w:tcW w:w="652" w:type="pct"/>
                  <w:vMerge w:val="continue"/>
                  <w:tcBorders>
                    <w:tl2br w:val="nil"/>
                    <w:tr2bl w:val="nil"/>
                  </w:tcBorders>
                  <w:vAlign w:val="center"/>
                </w:tcPr>
                <w:p w14:paraId="18375FC2">
                  <w:pPr>
                    <w:pStyle w:val="41"/>
                    <w:bidi w:val="0"/>
                    <w:rPr>
                      <w:rFonts w:hint="default"/>
                    </w:rPr>
                  </w:pPr>
                </w:p>
              </w:tc>
              <w:tc>
                <w:tcPr>
                  <w:tcW w:w="1130" w:type="pct"/>
                  <w:tcBorders>
                    <w:tl2br w:val="nil"/>
                    <w:tr2bl w:val="nil"/>
                  </w:tcBorders>
                  <w:vAlign w:val="center"/>
                </w:tcPr>
                <w:p w14:paraId="1F78B28D">
                  <w:pPr>
                    <w:pStyle w:val="41"/>
                    <w:bidi w:val="0"/>
                    <w:rPr>
                      <w:rFonts w:hint="default"/>
                    </w:rPr>
                  </w:pPr>
                  <w:r>
                    <w:rPr>
                      <w:rFonts w:hint="default"/>
                    </w:rPr>
                    <w:t>NOx</w:t>
                  </w:r>
                </w:p>
              </w:tc>
              <w:tc>
                <w:tcPr>
                  <w:tcW w:w="1498" w:type="pct"/>
                  <w:tcBorders>
                    <w:tl2br w:val="nil"/>
                    <w:tr2bl w:val="nil"/>
                  </w:tcBorders>
                  <w:vAlign w:val="center"/>
                </w:tcPr>
                <w:p w14:paraId="12ABF4C4">
                  <w:pPr>
                    <w:pStyle w:val="41"/>
                    <w:bidi w:val="0"/>
                    <w:rPr>
                      <w:rFonts w:hint="default"/>
                    </w:rPr>
                  </w:pPr>
                  <w:r>
                    <w:rPr>
                      <w:rFonts w:hint="default"/>
                    </w:rPr>
                    <w:t>0.0981</w:t>
                  </w:r>
                </w:p>
              </w:tc>
              <w:tc>
                <w:tcPr>
                  <w:tcW w:w="1719" w:type="pct"/>
                  <w:tcBorders>
                    <w:tl2br w:val="nil"/>
                    <w:tr2bl w:val="nil"/>
                  </w:tcBorders>
                  <w:vAlign w:val="center"/>
                </w:tcPr>
                <w:p w14:paraId="1F19AF87">
                  <w:pPr>
                    <w:pStyle w:val="41"/>
                    <w:bidi w:val="0"/>
                    <w:rPr>
                      <w:rFonts w:hint="default"/>
                    </w:rPr>
                  </w:pPr>
                  <w:r>
                    <w:rPr>
                      <w:rFonts w:hint="default"/>
                    </w:rPr>
                    <w:t>0.76</w:t>
                  </w:r>
                </w:p>
              </w:tc>
            </w:tr>
            <w:tr w14:paraId="631F00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23" w:hRule="atLeast"/>
                <w:jc w:val="center"/>
              </w:trPr>
              <w:tc>
                <w:tcPr>
                  <w:tcW w:w="652" w:type="pct"/>
                  <w:vMerge w:val="continue"/>
                  <w:tcBorders>
                    <w:tl2br w:val="nil"/>
                    <w:tr2bl w:val="nil"/>
                  </w:tcBorders>
                  <w:vAlign w:val="center"/>
                </w:tcPr>
                <w:p w14:paraId="780DF203">
                  <w:pPr>
                    <w:pStyle w:val="41"/>
                    <w:bidi w:val="0"/>
                    <w:rPr>
                      <w:rFonts w:hint="default"/>
                    </w:rPr>
                  </w:pPr>
                </w:p>
              </w:tc>
              <w:tc>
                <w:tcPr>
                  <w:tcW w:w="1130" w:type="pct"/>
                  <w:tcBorders>
                    <w:tl2br w:val="nil"/>
                    <w:tr2bl w:val="nil"/>
                  </w:tcBorders>
                  <w:vAlign w:val="center"/>
                </w:tcPr>
                <w:p w14:paraId="5ED3631A">
                  <w:pPr>
                    <w:pStyle w:val="41"/>
                    <w:bidi w:val="0"/>
                    <w:rPr>
                      <w:rFonts w:hint="default"/>
                    </w:rPr>
                  </w:pPr>
                  <w:r>
                    <w:rPr>
                      <w:rFonts w:hint="default"/>
                    </w:rPr>
                    <w:t>颗粒物</w:t>
                  </w:r>
                </w:p>
              </w:tc>
              <w:tc>
                <w:tcPr>
                  <w:tcW w:w="1498" w:type="pct"/>
                  <w:tcBorders>
                    <w:tl2br w:val="nil"/>
                    <w:tr2bl w:val="nil"/>
                  </w:tcBorders>
                  <w:vAlign w:val="center"/>
                </w:tcPr>
                <w:p w14:paraId="4F19FED8">
                  <w:pPr>
                    <w:pStyle w:val="41"/>
                    <w:bidi w:val="0"/>
                    <w:rPr>
                      <w:rFonts w:hint="default"/>
                    </w:rPr>
                  </w:pPr>
                  <w:r>
                    <w:rPr>
                      <w:rFonts w:hint="default"/>
                    </w:rPr>
                    <w:t>0.00552</w:t>
                  </w:r>
                </w:p>
              </w:tc>
              <w:tc>
                <w:tcPr>
                  <w:tcW w:w="1719" w:type="pct"/>
                  <w:tcBorders>
                    <w:tl2br w:val="nil"/>
                    <w:tr2bl w:val="nil"/>
                  </w:tcBorders>
                  <w:vAlign w:val="center"/>
                </w:tcPr>
                <w:p w14:paraId="3430461C">
                  <w:pPr>
                    <w:pStyle w:val="41"/>
                    <w:bidi w:val="0"/>
                    <w:rPr>
                      <w:rFonts w:hint="default"/>
                    </w:rPr>
                  </w:pPr>
                  <w:r>
                    <w:rPr>
                      <w:rFonts w:hint="default"/>
                    </w:rPr>
                    <w:t>0.098</w:t>
                  </w:r>
                </w:p>
              </w:tc>
            </w:tr>
          </w:tbl>
          <w:p w14:paraId="6A603267">
            <w:pPr>
              <w:pStyle w:val="41"/>
              <w:bidi w:val="0"/>
              <w:jc w:val="left"/>
              <w:rPr>
                <w:rFonts w:hint="eastAsia" w:ascii="Times New Roman" w:hAnsi="Times New Roman" w:eastAsia="宋体"/>
                <w:color w:val="auto"/>
                <w:highlight w:val="none"/>
                <w:lang w:val="en-US" w:eastAsia="zh-CN"/>
              </w:rPr>
            </w:pPr>
            <w:r>
              <w:rPr>
                <w:rFonts w:hint="eastAsia"/>
                <w:b/>
                <w:bCs/>
                <w:lang w:val="en-US" w:eastAsia="zh-CN"/>
              </w:rPr>
              <w:t>注：现有项目污染物排放量参照“康缘医药科技园项目”验收报告数据。</w:t>
            </w:r>
          </w:p>
          <w:p w14:paraId="239307C6">
            <w:pPr>
              <w:bidi w:val="0"/>
              <w:ind w:firstLine="480" w:firstLineChars="200"/>
              <w:rPr>
                <w:rFonts w:hint="eastAsia"/>
                <w:lang w:eastAsia="zh-CN"/>
              </w:rPr>
            </w:pPr>
            <w:r>
              <w:rPr>
                <w:rFonts w:hint="eastAsia"/>
                <w:lang w:val="en-US" w:eastAsia="zh-CN"/>
              </w:rPr>
              <w:t>根据</w:t>
            </w:r>
            <w:r>
              <w:rPr>
                <w:rFonts w:hint="eastAsia"/>
                <w:lang w:eastAsia="zh-CN"/>
              </w:rPr>
              <w:t>上表</w:t>
            </w:r>
            <w:r>
              <w:rPr>
                <w:rFonts w:hint="eastAsia"/>
                <w:lang w:val="en-US" w:eastAsia="zh-CN"/>
              </w:rPr>
              <w:t>数据</w:t>
            </w:r>
            <w:r>
              <w:rPr>
                <w:rFonts w:hint="eastAsia"/>
                <w:lang w:eastAsia="zh-CN"/>
              </w:rPr>
              <w:t>可知，</w:t>
            </w:r>
            <w:r>
              <w:rPr>
                <w:rFonts w:hint="eastAsia"/>
                <w:lang w:val="en-US" w:eastAsia="zh-CN"/>
              </w:rPr>
              <w:t>现有已批已验项目</w:t>
            </w:r>
            <w:r>
              <w:rPr>
                <w:rFonts w:hint="default"/>
                <w:lang w:eastAsia="zh-CN"/>
              </w:rPr>
              <w:t>污染物排放</w:t>
            </w:r>
            <w:r>
              <w:rPr>
                <w:rFonts w:hint="eastAsia"/>
                <w:lang w:val="en-US" w:eastAsia="zh-CN"/>
              </w:rPr>
              <w:t>总</w:t>
            </w:r>
            <w:r>
              <w:rPr>
                <w:rFonts w:hint="default"/>
                <w:lang w:eastAsia="zh-CN"/>
              </w:rPr>
              <w:t>量均小于</w:t>
            </w:r>
            <w:r>
              <w:rPr>
                <w:rFonts w:hint="eastAsia"/>
                <w:lang w:val="en-US" w:eastAsia="zh-CN"/>
              </w:rPr>
              <w:t>环评批复</w:t>
            </w:r>
            <w:r>
              <w:rPr>
                <w:rFonts w:hint="default"/>
                <w:lang w:eastAsia="zh-CN"/>
              </w:rPr>
              <w:t>量，满足要求。</w:t>
            </w:r>
          </w:p>
          <w:p w14:paraId="30E421B9">
            <w:pPr>
              <w:bidi w:val="0"/>
              <w:ind w:firstLine="482" w:firstLineChars="200"/>
              <w:rPr>
                <w:rFonts w:hint="default"/>
                <w:b/>
                <w:bCs/>
                <w:lang w:val="en-US" w:eastAsia="zh-CN"/>
              </w:rPr>
            </w:pPr>
            <w:r>
              <w:rPr>
                <w:rFonts w:hint="eastAsia"/>
                <w:b/>
                <w:bCs/>
                <w:lang w:val="en-US" w:eastAsia="zh-CN"/>
              </w:rPr>
              <w:t>3、现有项目环境风险回顾</w:t>
            </w:r>
          </w:p>
          <w:p w14:paraId="1E7F009D">
            <w:pPr>
              <w:bidi w:val="0"/>
              <w:ind w:firstLine="480" w:firstLineChars="200"/>
              <w:rPr>
                <w:rFonts w:hint="default"/>
                <w:lang w:val="en-US" w:eastAsia="zh-CN"/>
              </w:rPr>
            </w:pPr>
            <w:r>
              <w:rPr>
                <w:rFonts w:hint="eastAsia"/>
                <w:lang w:val="en-US" w:eastAsia="zh-CN"/>
              </w:rPr>
              <w:t>现有项目环境风险回顾情况详见下表。</w:t>
            </w:r>
          </w:p>
          <w:p w14:paraId="6D174A28">
            <w:pPr>
              <w:pStyle w:val="44"/>
              <w:bidi w:val="0"/>
              <w:rPr>
                <w:rFonts w:hint="eastAsia"/>
                <w:lang w:eastAsia="zh-CN"/>
              </w:rPr>
            </w:pPr>
            <w:r>
              <w:rPr>
                <w:rFonts w:hint="eastAsia"/>
                <w:lang w:val="en-US" w:eastAsia="zh-CN"/>
              </w:rPr>
              <w:t xml:space="preserve"> </w:t>
            </w:r>
            <w:r>
              <w:rPr>
                <w:rFonts w:hint="eastAsia"/>
                <w:lang w:eastAsia="zh-CN"/>
              </w:rPr>
              <w:t>现有</w:t>
            </w:r>
            <w:r>
              <w:rPr>
                <w:rFonts w:hint="eastAsia"/>
                <w:lang w:val="en-US" w:eastAsia="zh-CN"/>
              </w:rPr>
              <w:t>项目</w:t>
            </w:r>
            <w:r>
              <w:rPr>
                <w:rFonts w:hint="eastAsia"/>
                <w:lang w:eastAsia="zh-CN"/>
              </w:rPr>
              <w:t>环境风险回顾</w:t>
            </w:r>
          </w:p>
          <w:tbl>
            <w:tblPr>
              <w:tblStyle w:val="32"/>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90"/>
              <w:gridCol w:w="1068"/>
              <w:gridCol w:w="4304"/>
              <w:gridCol w:w="1742"/>
            </w:tblGrid>
            <w:tr w14:paraId="3C6E3D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42" w:type="pct"/>
                  <w:tcBorders>
                    <w:tl2br w:val="nil"/>
                    <w:tr2bl w:val="nil"/>
                  </w:tcBorders>
                  <w:shd w:val="clear" w:color="auto" w:fill="auto"/>
                  <w:vAlign w:val="center"/>
                </w:tcPr>
                <w:p w14:paraId="78080A87">
                  <w:pPr>
                    <w:pStyle w:val="41"/>
                    <w:bidi w:val="0"/>
                    <w:rPr>
                      <w:rFonts w:hint="eastAsia"/>
                      <w:b/>
                      <w:bCs/>
                      <w:lang w:eastAsia="zh-CN"/>
                    </w:rPr>
                  </w:pPr>
                  <w:r>
                    <w:rPr>
                      <w:rFonts w:hint="eastAsia"/>
                      <w:b/>
                      <w:bCs/>
                      <w:lang w:eastAsia="zh-CN"/>
                    </w:rPr>
                    <w:t>序号</w:t>
                  </w:r>
                </w:p>
              </w:tc>
              <w:tc>
                <w:tcPr>
                  <w:tcW w:w="684" w:type="pct"/>
                  <w:tcBorders>
                    <w:tl2br w:val="nil"/>
                    <w:tr2bl w:val="nil"/>
                  </w:tcBorders>
                  <w:shd w:val="clear" w:color="auto" w:fill="auto"/>
                  <w:vAlign w:val="center"/>
                </w:tcPr>
                <w:p w14:paraId="4BDE1DA0">
                  <w:pPr>
                    <w:pStyle w:val="41"/>
                    <w:bidi w:val="0"/>
                    <w:rPr>
                      <w:rFonts w:hint="eastAsia"/>
                      <w:b/>
                      <w:bCs/>
                      <w:lang w:eastAsia="zh-CN"/>
                    </w:rPr>
                  </w:pPr>
                  <w:r>
                    <w:rPr>
                      <w:rFonts w:hint="eastAsia"/>
                      <w:b/>
                      <w:bCs/>
                      <w:lang w:eastAsia="zh-CN"/>
                    </w:rPr>
                    <w:t>相关内容</w:t>
                  </w:r>
                </w:p>
              </w:tc>
              <w:tc>
                <w:tcPr>
                  <w:tcW w:w="2757" w:type="pct"/>
                  <w:tcBorders>
                    <w:tl2br w:val="nil"/>
                    <w:tr2bl w:val="nil"/>
                  </w:tcBorders>
                  <w:shd w:val="clear" w:color="auto" w:fill="auto"/>
                  <w:vAlign w:val="center"/>
                </w:tcPr>
                <w:p w14:paraId="750C3867">
                  <w:pPr>
                    <w:pStyle w:val="41"/>
                    <w:bidi w:val="0"/>
                    <w:rPr>
                      <w:rFonts w:hint="eastAsia"/>
                      <w:b/>
                      <w:bCs/>
                      <w:lang w:eastAsia="zh-CN"/>
                    </w:rPr>
                  </w:pPr>
                  <w:r>
                    <w:rPr>
                      <w:rFonts w:hint="eastAsia"/>
                      <w:b/>
                      <w:bCs/>
                      <w:lang w:eastAsia="zh-CN"/>
                    </w:rPr>
                    <w:t>现有工程情况</w:t>
                  </w:r>
                </w:p>
              </w:tc>
              <w:tc>
                <w:tcPr>
                  <w:tcW w:w="1116" w:type="pct"/>
                  <w:tcBorders>
                    <w:tl2br w:val="nil"/>
                    <w:tr2bl w:val="nil"/>
                  </w:tcBorders>
                  <w:shd w:val="clear" w:color="auto" w:fill="auto"/>
                  <w:vAlign w:val="center"/>
                </w:tcPr>
                <w:p w14:paraId="3A28B133">
                  <w:pPr>
                    <w:pStyle w:val="41"/>
                    <w:bidi w:val="0"/>
                    <w:rPr>
                      <w:rFonts w:hint="eastAsia"/>
                      <w:b/>
                      <w:bCs/>
                      <w:lang w:eastAsia="zh-CN"/>
                    </w:rPr>
                  </w:pPr>
                  <w:r>
                    <w:rPr>
                      <w:rFonts w:hint="eastAsia"/>
                      <w:b/>
                      <w:bCs/>
                      <w:lang w:eastAsia="zh-CN"/>
                    </w:rPr>
                    <w:t>存在的问题及完善建议</w:t>
                  </w:r>
                </w:p>
              </w:tc>
            </w:tr>
            <w:tr w14:paraId="50E3B4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42" w:type="pct"/>
                  <w:tcBorders>
                    <w:tl2br w:val="nil"/>
                    <w:tr2bl w:val="nil"/>
                  </w:tcBorders>
                  <w:vAlign w:val="center"/>
                </w:tcPr>
                <w:p w14:paraId="0BE0EF3E">
                  <w:pPr>
                    <w:pStyle w:val="41"/>
                    <w:bidi w:val="0"/>
                    <w:rPr>
                      <w:rFonts w:hint="eastAsia"/>
                      <w:lang w:eastAsia="zh-CN"/>
                    </w:rPr>
                  </w:pPr>
                  <w:r>
                    <w:rPr>
                      <w:rFonts w:hint="eastAsia"/>
                      <w:lang w:eastAsia="zh-CN"/>
                    </w:rPr>
                    <w:t>1</w:t>
                  </w:r>
                </w:p>
              </w:tc>
              <w:tc>
                <w:tcPr>
                  <w:tcW w:w="684" w:type="pct"/>
                  <w:tcBorders>
                    <w:tl2br w:val="nil"/>
                    <w:tr2bl w:val="nil"/>
                  </w:tcBorders>
                  <w:vAlign w:val="center"/>
                </w:tcPr>
                <w:p w14:paraId="2DE45D6B">
                  <w:pPr>
                    <w:pStyle w:val="41"/>
                    <w:bidi w:val="0"/>
                    <w:rPr>
                      <w:rFonts w:hint="eastAsia"/>
                      <w:lang w:eastAsia="zh-CN"/>
                    </w:rPr>
                  </w:pPr>
                  <w:r>
                    <w:rPr>
                      <w:rFonts w:hint="eastAsia"/>
                      <w:lang w:eastAsia="zh-CN"/>
                    </w:rPr>
                    <w:t>环境风险防范措施</w:t>
                  </w:r>
                </w:p>
              </w:tc>
              <w:tc>
                <w:tcPr>
                  <w:tcW w:w="2757" w:type="pct"/>
                  <w:tcBorders>
                    <w:tl2br w:val="nil"/>
                    <w:tr2bl w:val="nil"/>
                  </w:tcBorders>
                  <w:vAlign w:val="center"/>
                </w:tcPr>
                <w:p w14:paraId="22BFFED7">
                  <w:pPr>
                    <w:pStyle w:val="41"/>
                    <w:bidi w:val="0"/>
                    <w:rPr>
                      <w:rFonts w:hint="eastAsia"/>
                      <w:lang w:eastAsia="zh-CN"/>
                    </w:rPr>
                  </w:pPr>
                  <w:r>
                    <w:rPr>
                      <w:rFonts w:hint="eastAsia"/>
                      <w:lang w:val="en-US" w:eastAsia="zh-CN"/>
                    </w:rPr>
                    <w:t>现有项目主要进行研发实验，主要实验室均配备可燃气体检测仪；每月对现有项目废水、废气治理设施进行维护检查；定期进行废水、废气、噪声自行监测，确保现有项目污染物持续达标稳定排放。</w:t>
                  </w:r>
                </w:p>
              </w:tc>
              <w:tc>
                <w:tcPr>
                  <w:tcW w:w="1116" w:type="pct"/>
                  <w:tcBorders>
                    <w:tl2br w:val="nil"/>
                    <w:tr2bl w:val="nil"/>
                  </w:tcBorders>
                  <w:vAlign w:val="center"/>
                </w:tcPr>
                <w:p w14:paraId="6BA6D318">
                  <w:pPr>
                    <w:pStyle w:val="41"/>
                    <w:bidi w:val="0"/>
                    <w:rPr>
                      <w:rFonts w:hint="default"/>
                      <w:lang w:val="en-US" w:eastAsia="zh-CN"/>
                    </w:rPr>
                  </w:pPr>
                  <w:r>
                    <w:rPr>
                      <w:rFonts w:hint="eastAsia"/>
                      <w:lang w:val="en-US" w:eastAsia="zh-CN"/>
                    </w:rPr>
                    <w:t>/</w:t>
                  </w:r>
                </w:p>
              </w:tc>
            </w:tr>
            <w:tr w14:paraId="1962E71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42" w:type="pct"/>
                  <w:tcBorders>
                    <w:tl2br w:val="nil"/>
                    <w:tr2bl w:val="nil"/>
                  </w:tcBorders>
                  <w:vAlign w:val="center"/>
                </w:tcPr>
                <w:p w14:paraId="59F55199">
                  <w:pPr>
                    <w:pStyle w:val="41"/>
                    <w:bidi w:val="0"/>
                    <w:rPr>
                      <w:rFonts w:hint="eastAsia"/>
                      <w:lang w:eastAsia="zh-CN"/>
                    </w:rPr>
                  </w:pPr>
                  <w:r>
                    <w:rPr>
                      <w:rFonts w:hint="eastAsia"/>
                      <w:lang w:eastAsia="zh-CN"/>
                    </w:rPr>
                    <w:t>2</w:t>
                  </w:r>
                </w:p>
              </w:tc>
              <w:tc>
                <w:tcPr>
                  <w:tcW w:w="684" w:type="pct"/>
                  <w:tcBorders>
                    <w:tl2br w:val="nil"/>
                    <w:tr2bl w:val="nil"/>
                  </w:tcBorders>
                  <w:vAlign w:val="center"/>
                </w:tcPr>
                <w:p w14:paraId="0D34C259">
                  <w:pPr>
                    <w:pStyle w:val="41"/>
                    <w:bidi w:val="0"/>
                    <w:rPr>
                      <w:rFonts w:hint="eastAsia"/>
                      <w:lang w:eastAsia="zh-CN"/>
                    </w:rPr>
                  </w:pPr>
                  <w:r>
                    <w:rPr>
                      <w:rFonts w:hint="eastAsia"/>
                      <w:lang w:eastAsia="zh-CN"/>
                    </w:rPr>
                    <w:t>环境风险防控体系的衔接</w:t>
                  </w:r>
                </w:p>
              </w:tc>
              <w:tc>
                <w:tcPr>
                  <w:tcW w:w="2757" w:type="pct"/>
                  <w:tcBorders>
                    <w:tl2br w:val="nil"/>
                    <w:tr2bl w:val="nil"/>
                  </w:tcBorders>
                  <w:vAlign w:val="center"/>
                </w:tcPr>
                <w:p w14:paraId="34569A9D">
                  <w:pPr>
                    <w:pStyle w:val="41"/>
                    <w:bidi w:val="0"/>
                    <w:rPr>
                      <w:rFonts w:hint="eastAsia"/>
                      <w:lang w:eastAsia="zh-CN"/>
                    </w:rPr>
                  </w:pPr>
                  <w:r>
                    <w:rPr>
                      <w:rFonts w:hint="eastAsia"/>
                      <w:lang w:val="zh-CN" w:eastAsia="zh-CN"/>
                    </w:rPr>
                    <w:t>本项目位于南京市江宁区龙眠大道578号，属于江宁高新技术产业开发区，江宁高新技术产业开发区已编制突发环境事件应急预案，</w:t>
                  </w:r>
                  <w:r>
                    <w:rPr>
                      <w:rFonts w:hint="eastAsia"/>
                      <w:lang w:val="en-US" w:eastAsia="zh-CN"/>
                    </w:rPr>
                    <w:t>现有项目积极配合园区环境风险防控体系的建设，建立企业内部事故救援体系，定期开展事故演练。</w:t>
                  </w:r>
                </w:p>
              </w:tc>
              <w:tc>
                <w:tcPr>
                  <w:tcW w:w="1116" w:type="pct"/>
                  <w:tcBorders>
                    <w:tl2br w:val="nil"/>
                    <w:tr2bl w:val="nil"/>
                  </w:tcBorders>
                  <w:vAlign w:val="center"/>
                </w:tcPr>
                <w:p w14:paraId="7544BD48">
                  <w:pPr>
                    <w:pStyle w:val="41"/>
                    <w:bidi w:val="0"/>
                    <w:rPr>
                      <w:rFonts w:hint="default"/>
                      <w:lang w:val="en-US" w:eastAsia="zh-CN"/>
                    </w:rPr>
                  </w:pPr>
                  <w:r>
                    <w:rPr>
                      <w:rFonts w:hint="eastAsia"/>
                      <w:lang w:val="en-US" w:eastAsia="zh-CN"/>
                    </w:rPr>
                    <w:t>/</w:t>
                  </w:r>
                </w:p>
              </w:tc>
            </w:tr>
            <w:tr w14:paraId="3A7401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42" w:type="pct"/>
                  <w:tcBorders>
                    <w:tl2br w:val="nil"/>
                    <w:tr2bl w:val="nil"/>
                  </w:tcBorders>
                  <w:vAlign w:val="center"/>
                </w:tcPr>
                <w:p w14:paraId="7B412ED1">
                  <w:pPr>
                    <w:pStyle w:val="41"/>
                    <w:bidi w:val="0"/>
                    <w:rPr>
                      <w:rFonts w:hint="eastAsia"/>
                      <w:lang w:eastAsia="zh-CN"/>
                    </w:rPr>
                  </w:pPr>
                  <w:r>
                    <w:rPr>
                      <w:rFonts w:hint="eastAsia"/>
                      <w:lang w:eastAsia="zh-CN"/>
                    </w:rPr>
                    <w:t>3</w:t>
                  </w:r>
                </w:p>
              </w:tc>
              <w:tc>
                <w:tcPr>
                  <w:tcW w:w="684" w:type="pct"/>
                  <w:tcBorders>
                    <w:tl2br w:val="nil"/>
                    <w:tr2bl w:val="nil"/>
                  </w:tcBorders>
                  <w:vAlign w:val="center"/>
                </w:tcPr>
                <w:p w14:paraId="3E2C5442">
                  <w:pPr>
                    <w:pStyle w:val="41"/>
                    <w:bidi w:val="0"/>
                    <w:rPr>
                      <w:rFonts w:hint="eastAsia"/>
                      <w:lang w:eastAsia="zh-CN"/>
                    </w:rPr>
                  </w:pPr>
                  <w:r>
                    <w:rPr>
                      <w:rFonts w:hint="eastAsia"/>
                      <w:lang w:eastAsia="zh-CN"/>
                    </w:rPr>
                    <w:t>突发环境事件应急预案</w:t>
                  </w:r>
                </w:p>
              </w:tc>
              <w:tc>
                <w:tcPr>
                  <w:tcW w:w="2757" w:type="pct"/>
                  <w:tcBorders>
                    <w:tl2br w:val="nil"/>
                    <w:tr2bl w:val="nil"/>
                  </w:tcBorders>
                  <w:vAlign w:val="center"/>
                </w:tcPr>
                <w:p w14:paraId="3D447E8B">
                  <w:pPr>
                    <w:pStyle w:val="41"/>
                    <w:bidi w:val="0"/>
                    <w:rPr>
                      <w:rFonts w:hint="eastAsia"/>
                      <w:lang w:eastAsia="zh-CN"/>
                    </w:rPr>
                  </w:pPr>
                  <w:r>
                    <w:rPr>
                      <w:rFonts w:hint="eastAsia"/>
                      <w:lang w:val="en-US" w:eastAsia="zh-CN"/>
                    </w:rPr>
                    <w:t>现有项目已编制突发环境事件应急预案，已建立应急队伍，配备了必要的环境应急物资装备。</w:t>
                  </w:r>
                </w:p>
              </w:tc>
              <w:tc>
                <w:tcPr>
                  <w:tcW w:w="1116" w:type="pct"/>
                  <w:tcBorders>
                    <w:tl2br w:val="nil"/>
                    <w:tr2bl w:val="nil"/>
                  </w:tcBorders>
                  <w:vAlign w:val="center"/>
                </w:tcPr>
                <w:p w14:paraId="047C3DB5">
                  <w:pPr>
                    <w:pStyle w:val="41"/>
                    <w:bidi w:val="0"/>
                    <w:rPr>
                      <w:rFonts w:hint="default"/>
                      <w:lang w:val="en-US" w:eastAsia="zh-CN"/>
                    </w:rPr>
                  </w:pPr>
                  <w:r>
                    <w:rPr>
                      <w:rFonts w:hint="eastAsia"/>
                      <w:lang w:val="en-US" w:eastAsia="zh-CN"/>
                    </w:rPr>
                    <w:t>/</w:t>
                  </w:r>
                </w:p>
              </w:tc>
            </w:tr>
            <w:tr w14:paraId="4D6480C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42" w:type="pct"/>
                  <w:tcBorders>
                    <w:tl2br w:val="nil"/>
                    <w:tr2bl w:val="nil"/>
                  </w:tcBorders>
                  <w:vAlign w:val="center"/>
                </w:tcPr>
                <w:p w14:paraId="3B624173">
                  <w:pPr>
                    <w:pStyle w:val="41"/>
                    <w:bidi w:val="0"/>
                    <w:rPr>
                      <w:rFonts w:hint="eastAsia"/>
                      <w:lang w:eastAsia="zh-CN"/>
                    </w:rPr>
                  </w:pPr>
                  <w:r>
                    <w:rPr>
                      <w:rFonts w:hint="eastAsia"/>
                      <w:lang w:eastAsia="zh-CN"/>
                    </w:rPr>
                    <w:t>4</w:t>
                  </w:r>
                </w:p>
              </w:tc>
              <w:tc>
                <w:tcPr>
                  <w:tcW w:w="684" w:type="pct"/>
                  <w:tcBorders>
                    <w:tl2br w:val="nil"/>
                    <w:tr2bl w:val="nil"/>
                  </w:tcBorders>
                  <w:vAlign w:val="center"/>
                </w:tcPr>
                <w:p w14:paraId="5D412170">
                  <w:pPr>
                    <w:pStyle w:val="41"/>
                    <w:bidi w:val="0"/>
                    <w:rPr>
                      <w:rFonts w:hint="eastAsia"/>
                      <w:lang w:eastAsia="zh-CN"/>
                    </w:rPr>
                  </w:pPr>
                  <w:r>
                    <w:rPr>
                      <w:rFonts w:hint="eastAsia"/>
                      <w:lang w:eastAsia="zh-CN"/>
                    </w:rPr>
                    <w:t>突发环境事件隐患排查</w:t>
                  </w:r>
                </w:p>
              </w:tc>
              <w:tc>
                <w:tcPr>
                  <w:tcW w:w="2757" w:type="pct"/>
                  <w:tcBorders>
                    <w:tl2br w:val="nil"/>
                    <w:tr2bl w:val="nil"/>
                  </w:tcBorders>
                  <w:vAlign w:val="center"/>
                </w:tcPr>
                <w:p w14:paraId="4F9990B1">
                  <w:pPr>
                    <w:pStyle w:val="41"/>
                    <w:bidi w:val="0"/>
                    <w:rPr>
                      <w:rFonts w:hint="eastAsia"/>
                      <w:lang w:eastAsia="zh-CN"/>
                    </w:rPr>
                  </w:pPr>
                  <w:r>
                    <w:rPr>
                      <w:rFonts w:hint="eastAsia"/>
                      <w:lang w:val="en-US" w:eastAsia="zh-CN"/>
                    </w:rPr>
                    <w:t>现有项目已建立企业内部隐患排查制度，已编制风险分级管控和隐患排查治理双重预防机制建设工作报告并已完成整改验收工作。</w:t>
                  </w:r>
                </w:p>
              </w:tc>
              <w:tc>
                <w:tcPr>
                  <w:tcW w:w="1116" w:type="pct"/>
                  <w:tcBorders>
                    <w:tl2br w:val="nil"/>
                    <w:tr2bl w:val="nil"/>
                  </w:tcBorders>
                  <w:vAlign w:val="center"/>
                </w:tcPr>
                <w:p w14:paraId="0BD901E9">
                  <w:pPr>
                    <w:pStyle w:val="41"/>
                    <w:bidi w:val="0"/>
                    <w:rPr>
                      <w:rFonts w:hint="default"/>
                      <w:lang w:val="en-US" w:eastAsia="zh-CN"/>
                    </w:rPr>
                  </w:pPr>
                  <w:r>
                    <w:rPr>
                      <w:rFonts w:hint="eastAsia"/>
                      <w:lang w:val="en-US" w:eastAsia="zh-CN"/>
                    </w:rPr>
                    <w:t>/</w:t>
                  </w:r>
                </w:p>
              </w:tc>
            </w:tr>
            <w:tr w14:paraId="5701983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42" w:type="pct"/>
                  <w:tcBorders>
                    <w:tl2br w:val="nil"/>
                    <w:tr2bl w:val="nil"/>
                  </w:tcBorders>
                  <w:vAlign w:val="center"/>
                </w:tcPr>
                <w:p w14:paraId="3AA4CD69">
                  <w:pPr>
                    <w:pStyle w:val="41"/>
                    <w:bidi w:val="0"/>
                    <w:rPr>
                      <w:rFonts w:hint="eastAsia"/>
                      <w:lang w:eastAsia="zh-CN"/>
                    </w:rPr>
                  </w:pPr>
                  <w:r>
                    <w:rPr>
                      <w:rFonts w:hint="eastAsia"/>
                      <w:lang w:eastAsia="zh-CN"/>
                    </w:rPr>
                    <w:t>5</w:t>
                  </w:r>
                </w:p>
              </w:tc>
              <w:tc>
                <w:tcPr>
                  <w:tcW w:w="684" w:type="pct"/>
                  <w:tcBorders>
                    <w:tl2br w:val="nil"/>
                    <w:tr2bl w:val="nil"/>
                  </w:tcBorders>
                  <w:vAlign w:val="center"/>
                </w:tcPr>
                <w:p w14:paraId="13E49B5E">
                  <w:pPr>
                    <w:pStyle w:val="41"/>
                    <w:bidi w:val="0"/>
                    <w:rPr>
                      <w:rFonts w:hint="eastAsia"/>
                      <w:lang w:eastAsia="zh-CN"/>
                    </w:rPr>
                  </w:pPr>
                  <w:r>
                    <w:rPr>
                      <w:rFonts w:hint="eastAsia"/>
                      <w:lang w:eastAsia="zh-CN"/>
                    </w:rPr>
                    <w:t>污染防治设施的安全风险辨识</w:t>
                  </w:r>
                </w:p>
              </w:tc>
              <w:tc>
                <w:tcPr>
                  <w:tcW w:w="2757" w:type="pct"/>
                  <w:tcBorders>
                    <w:tl2br w:val="nil"/>
                    <w:tr2bl w:val="nil"/>
                  </w:tcBorders>
                  <w:vAlign w:val="center"/>
                </w:tcPr>
                <w:p w14:paraId="50526A4B">
                  <w:pPr>
                    <w:pStyle w:val="41"/>
                    <w:bidi w:val="0"/>
                    <w:rPr>
                      <w:rFonts w:hint="eastAsia"/>
                      <w:lang w:eastAsia="zh-CN"/>
                    </w:rPr>
                  </w:pPr>
                  <w:r>
                    <w:rPr>
                      <w:rFonts w:hint="eastAsia"/>
                      <w:lang w:val="en-US" w:eastAsia="zh-CN"/>
                    </w:rPr>
                    <w:t>每月对现有项目废水、废气治理设施进行维护检查；定期进行废水、废气、噪声自行监测，确保现有项目污染物持续达标稳定排放。</w:t>
                  </w:r>
                </w:p>
              </w:tc>
              <w:tc>
                <w:tcPr>
                  <w:tcW w:w="1116" w:type="pct"/>
                  <w:tcBorders>
                    <w:tl2br w:val="nil"/>
                    <w:tr2bl w:val="nil"/>
                  </w:tcBorders>
                  <w:vAlign w:val="center"/>
                </w:tcPr>
                <w:p w14:paraId="6D674F6A">
                  <w:pPr>
                    <w:pStyle w:val="41"/>
                    <w:bidi w:val="0"/>
                    <w:rPr>
                      <w:rFonts w:hint="default"/>
                      <w:lang w:val="en-US" w:eastAsia="zh-CN"/>
                    </w:rPr>
                  </w:pPr>
                  <w:r>
                    <w:rPr>
                      <w:rFonts w:hint="eastAsia"/>
                      <w:lang w:val="en-US" w:eastAsia="zh-CN"/>
                    </w:rPr>
                    <w:t>/</w:t>
                  </w:r>
                </w:p>
              </w:tc>
            </w:tr>
          </w:tbl>
          <w:p w14:paraId="5276E509">
            <w:pPr>
              <w:pStyle w:val="41"/>
              <w:bidi w:val="0"/>
              <w:rPr>
                <w:rFonts w:hint="eastAsia"/>
                <w:lang w:val="en-US" w:eastAsia="zh-CN"/>
              </w:rPr>
            </w:pPr>
          </w:p>
          <w:p w14:paraId="7FF24DA6">
            <w:pPr>
              <w:spacing w:line="360" w:lineRule="auto"/>
              <w:ind w:firstLine="482" w:firstLineChars="200"/>
              <w:rPr>
                <w:rFonts w:ascii="Times New Roman" w:hAnsi="Times New Roman" w:eastAsia="宋体"/>
                <w:b/>
                <w:color w:val="auto"/>
                <w:sz w:val="24"/>
                <w:highlight w:val="none"/>
              </w:rPr>
            </w:pPr>
            <w:r>
              <w:rPr>
                <w:rFonts w:hint="eastAsia"/>
                <w:b/>
                <w:color w:val="auto"/>
                <w:sz w:val="24"/>
                <w:highlight w:val="none"/>
                <w:lang w:val="en-US" w:eastAsia="zh-CN"/>
              </w:rPr>
              <w:t>4</w:t>
            </w:r>
            <w:r>
              <w:rPr>
                <w:rFonts w:ascii="Times New Roman" w:hAnsi="Times New Roman" w:eastAsia="宋体"/>
                <w:b/>
                <w:color w:val="auto"/>
                <w:sz w:val="24"/>
                <w:highlight w:val="none"/>
              </w:rPr>
              <w:t>、现有项目</w:t>
            </w:r>
            <w:r>
              <w:rPr>
                <w:rFonts w:hint="eastAsia" w:ascii="Times New Roman" w:hAnsi="Times New Roman" w:eastAsia="宋体"/>
                <w:b/>
                <w:color w:val="auto"/>
                <w:sz w:val="24"/>
                <w:highlight w:val="none"/>
                <w:lang w:eastAsia="zh-CN"/>
              </w:rPr>
              <w:t>存在的</w:t>
            </w:r>
            <w:r>
              <w:rPr>
                <w:rFonts w:ascii="Times New Roman" w:hAnsi="Times New Roman" w:eastAsia="宋体"/>
                <w:b/>
                <w:color w:val="auto"/>
                <w:sz w:val="24"/>
                <w:highlight w:val="none"/>
              </w:rPr>
              <w:t>环境问题</w:t>
            </w:r>
          </w:p>
          <w:p w14:paraId="425F39A8">
            <w:pPr>
              <w:spacing w:line="360" w:lineRule="auto"/>
              <w:ind w:firstLine="480" w:firstLineChars="200"/>
              <w:rPr>
                <w:rFonts w:hint="default" w:eastAsia="宋体"/>
                <w:bCs/>
                <w:color w:val="auto"/>
                <w:sz w:val="24"/>
                <w:highlight w:val="none"/>
                <w:lang w:val="en-US" w:eastAsia="zh-CN"/>
              </w:rPr>
            </w:pPr>
            <w:r>
              <w:rPr>
                <w:bCs/>
                <w:color w:val="auto"/>
                <w:sz w:val="24"/>
                <w:highlight w:val="none"/>
                <w:lang w:val="zh-CN"/>
              </w:rPr>
              <w:t>企业现有项目运行良好，运营至今未接到过环保相关投诉。</w:t>
            </w:r>
            <w:r>
              <w:rPr>
                <w:rFonts w:hint="eastAsia"/>
                <w:bCs/>
                <w:color w:val="auto"/>
                <w:sz w:val="24"/>
                <w:highlight w:val="none"/>
                <w:lang w:val="en-US" w:eastAsia="zh-CN"/>
              </w:rPr>
              <w:t>现有项目主要存在问题如下：</w:t>
            </w:r>
          </w:p>
          <w:p w14:paraId="734624D5">
            <w:pPr>
              <w:spacing w:line="360" w:lineRule="auto"/>
              <w:ind w:firstLine="480" w:firstLineChars="200"/>
              <w:rPr>
                <w:rFonts w:hint="eastAsia" w:ascii="Times New Roman" w:hAnsi="Times New Roman" w:eastAsia="宋体"/>
                <w:bCs/>
                <w:color w:val="auto"/>
                <w:sz w:val="24"/>
                <w:highlight w:val="none"/>
              </w:rPr>
            </w:pPr>
            <w:r>
              <w:rPr>
                <w:rFonts w:hint="eastAsia"/>
                <w:bCs/>
                <w:color w:val="auto"/>
                <w:sz w:val="24"/>
                <w:highlight w:val="none"/>
                <w:lang w:val="zh-CN"/>
              </w:rPr>
              <w:t>（</w:t>
            </w:r>
            <w:r>
              <w:rPr>
                <w:rFonts w:hint="eastAsia"/>
                <w:bCs/>
                <w:color w:val="auto"/>
                <w:sz w:val="24"/>
                <w:highlight w:val="none"/>
                <w:lang w:val="en-US" w:eastAsia="zh-CN"/>
              </w:rPr>
              <w:t>1</w:t>
            </w:r>
            <w:r>
              <w:rPr>
                <w:rFonts w:hint="eastAsia"/>
                <w:bCs/>
                <w:color w:val="auto"/>
                <w:sz w:val="24"/>
                <w:highlight w:val="none"/>
                <w:lang w:val="zh-CN"/>
              </w:rPr>
              <w:t>）</w:t>
            </w:r>
            <w:r>
              <w:rPr>
                <w:rFonts w:hint="eastAsia" w:ascii="Times New Roman" w:hAnsi="Times New Roman" w:eastAsia="宋体"/>
                <w:bCs/>
                <w:color w:val="auto"/>
                <w:sz w:val="24"/>
                <w:highlight w:val="none"/>
                <w:lang w:val="zh-CN"/>
              </w:rPr>
              <w:t>现有项目</w:t>
            </w:r>
            <w:r>
              <w:rPr>
                <w:rFonts w:hint="eastAsia"/>
                <w:bCs/>
                <w:color w:val="auto"/>
                <w:sz w:val="24"/>
                <w:highlight w:val="none"/>
                <w:lang w:val="en-US" w:eastAsia="zh-CN"/>
              </w:rPr>
              <w:t>例行监测内容不全，缺少对7号楼有组织废气排放情况的监测内容</w:t>
            </w:r>
            <w:r>
              <w:rPr>
                <w:rFonts w:hint="eastAsia" w:ascii="Times New Roman" w:hAnsi="Times New Roman" w:eastAsia="宋体"/>
                <w:bCs/>
                <w:color w:val="auto"/>
                <w:sz w:val="24"/>
                <w:highlight w:val="none"/>
              </w:rPr>
              <w:t>。</w:t>
            </w:r>
          </w:p>
          <w:p w14:paraId="13629290">
            <w:pPr>
              <w:spacing w:line="360" w:lineRule="auto"/>
              <w:ind w:firstLine="480" w:firstLineChars="200"/>
              <w:rPr>
                <w:rFonts w:hint="eastAsia" w:ascii="Times New Roman" w:hAnsi="Times New Roman" w:eastAsia="宋体"/>
                <w:bCs/>
                <w:color w:val="auto"/>
                <w:sz w:val="24"/>
                <w:highlight w:val="none"/>
                <w:lang w:val="en-US" w:eastAsia="zh-CN"/>
              </w:rPr>
            </w:pPr>
            <w:r>
              <w:rPr>
                <w:rFonts w:hint="eastAsia"/>
                <w:bCs/>
                <w:color w:val="auto"/>
                <w:sz w:val="24"/>
                <w:highlight w:val="none"/>
                <w:lang w:val="en-US" w:eastAsia="zh-CN"/>
              </w:rPr>
              <w:t>（2）现有环评</w:t>
            </w:r>
            <w:r>
              <w:rPr>
                <w:rFonts w:hint="eastAsia" w:ascii="Times New Roman" w:hAnsi="Times New Roman" w:eastAsia="宋体"/>
                <w:bCs/>
                <w:color w:val="auto"/>
                <w:sz w:val="24"/>
                <w:highlight w:val="none"/>
                <w:lang w:val="en-US" w:eastAsia="zh-CN"/>
              </w:rPr>
              <w:t>未识别7号楼污水站废气。</w:t>
            </w:r>
          </w:p>
          <w:p w14:paraId="775646A5">
            <w:pPr>
              <w:spacing w:line="360" w:lineRule="auto"/>
              <w:ind w:firstLine="480" w:firstLineChars="200"/>
              <w:rPr>
                <w:rFonts w:hint="default" w:ascii="Times New Roman" w:hAnsi="Times New Roman" w:eastAsia="宋体"/>
                <w:bCs/>
                <w:color w:val="auto"/>
                <w:sz w:val="24"/>
                <w:highlight w:val="none"/>
                <w:lang w:val="en-US" w:eastAsia="zh-CN"/>
              </w:rPr>
            </w:pPr>
            <w:r>
              <w:rPr>
                <w:rFonts w:hint="eastAsia"/>
                <w:bCs/>
                <w:color w:val="auto"/>
                <w:sz w:val="24"/>
                <w:highlight w:val="none"/>
                <w:lang w:val="en-US" w:eastAsia="zh-CN"/>
              </w:rPr>
              <w:t>（3）5号楼研发废气经过“UV光解+活性炭吸附装置”TA001处理，处理后由30mDA001排放，UV光解属于淘汰的废气治理工艺，需改造废气治理设施。</w:t>
            </w:r>
          </w:p>
          <w:p w14:paraId="7DE5DE6F">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Times New Roman" w:hAnsi="Times New Roman" w:eastAsia="宋体"/>
                <w:b/>
                <w:bCs/>
                <w:color w:val="auto"/>
                <w:sz w:val="24"/>
                <w:highlight w:val="none"/>
              </w:rPr>
            </w:pPr>
            <w:r>
              <w:rPr>
                <w:rFonts w:hint="eastAsia"/>
                <w:b/>
                <w:bCs/>
                <w:color w:val="auto"/>
                <w:sz w:val="24"/>
                <w:highlight w:val="none"/>
                <w:lang w:val="en-US" w:eastAsia="zh-CN"/>
              </w:rPr>
              <w:t>5</w:t>
            </w:r>
            <w:r>
              <w:rPr>
                <w:rFonts w:hint="eastAsia" w:ascii="Times New Roman" w:hAnsi="Times New Roman" w:eastAsia="宋体"/>
                <w:b/>
                <w:bCs/>
                <w:color w:val="auto"/>
                <w:sz w:val="24"/>
                <w:highlight w:val="none"/>
              </w:rPr>
              <w:t>、“以新带老”措施</w:t>
            </w:r>
          </w:p>
          <w:p w14:paraId="1F395FBC">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color w:val="auto"/>
                <w:highlight w:val="none"/>
              </w:rPr>
            </w:pPr>
            <w:r>
              <w:rPr>
                <w:rFonts w:hint="eastAsia"/>
                <w:bCs/>
                <w:color w:val="auto"/>
                <w:sz w:val="24"/>
                <w:highlight w:val="none"/>
                <w:lang w:eastAsia="zh-CN"/>
              </w:rPr>
              <w:t>（</w:t>
            </w:r>
            <w:r>
              <w:rPr>
                <w:rFonts w:hint="eastAsia"/>
                <w:bCs/>
                <w:color w:val="auto"/>
                <w:sz w:val="24"/>
                <w:highlight w:val="none"/>
                <w:lang w:val="en-US" w:eastAsia="zh-CN"/>
              </w:rPr>
              <w:t>1</w:t>
            </w:r>
            <w:r>
              <w:rPr>
                <w:rFonts w:hint="eastAsia"/>
                <w:bCs/>
                <w:color w:val="auto"/>
                <w:sz w:val="24"/>
                <w:highlight w:val="none"/>
                <w:lang w:eastAsia="zh-CN"/>
              </w:rPr>
              <w:t>）</w:t>
            </w:r>
            <w:r>
              <w:rPr>
                <w:rFonts w:hint="eastAsia" w:ascii="Times New Roman" w:hAnsi="Times New Roman" w:eastAsia="宋体"/>
                <w:bCs/>
                <w:color w:val="auto"/>
                <w:sz w:val="24"/>
                <w:highlight w:val="none"/>
              </w:rPr>
              <w:t>根据</w:t>
            </w:r>
            <w:r>
              <w:rPr>
                <w:rFonts w:hint="eastAsia"/>
                <w:bCs/>
                <w:color w:val="auto"/>
                <w:sz w:val="24"/>
                <w:highlight w:val="none"/>
                <w:lang w:val="en-US" w:eastAsia="zh-CN"/>
              </w:rPr>
              <w:t>本项目制定的监测计划，按照</w:t>
            </w:r>
            <w:r>
              <w:rPr>
                <w:rFonts w:ascii="Times New Roman" w:hAnsi="Times New Roman" w:eastAsia="宋体"/>
                <w:bCs/>
                <w:color w:val="auto"/>
                <w:sz w:val="24"/>
                <w:highlight w:val="none"/>
              </w:rPr>
              <w:t>《排污单位自行监测技术指南总则》（HJ819-2017）</w:t>
            </w:r>
            <w:r>
              <w:rPr>
                <w:rFonts w:hint="eastAsia"/>
                <w:color w:val="auto"/>
                <w:highlight w:val="none"/>
                <w:lang w:val="en-US" w:eastAsia="zh-CN"/>
              </w:rPr>
              <w:t>、《</w:t>
            </w:r>
            <w:r>
              <w:rPr>
                <w:rFonts w:hint="eastAsia" w:ascii="Times New Roman" w:hAnsi="Times New Roman" w:eastAsia="宋体"/>
                <w:color w:val="auto"/>
                <w:highlight w:val="none"/>
                <w:lang w:val="en-US" w:eastAsia="zh-CN"/>
              </w:rPr>
              <w:t>排污单位自行监测技术指南</w:t>
            </w:r>
            <w:r>
              <w:rPr>
                <w:rFonts w:hint="eastAsia"/>
                <w:color w:val="auto"/>
                <w:highlight w:val="none"/>
                <w:lang w:val="en-US" w:eastAsia="zh-CN"/>
              </w:rPr>
              <w:t xml:space="preserve"> 火力发电及锅炉》（HJ 820-2017）</w:t>
            </w:r>
            <w:r>
              <w:rPr>
                <w:rFonts w:hint="eastAsia" w:ascii="Times New Roman" w:hAnsi="Times New Roman" w:eastAsia="宋体"/>
                <w:bCs/>
                <w:color w:val="auto"/>
                <w:sz w:val="24"/>
                <w:highlight w:val="none"/>
              </w:rPr>
              <w:t>要求定期开展例行监测。</w:t>
            </w:r>
          </w:p>
          <w:p w14:paraId="29C9D758">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本项目补充识别7号楼污水站废气，7号楼污水站设计处理能力为10t/d，设计COD进出水水质分别为600mg/L、60mg/L，可去除COD约1.971t/a。污水处理站在运营时会产生少量恶臭气体，主要成分是氨和硫化氢。根据美国EPA的研究调查，每削减1gCOD可产生0.0031g的NH</w:t>
            </w:r>
            <w:r>
              <w:rPr>
                <w:rFonts w:hint="eastAsia"/>
                <w:color w:val="auto"/>
                <w:highlight w:val="none"/>
                <w:vertAlign w:val="subscript"/>
                <w:lang w:val="en-US" w:eastAsia="zh-CN"/>
              </w:rPr>
              <w:t>3</w:t>
            </w:r>
            <w:r>
              <w:rPr>
                <w:rFonts w:hint="eastAsia"/>
                <w:color w:val="auto"/>
                <w:highlight w:val="none"/>
                <w:lang w:val="en-US" w:eastAsia="zh-CN"/>
              </w:rPr>
              <w:t>、0.00012g的H</w:t>
            </w:r>
            <w:r>
              <w:rPr>
                <w:rFonts w:hint="eastAsia"/>
                <w:color w:val="auto"/>
                <w:highlight w:val="none"/>
                <w:vertAlign w:val="subscript"/>
                <w:lang w:val="en-US" w:eastAsia="zh-CN"/>
              </w:rPr>
              <w:t>2</w:t>
            </w:r>
            <w:r>
              <w:rPr>
                <w:rFonts w:hint="eastAsia"/>
                <w:color w:val="auto"/>
                <w:highlight w:val="none"/>
                <w:lang w:val="en-US" w:eastAsia="zh-CN"/>
              </w:rPr>
              <w:t>S，根据计算7号楼污水处理站削减COD约为1.971t/a，则氨产生量约为0.0061t/a，硫化氢产生量为0.00024t/a。7号楼污水处理站污水处理能力较小，设施加盖密闭且恶臭气体产生量很小，废气无组织排放。</w:t>
            </w:r>
          </w:p>
          <w:p w14:paraId="0B9CAD95">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本项目建成后3号楼、5号楼实验室全部搬迁至1号楼，相应污染物全部削减，5号楼</w:t>
            </w:r>
            <w:r>
              <w:rPr>
                <w:rFonts w:hint="eastAsia"/>
                <w:bCs/>
                <w:color w:val="auto"/>
                <w:sz w:val="24"/>
                <w:highlight w:val="none"/>
                <w:lang w:val="en-US" w:eastAsia="zh-CN"/>
              </w:rPr>
              <w:t>UV光解装置拆除。</w:t>
            </w:r>
            <w:r>
              <w:rPr>
                <w:rFonts w:hint="eastAsia"/>
                <w:color w:val="auto"/>
                <w:highlight w:val="none"/>
                <w:lang w:val="en-US" w:eastAsia="zh-CN"/>
              </w:rPr>
              <w:t>3号楼、5号楼搬迁前后厂区内现有各建筑污染物排放情况及污染物削减情况见下表。</w:t>
            </w:r>
          </w:p>
          <w:p w14:paraId="04F34ED4">
            <w:pPr>
              <w:pStyle w:val="44"/>
              <w:bidi w:val="0"/>
              <w:rPr>
                <w:rFonts w:hint="eastAsia"/>
              </w:rPr>
            </w:pPr>
            <w:r>
              <w:rPr>
                <w:rFonts w:hint="eastAsia"/>
                <w:lang w:val="en-US" w:eastAsia="zh-CN"/>
              </w:rPr>
              <w:t>搬迁前厂区内现有各建筑污染物排放量汇总表</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81"/>
              <w:gridCol w:w="2184"/>
              <w:gridCol w:w="796"/>
              <w:gridCol w:w="796"/>
              <w:gridCol w:w="796"/>
              <w:gridCol w:w="899"/>
              <w:gridCol w:w="1004"/>
            </w:tblGrid>
            <w:tr w14:paraId="31D757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restart"/>
                  <w:tcBorders>
                    <w:tl2br w:val="nil"/>
                    <w:tr2bl w:val="nil"/>
                  </w:tcBorders>
                  <w:noWrap w:val="0"/>
                  <w:vAlign w:val="center"/>
                </w:tcPr>
                <w:p w14:paraId="795613EB">
                  <w:pPr>
                    <w:pStyle w:val="41"/>
                    <w:bidi w:val="0"/>
                    <w:jc w:val="center"/>
                    <w:rPr>
                      <w:rFonts w:hint="default"/>
                      <w:b/>
                      <w:bCs/>
                      <w:lang w:val="en-US" w:eastAsia="zh-CN"/>
                    </w:rPr>
                  </w:pPr>
                  <w:r>
                    <w:rPr>
                      <w:rFonts w:hint="eastAsia"/>
                      <w:b/>
                      <w:bCs/>
                      <w:lang w:val="en-US" w:eastAsia="zh-CN"/>
                    </w:rPr>
                    <w:t>污染物种类</w:t>
                  </w:r>
                </w:p>
              </w:tc>
              <w:tc>
                <w:tcPr>
                  <w:tcW w:w="2184" w:type="dxa"/>
                  <w:vMerge w:val="restart"/>
                  <w:tcBorders>
                    <w:tl2br w:val="nil"/>
                    <w:tr2bl w:val="nil"/>
                  </w:tcBorders>
                  <w:shd w:val="clear" w:color="auto" w:fill="auto"/>
                  <w:noWrap w:val="0"/>
                  <w:vAlign w:val="center"/>
                </w:tcPr>
                <w:p w14:paraId="03B6440F">
                  <w:pPr>
                    <w:pStyle w:val="41"/>
                    <w:bidi w:val="0"/>
                    <w:jc w:val="center"/>
                    <w:rPr>
                      <w:rFonts w:hint="default"/>
                      <w:b/>
                      <w:bCs/>
                      <w:lang w:val="en-US" w:eastAsia="zh-TW"/>
                    </w:rPr>
                  </w:pPr>
                  <w:r>
                    <w:rPr>
                      <w:b/>
                      <w:bCs/>
                    </w:rPr>
                    <w:t>污染物名称</w:t>
                  </w:r>
                </w:p>
              </w:tc>
              <w:tc>
                <w:tcPr>
                  <w:tcW w:w="4291" w:type="dxa"/>
                  <w:gridSpan w:val="5"/>
                  <w:tcBorders>
                    <w:tl2br w:val="nil"/>
                    <w:tr2bl w:val="nil"/>
                  </w:tcBorders>
                  <w:shd w:val="clear" w:color="auto" w:fill="auto"/>
                  <w:noWrap w:val="0"/>
                  <w:vAlign w:val="center"/>
                </w:tcPr>
                <w:p w14:paraId="6F742E70">
                  <w:pPr>
                    <w:pStyle w:val="41"/>
                    <w:bidi w:val="0"/>
                    <w:jc w:val="center"/>
                    <w:rPr>
                      <w:rFonts w:hint="eastAsia"/>
                      <w:b/>
                      <w:bCs/>
                      <w:lang w:val="en-US" w:eastAsia="zh-CN"/>
                    </w:rPr>
                  </w:pPr>
                  <w:r>
                    <w:rPr>
                      <w:rFonts w:hint="eastAsia"/>
                      <w:b/>
                      <w:bCs/>
                      <w:lang w:val="en-US" w:eastAsia="zh-CN"/>
                    </w:rPr>
                    <w:t>排放量（t/a）</w:t>
                  </w:r>
                </w:p>
              </w:tc>
            </w:tr>
            <w:tr w14:paraId="26655C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173D303A">
                  <w:pPr>
                    <w:pStyle w:val="41"/>
                    <w:bidi w:val="0"/>
                    <w:jc w:val="center"/>
                    <w:rPr>
                      <w:rFonts w:hint="default"/>
                      <w:b/>
                      <w:bCs/>
                      <w:lang w:val="en-US" w:eastAsia="zh-CN"/>
                    </w:rPr>
                  </w:pPr>
                </w:p>
              </w:tc>
              <w:tc>
                <w:tcPr>
                  <w:tcW w:w="2184" w:type="dxa"/>
                  <w:vMerge w:val="continue"/>
                  <w:tcBorders>
                    <w:tl2br w:val="nil"/>
                    <w:tr2bl w:val="nil"/>
                  </w:tcBorders>
                  <w:shd w:val="clear" w:color="auto" w:fill="auto"/>
                  <w:noWrap w:val="0"/>
                  <w:vAlign w:val="center"/>
                </w:tcPr>
                <w:p w14:paraId="651B435D">
                  <w:pPr>
                    <w:pStyle w:val="41"/>
                    <w:bidi w:val="0"/>
                    <w:jc w:val="center"/>
                    <w:rPr>
                      <w:rFonts w:hint="default"/>
                      <w:b/>
                      <w:bCs/>
                      <w:lang w:val="en-US" w:eastAsia="zh-TW"/>
                    </w:rPr>
                  </w:pPr>
                </w:p>
              </w:tc>
              <w:tc>
                <w:tcPr>
                  <w:tcW w:w="796" w:type="dxa"/>
                  <w:tcBorders>
                    <w:tl2br w:val="nil"/>
                    <w:tr2bl w:val="nil"/>
                  </w:tcBorders>
                  <w:shd w:val="clear" w:color="auto" w:fill="auto"/>
                  <w:noWrap w:val="0"/>
                  <w:vAlign w:val="center"/>
                </w:tcPr>
                <w:p w14:paraId="6337D1FB">
                  <w:pPr>
                    <w:pStyle w:val="41"/>
                    <w:bidi w:val="0"/>
                    <w:jc w:val="center"/>
                    <w:rPr>
                      <w:rFonts w:hint="default"/>
                      <w:b/>
                      <w:bCs/>
                      <w:lang w:val="en-US" w:eastAsia="zh-CN"/>
                    </w:rPr>
                  </w:pPr>
                  <w:r>
                    <w:rPr>
                      <w:rFonts w:hint="eastAsia"/>
                      <w:b/>
                      <w:bCs/>
                      <w:lang w:val="en-US" w:eastAsia="zh-CN"/>
                    </w:rPr>
                    <w:t>5号楼</w:t>
                  </w:r>
                </w:p>
              </w:tc>
              <w:tc>
                <w:tcPr>
                  <w:tcW w:w="796" w:type="dxa"/>
                  <w:tcBorders>
                    <w:tl2br w:val="nil"/>
                    <w:tr2bl w:val="nil"/>
                  </w:tcBorders>
                  <w:shd w:val="clear" w:color="auto" w:fill="auto"/>
                  <w:noWrap w:val="0"/>
                  <w:vAlign w:val="center"/>
                </w:tcPr>
                <w:p w14:paraId="3555F7D9">
                  <w:pPr>
                    <w:pStyle w:val="41"/>
                    <w:bidi w:val="0"/>
                    <w:jc w:val="center"/>
                    <w:rPr>
                      <w:rFonts w:hint="default"/>
                      <w:b/>
                      <w:bCs/>
                      <w:lang w:val="en-US" w:eastAsia="zh-CN"/>
                    </w:rPr>
                  </w:pPr>
                  <w:r>
                    <w:rPr>
                      <w:rFonts w:hint="eastAsia"/>
                      <w:b/>
                      <w:bCs/>
                      <w:lang w:val="en-US" w:eastAsia="zh-CN"/>
                    </w:rPr>
                    <w:t>7号楼</w:t>
                  </w:r>
                </w:p>
              </w:tc>
              <w:tc>
                <w:tcPr>
                  <w:tcW w:w="796" w:type="dxa"/>
                  <w:tcBorders>
                    <w:tl2br w:val="nil"/>
                    <w:tr2bl w:val="nil"/>
                  </w:tcBorders>
                  <w:shd w:val="clear" w:color="auto" w:fill="auto"/>
                  <w:noWrap w:val="0"/>
                  <w:vAlign w:val="center"/>
                </w:tcPr>
                <w:p w14:paraId="18F364A7">
                  <w:pPr>
                    <w:pStyle w:val="41"/>
                    <w:bidi w:val="0"/>
                    <w:jc w:val="center"/>
                    <w:rPr>
                      <w:rFonts w:hint="default"/>
                      <w:b/>
                      <w:bCs/>
                      <w:lang w:val="en-US" w:eastAsia="zh-CN"/>
                    </w:rPr>
                  </w:pPr>
                  <w:r>
                    <w:rPr>
                      <w:rFonts w:hint="eastAsia"/>
                      <w:b/>
                      <w:bCs/>
                      <w:lang w:val="en-US" w:eastAsia="zh-CN"/>
                    </w:rPr>
                    <w:t>6号楼</w:t>
                  </w:r>
                </w:p>
              </w:tc>
              <w:tc>
                <w:tcPr>
                  <w:tcW w:w="899" w:type="dxa"/>
                  <w:tcBorders>
                    <w:tl2br w:val="nil"/>
                    <w:tr2bl w:val="nil"/>
                  </w:tcBorders>
                  <w:shd w:val="clear" w:color="auto" w:fill="auto"/>
                  <w:noWrap w:val="0"/>
                  <w:vAlign w:val="center"/>
                </w:tcPr>
                <w:p w14:paraId="61A0BF2A">
                  <w:pPr>
                    <w:pStyle w:val="41"/>
                    <w:bidi w:val="0"/>
                    <w:jc w:val="center"/>
                    <w:rPr>
                      <w:rFonts w:hint="default"/>
                      <w:b/>
                      <w:bCs/>
                      <w:lang w:val="en-US" w:eastAsia="zh-CN"/>
                    </w:rPr>
                  </w:pPr>
                  <w:r>
                    <w:rPr>
                      <w:rFonts w:hint="eastAsia"/>
                      <w:b/>
                      <w:bCs/>
                      <w:lang w:val="en-US" w:eastAsia="zh-CN"/>
                    </w:rPr>
                    <w:t>3号楼</w:t>
                  </w:r>
                </w:p>
              </w:tc>
              <w:tc>
                <w:tcPr>
                  <w:tcW w:w="1004" w:type="dxa"/>
                  <w:tcBorders>
                    <w:tl2br w:val="nil"/>
                    <w:tr2bl w:val="nil"/>
                  </w:tcBorders>
                  <w:shd w:val="clear" w:color="auto" w:fill="auto"/>
                  <w:noWrap w:val="0"/>
                  <w:vAlign w:val="center"/>
                </w:tcPr>
                <w:p w14:paraId="5756CF10">
                  <w:pPr>
                    <w:pStyle w:val="41"/>
                    <w:bidi w:val="0"/>
                    <w:jc w:val="center"/>
                    <w:rPr>
                      <w:rFonts w:hint="default"/>
                      <w:b/>
                      <w:bCs/>
                      <w:lang w:val="en-US" w:eastAsia="zh-CN"/>
                    </w:rPr>
                  </w:pPr>
                  <w:r>
                    <w:rPr>
                      <w:rFonts w:hint="eastAsia"/>
                      <w:b/>
                      <w:bCs/>
                      <w:lang w:val="en-US" w:eastAsia="zh-CN"/>
                    </w:rPr>
                    <w:t>合计</w:t>
                  </w:r>
                </w:p>
              </w:tc>
            </w:tr>
            <w:tr w14:paraId="196885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restart"/>
                  <w:tcBorders>
                    <w:tl2br w:val="nil"/>
                    <w:tr2bl w:val="nil"/>
                  </w:tcBorders>
                  <w:noWrap w:val="0"/>
                  <w:vAlign w:val="center"/>
                </w:tcPr>
                <w:p w14:paraId="754031FC">
                  <w:pPr>
                    <w:pStyle w:val="41"/>
                    <w:bidi w:val="0"/>
                    <w:jc w:val="center"/>
                  </w:pPr>
                  <w:r>
                    <w:t>废水</w:t>
                  </w:r>
                </w:p>
              </w:tc>
              <w:tc>
                <w:tcPr>
                  <w:tcW w:w="2184" w:type="dxa"/>
                  <w:tcBorders>
                    <w:tl2br w:val="nil"/>
                    <w:tr2bl w:val="nil"/>
                  </w:tcBorders>
                  <w:noWrap w:val="0"/>
                  <w:vAlign w:val="center"/>
                </w:tcPr>
                <w:p w14:paraId="1076D8FC">
                  <w:pPr>
                    <w:pStyle w:val="41"/>
                    <w:bidi w:val="0"/>
                    <w:jc w:val="center"/>
                    <w:rPr>
                      <w:rFonts w:hint="default"/>
                    </w:rPr>
                  </w:pPr>
                  <w:r>
                    <w:rPr>
                      <w:rFonts w:hint="default"/>
                      <w:lang w:eastAsia="zh-TW"/>
                    </w:rPr>
                    <w:t>废水量</w:t>
                  </w:r>
                </w:p>
              </w:tc>
              <w:tc>
                <w:tcPr>
                  <w:tcW w:w="796" w:type="dxa"/>
                  <w:tcBorders>
                    <w:tl2br w:val="nil"/>
                    <w:tr2bl w:val="nil"/>
                  </w:tcBorders>
                  <w:shd w:val="clear" w:color="auto" w:fill="auto"/>
                  <w:noWrap w:val="0"/>
                  <w:vAlign w:val="center"/>
                </w:tcPr>
                <w:p w14:paraId="1E4CF303">
                  <w:pPr>
                    <w:pStyle w:val="41"/>
                    <w:bidi w:val="0"/>
                    <w:jc w:val="center"/>
                    <w:rPr>
                      <w:rFonts w:hint="default"/>
                      <w:lang w:val="en-US" w:eastAsia="zh-CN"/>
                    </w:rPr>
                  </w:pPr>
                  <w:r>
                    <w:rPr>
                      <w:rFonts w:hint="eastAsia"/>
                    </w:rPr>
                    <w:t>13875</w:t>
                  </w:r>
                </w:p>
              </w:tc>
              <w:tc>
                <w:tcPr>
                  <w:tcW w:w="796" w:type="dxa"/>
                  <w:tcBorders>
                    <w:tl2br w:val="nil"/>
                    <w:tr2bl w:val="nil"/>
                  </w:tcBorders>
                  <w:shd w:val="clear" w:color="auto" w:fill="auto"/>
                  <w:noWrap w:val="0"/>
                  <w:vAlign w:val="center"/>
                </w:tcPr>
                <w:p w14:paraId="0D8B9116">
                  <w:pPr>
                    <w:pStyle w:val="41"/>
                    <w:bidi w:val="0"/>
                    <w:jc w:val="center"/>
                    <w:rPr>
                      <w:rFonts w:hint="default"/>
                      <w:lang w:val="en-US" w:eastAsia="zh-CN"/>
                    </w:rPr>
                  </w:pPr>
                  <w:r>
                    <w:rPr>
                      <w:rFonts w:hint="eastAsia"/>
                    </w:rPr>
                    <w:t>13875</w:t>
                  </w:r>
                </w:p>
              </w:tc>
              <w:tc>
                <w:tcPr>
                  <w:tcW w:w="796" w:type="dxa"/>
                  <w:tcBorders>
                    <w:tl2br w:val="nil"/>
                    <w:tr2bl w:val="nil"/>
                  </w:tcBorders>
                  <w:noWrap w:val="0"/>
                  <w:vAlign w:val="center"/>
                </w:tcPr>
                <w:p w14:paraId="75E8D941">
                  <w:pPr>
                    <w:pStyle w:val="41"/>
                    <w:bidi w:val="0"/>
                    <w:jc w:val="center"/>
                    <w:rPr>
                      <w:rFonts w:hint="default"/>
                      <w:lang w:val="en-US" w:eastAsia="zh-CN"/>
                    </w:rPr>
                  </w:pPr>
                  <w:r>
                    <w:rPr>
                      <w:rFonts w:hint="eastAsia"/>
                      <w:lang w:val="en-US" w:eastAsia="zh-CN"/>
                    </w:rPr>
                    <w:t>662.1</w:t>
                  </w:r>
                </w:p>
              </w:tc>
              <w:tc>
                <w:tcPr>
                  <w:tcW w:w="899" w:type="dxa"/>
                  <w:tcBorders>
                    <w:tl2br w:val="nil"/>
                    <w:tr2bl w:val="nil"/>
                  </w:tcBorders>
                  <w:noWrap w:val="0"/>
                  <w:vAlign w:val="center"/>
                </w:tcPr>
                <w:p w14:paraId="3598D4FC">
                  <w:pPr>
                    <w:pStyle w:val="41"/>
                    <w:bidi w:val="0"/>
                    <w:jc w:val="center"/>
                    <w:rPr>
                      <w:rFonts w:hint="default"/>
                      <w:lang w:val="en-US" w:eastAsia="zh-CN"/>
                    </w:rPr>
                  </w:pPr>
                  <w:r>
                    <w:rPr>
                      <w:rFonts w:hint="eastAsia"/>
                      <w:lang w:val="en-US" w:eastAsia="zh-CN"/>
                    </w:rPr>
                    <w:t>812.95</w:t>
                  </w:r>
                </w:p>
              </w:tc>
              <w:tc>
                <w:tcPr>
                  <w:tcW w:w="1004" w:type="dxa"/>
                  <w:tcBorders>
                    <w:tl2br w:val="nil"/>
                    <w:tr2bl w:val="nil"/>
                  </w:tcBorders>
                  <w:shd w:val="clear" w:color="auto" w:fill="auto"/>
                  <w:noWrap w:val="0"/>
                  <w:vAlign w:val="center"/>
                </w:tcPr>
                <w:p w14:paraId="54D6BB62">
                  <w:pPr>
                    <w:pStyle w:val="41"/>
                    <w:bidi w:val="0"/>
                    <w:jc w:val="center"/>
                    <w:rPr>
                      <w:rFonts w:hint="eastAsia"/>
                      <w:lang w:val="en-US" w:eastAsia="zh-CN"/>
                    </w:rPr>
                  </w:pPr>
                  <w:r>
                    <w:rPr>
                      <w:rFonts w:hint="eastAsia"/>
                    </w:rPr>
                    <w:t>29225.05</w:t>
                  </w:r>
                </w:p>
              </w:tc>
            </w:tr>
            <w:tr w14:paraId="0E7B05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6AF46E2C">
                  <w:pPr>
                    <w:pStyle w:val="41"/>
                    <w:bidi w:val="0"/>
                    <w:jc w:val="center"/>
                  </w:pPr>
                </w:p>
              </w:tc>
              <w:tc>
                <w:tcPr>
                  <w:tcW w:w="2184" w:type="dxa"/>
                  <w:tcBorders>
                    <w:tl2br w:val="nil"/>
                    <w:tr2bl w:val="nil"/>
                  </w:tcBorders>
                  <w:noWrap w:val="0"/>
                  <w:vAlign w:val="center"/>
                </w:tcPr>
                <w:p w14:paraId="54AF00B4">
                  <w:pPr>
                    <w:pStyle w:val="41"/>
                    <w:bidi w:val="0"/>
                    <w:jc w:val="center"/>
                    <w:rPr>
                      <w:rFonts w:hint="default"/>
                      <w:lang w:val="en-US" w:eastAsia="zh-CN"/>
                    </w:rPr>
                  </w:pPr>
                  <w:r>
                    <w:t>COD</w:t>
                  </w:r>
                </w:p>
              </w:tc>
              <w:tc>
                <w:tcPr>
                  <w:tcW w:w="796" w:type="dxa"/>
                  <w:tcBorders>
                    <w:tl2br w:val="nil"/>
                    <w:tr2bl w:val="nil"/>
                  </w:tcBorders>
                  <w:shd w:val="clear" w:color="auto" w:fill="auto"/>
                  <w:noWrap w:val="0"/>
                  <w:vAlign w:val="center"/>
                </w:tcPr>
                <w:p w14:paraId="5510CD58">
                  <w:pPr>
                    <w:pStyle w:val="41"/>
                    <w:bidi w:val="0"/>
                    <w:jc w:val="center"/>
                    <w:rPr>
                      <w:rFonts w:hint="eastAsia"/>
                      <w:lang w:val="en-US" w:eastAsia="zh-CN"/>
                    </w:rPr>
                  </w:pPr>
                  <w:r>
                    <w:rPr>
                      <w:rFonts w:hint="eastAsia"/>
                    </w:rPr>
                    <w:t>3.83</w:t>
                  </w:r>
                </w:p>
              </w:tc>
              <w:tc>
                <w:tcPr>
                  <w:tcW w:w="796" w:type="dxa"/>
                  <w:tcBorders>
                    <w:tl2br w:val="nil"/>
                    <w:tr2bl w:val="nil"/>
                  </w:tcBorders>
                  <w:shd w:val="clear" w:color="auto" w:fill="auto"/>
                  <w:noWrap w:val="0"/>
                  <w:vAlign w:val="center"/>
                </w:tcPr>
                <w:p w14:paraId="07F56477">
                  <w:pPr>
                    <w:pStyle w:val="41"/>
                    <w:bidi w:val="0"/>
                    <w:jc w:val="center"/>
                    <w:rPr>
                      <w:rFonts w:hint="eastAsia"/>
                      <w:lang w:val="en-US" w:eastAsia="zh-CN"/>
                    </w:rPr>
                  </w:pPr>
                  <w:r>
                    <w:rPr>
                      <w:rFonts w:hint="eastAsia"/>
                    </w:rPr>
                    <w:t>3.83</w:t>
                  </w:r>
                </w:p>
              </w:tc>
              <w:tc>
                <w:tcPr>
                  <w:tcW w:w="796" w:type="dxa"/>
                  <w:tcBorders>
                    <w:tl2br w:val="nil"/>
                    <w:tr2bl w:val="nil"/>
                  </w:tcBorders>
                  <w:noWrap w:val="0"/>
                  <w:vAlign w:val="center"/>
                </w:tcPr>
                <w:p w14:paraId="27B16397">
                  <w:pPr>
                    <w:pStyle w:val="41"/>
                    <w:bidi w:val="0"/>
                    <w:jc w:val="center"/>
                    <w:rPr>
                      <w:rFonts w:hint="default"/>
                      <w:lang w:val="en-US" w:eastAsia="zh-CN"/>
                    </w:rPr>
                  </w:pPr>
                  <w:r>
                    <w:rPr>
                      <w:rFonts w:hint="eastAsia"/>
                      <w:lang w:val="en-US" w:eastAsia="zh-CN"/>
                    </w:rPr>
                    <w:t>0.2422</w:t>
                  </w:r>
                </w:p>
              </w:tc>
              <w:tc>
                <w:tcPr>
                  <w:tcW w:w="899" w:type="dxa"/>
                  <w:tcBorders>
                    <w:tl2br w:val="nil"/>
                    <w:tr2bl w:val="nil"/>
                  </w:tcBorders>
                  <w:noWrap w:val="0"/>
                  <w:vAlign w:val="center"/>
                </w:tcPr>
                <w:p w14:paraId="360A9092">
                  <w:pPr>
                    <w:pStyle w:val="41"/>
                    <w:bidi w:val="0"/>
                    <w:jc w:val="center"/>
                    <w:rPr>
                      <w:rFonts w:hint="default"/>
                      <w:lang w:val="en-US" w:eastAsia="zh-CN"/>
                    </w:rPr>
                  </w:pPr>
                  <w:r>
                    <w:rPr>
                      <w:rFonts w:hint="default"/>
                    </w:rPr>
                    <w:t>0.046</w:t>
                  </w:r>
                </w:p>
              </w:tc>
              <w:tc>
                <w:tcPr>
                  <w:tcW w:w="1004" w:type="dxa"/>
                  <w:tcBorders>
                    <w:tl2br w:val="nil"/>
                    <w:tr2bl w:val="nil"/>
                  </w:tcBorders>
                  <w:shd w:val="clear" w:color="auto" w:fill="auto"/>
                  <w:noWrap w:val="0"/>
                  <w:vAlign w:val="center"/>
                </w:tcPr>
                <w:p w14:paraId="41E4AB6B">
                  <w:pPr>
                    <w:pStyle w:val="41"/>
                    <w:bidi w:val="0"/>
                    <w:jc w:val="center"/>
                    <w:rPr>
                      <w:rFonts w:hint="default"/>
                      <w:lang w:val="en-US" w:eastAsia="zh-CN"/>
                    </w:rPr>
                  </w:pPr>
                  <w:r>
                    <w:rPr>
                      <w:rFonts w:hint="eastAsia"/>
                    </w:rPr>
                    <w:t>7.9482</w:t>
                  </w:r>
                </w:p>
              </w:tc>
            </w:tr>
            <w:tr w14:paraId="0FE12B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6D9D3CB4">
                  <w:pPr>
                    <w:pStyle w:val="41"/>
                    <w:bidi w:val="0"/>
                    <w:jc w:val="center"/>
                  </w:pPr>
                </w:p>
              </w:tc>
              <w:tc>
                <w:tcPr>
                  <w:tcW w:w="2184" w:type="dxa"/>
                  <w:tcBorders>
                    <w:tl2br w:val="nil"/>
                    <w:tr2bl w:val="nil"/>
                  </w:tcBorders>
                  <w:noWrap w:val="0"/>
                  <w:vAlign w:val="center"/>
                </w:tcPr>
                <w:p w14:paraId="242E7DFD">
                  <w:pPr>
                    <w:pStyle w:val="41"/>
                    <w:bidi w:val="0"/>
                    <w:jc w:val="center"/>
                    <w:rPr>
                      <w:rFonts w:hint="default"/>
                      <w:lang w:val="en-US" w:eastAsia="zh-CN"/>
                    </w:rPr>
                  </w:pPr>
                  <w:r>
                    <w:t>SS</w:t>
                  </w:r>
                </w:p>
              </w:tc>
              <w:tc>
                <w:tcPr>
                  <w:tcW w:w="796" w:type="dxa"/>
                  <w:tcBorders>
                    <w:tl2br w:val="nil"/>
                    <w:tr2bl w:val="nil"/>
                  </w:tcBorders>
                  <w:shd w:val="clear" w:color="auto" w:fill="auto"/>
                  <w:noWrap w:val="0"/>
                  <w:vAlign w:val="center"/>
                </w:tcPr>
                <w:p w14:paraId="0A286A49">
                  <w:pPr>
                    <w:pStyle w:val="41"/>
                    <w:bidi w:val="0"/>
                    <w:jc w:val="center"/>
                    <w:rPr>
                      <w:rFonts w:hint="eastAsia"/>
                      <w:lang w:val="en-US" w:eastAsia="zh-CN"/>
                    </w:rPr>
                  </w:pPr>
                  <w:r>
                    <w:rPr>
                      <w:rFonts w:hint="eastAsia"/>
                    </w:rPr>
                    <w:t>3.115</w:t>
                  </w:r>
                </w:p>
              </w:tc>
              <w:tc>
                <w:tcPr>
                  <w:tcW w:w="796" w:type="dxa"/>
                  <w:tcBorders>
                    <w:tl2br w:val="nil"/>
                    <w:tr2bl w:val="nil"/>
                  </w:tcBorders>
                  <w:shd w:val="clear" w:color="auto" w:fill="auto"/>
                  <w:noWrap w:val="0"/>
                  <w:vAlign w:val="center"/>
                </w:tcPr>
                <w:p w14:paraId="341CC7E5">
                  <w:pPr>
                    <w:pStyle w:val="41"/>
                    <w:bidi w:val="0"/>
                    <w:jc w:val="center"/>
                    <w:rPr>
                      <w:rFonts w:hint="default"/>
                      <w:lang w:val="en-US" w:eastAsia="zh-CN"/>
                    </w:rPr>
                  </w:pPr>
                  <w:r>
                    <w:rPr>
                      <w:rFonts w:hint="eastAsia"/>
                    </w:rPr>
                    <w:t>3.115</w:t>
                  </w:r>
                </w:p>
              </w:tc>
              <w:tc>
                <w:tcPr>
                  <w:tcW w:w="796" w:type="dxa"/>
                  <w:tcBorders>
                    <w:tl2br w:val="nil"/>
                    <w:tr2bl w:val="nil"/>
                  </w:tcBorders>
                  <w:noWrap w:val="0"/>
                  <w:vAlign w:val="center"/>
                </w:tcPr>
                <w:p w14:paraId="1B95151F">
                  <w:pPr>
                    <w:pStyle w:val="41"/>
                    <w:bidi w:val="0"/>
                    <w:jc w:val="center"/>
                    <w:rPr>
                      <w:rFonts w:hint="eastAsia"/>
                      <w:lang w:val="en-US" w:eastAsia="zh-CN"/>
                    </w:rPr>
                  </w:pPr>
                  <w:r>
                    <w:rPr>
                      <w:rFonts w:hint="eastAsia"/>
                      <w:lang w:val="en-US" w:eastAsia="zh-CN"/>
                    </w:rPr>
                    <w:t>0.0926</w:t>
                  </w:r>
                </w:p>
              </w:tc>
              <w:tc>
                <w:tcPr>
                  <w:tcW w:w="899" w:type="dxa"/>
                  <w:tcBorders>
                    <w:tl2br w:val="nil"/>
                    <w:tr2bl w:val="nil"/>
                  </w:tcBorders>
                  <w:noWrap w:val="0"/>
                  <w:vAlign w:val="center"/>
                </w:tcPr>
                <w:p w14:paraId="62D8D62B">
                  <w:pPr>
                    <w:pStyle w:val="41"/>
                    <w:bidi w:val="0"/>
                    <w:jc w:val="center"/>
                    <w:rPr>
                      <w:rFonts w:hint="eastAsia"/>
                      <w:lang w:val="en-US" w:eastAsia="zh-CN"/>
                    </w:rPr>
                  </w:pPr>
                  <w:r>
                    <w:rPr>
                      <w:rFonts w:hint="default"/>
                    </w:rPr>
                    <w:t>0.037</w:t>
                  </w:r>
                </w:p>
              </w:tc>
              <w:tc>
                <w:tcPr>
                  <w:tcW w:w="1004" w:type="dxa"/>
                  <w:tcBorders>
                    <w:tl2br w:val="nil"/>
                    <w:tr2bl w:val="nil"/>
                  </w:tcBorders>
                  <w:shd w:val="clear" w:color="auto" w:fill="auto"/>
                  <w:noWrap w:val="0"/>
                  <w:vAlign w:val="center"/>
                </w:tcPr>
                <w:p w14:paraId="19AD92B3">
                  <w:pPr>
                    <w:pStyle w:val="41"/>
                    <w:bidi w:val="0"/>
                    <w:jc w:val="center"/>
                    <w:rPr>
                      <w:rFonts w:hint="default"/>
                      <w:lang w:val="en-US" w:eastAsia="zh-CN"/>
                    </w:rPr>
                  </w:pPr>
                  <w:r>
                    <w:rPr>
                      <w:rFonts w:hint="eastAsia"/>
                    </w:rPr>
                    <w:t>6.3596</w:t>
                  </w:r>
                </w:p>
              </w:tc>
            </w:tr>
            <w:tr w14:paraId="60CCB3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048AC10C">
                  <w:pPr>
                    <w:pStyle w:val="41"/>
                    <w:bidi w:val="0"/>
                    <w:jc w:val="center"/>
                  </w:pPr>
                </w:p>
              </w:tc>
              <w:tc>
                <w:tcPr>
                  <w:tcW w:w="2184" w:type="dxa"/>
                  <w:tcBorders>
                    <w:tl2br w:val="nil"/>
                    <w:tr2bl w:val="nil"/>
                  </w:tcBorders>
                  <w:noWrap w:val="0"/>
                  <w:vAlign w:val="center"/>
                </w:tcPr>
                <w:p w14:paraId="2DDEE1EE">
                  <w:pPr>
                    <w:pStyle w:val="41"/>
                    <w:bidi w:val="0"/>
                    <w:jc w:val="center"/>
                    <w:rPr>
                      <w:rFonts w:hint="default"/>
                      <w:lang w:val="en-US" w:eastAsia="zh-CN"/>
                    </w:rPr>
                  </w:pPr>
                  <w:r>
                    <w:t>NH</w:t>
                  </w:r>
                  <w:r>
                    <w:rPr>
                      <w:vertAlign w:val="subscript"/>
                    </w:rPr>
                    <w:t>3</w:t>
                  </w:r>
                  <w:r>
                    <w:t>-N</w:t>
                  </w:r>
                </w:p>
              </w:tc>
              <w:tc>
                <w:tcPr>
                  <w:tcW w:w="796" w:type="dxa"/>
                  <w:tcBorders>
                    <w:tl2br w:val="nil"/>
                    <w:tr2bl w:val="nil"/>
                  </w:tcBorders>
                  <w:shd w:val="clear" w:color="auto" w:fill="auto"/>
                  <w:noWrap w:val="0"/>
                  <w:vAlign w:val="center"/>
                </w:tcPr>
                <w:p w14:paraId="259B6FC7">
                  <w:pPr>
                    <w:pStyle w:val="41"/>
                    <w:bidi w:val="0"/>
                    <w:jc w:val="center"/>
                    <w:rPr>
                      <w:rFonts w:hint="eastAsia"/>
                      <w:lang w:val="en-US" w:eastAsia="zh-CN"/>
                    </w:rPr>
                  </w:pPr>
                  <w:r>
                    <w:rPr>
                      <w:rFonts w:hint="eastAsia"/>
                    </w:rPr>
                    <w:t>0.355</w:t>
                  </w:r>
                </w:p>
              </w:tc>
              <w:tc>
                <w:tcPr>
                  <w:tcW w:w="796" w:type="dxa"/>
                  <w:tcBorders>
                    <w:tl2br w:val="nil"/>
                    <w:tr2bl w:val="nil"/>
                  </w:tcBorders>
                  <w:shd w:val="clear" w:color="auto" w:fill="auto"/>
                  <w:noWrap w:val="0"/>
                  <w:vAlign w:val="center"/>
                </w:tcPr>
                <w:p w14:paraId="4CF8B09C">
                  <w:pPr>
                    <w:pStyle w:val="41"/>
                    <w:bidi w:val="0"/>
                    <w:jc w:val="center"/>
                    <w:rPr>
                      <w:rFonts w:hint="eastAsia"/>
                      <w:lang w:val="en-US" w:eastAsia="zh-CN"/>
                    </w:rPr>
                  </w:pPr>
                  <w:r>
                    <w:rPr>
                      <w:rFonts w:hint="eastAsia"/>
                    </w:rPr>
                    <w:t>0.355</w:t>
                  </w:r>
                </w:p>
              </w:tc>
              <w:tc>
                <w:tcPr>
                  <w:tcW w:w="796" w:type="dxa"/>
                  <w:tcBorders>
                    <w:tl2br w:val="nil"/>
                    <w:tr2bl w:val="nil"/>
                  </w:tcBorders>
                  <w:noWrap w:val="0"/>
                  <w:vAlign w:val="center"/>
                </w:tcPr>
                <w:p w14:paraId="751B5F77">
                  <w:pPr>
                    <w:pStyle w:val="41"/>
                    <w:bidi w:val="0"/>
                    <w:jc w:val="center"/>
                    <w:rPr>
                      <w:rFonts w:hint="default"/>
                      <w:lang w:val="en-US" w:eastAsia="zh-CN"/>
                    </w:rPr>
                  </w:pPr>
                  <w:r>
                    <w:rPr>
                      <w:rFonts w:hint="eastAsia"/>
                      <w:lang w:val="en-US" w:eastAsia="zh-CN"/>
                    </w:rPr>
                    <w:t>0.0159</w:t>
                  </w:r>
                </w:p>
              </w:tc>
              <w:tc>
                <w:tcPr>
                  <w:tcW w:w="899" w:type="dxa"/>
                  <w:tcBorders>
                    <w:tl2br w:val="nil"/>
                    <w:tr2bl w:val="nil"/>
                  </w:tcBorders>
                  <w:noWrap w:val="0"/>
                  <w:vAlign w:val="center"/>
                </w:tcPr>
                <w:p w14:paraId="51CAAB7D">
                  <w:pPr>
                    <w:pStyle w:val="41"/>
                    <w:bidi w:val="0"/>
                    <w:jc w:val="center"/>
                    <w:rPr>
                      <w:rFonts w:hint="default"/>
                      <w:lang w:val="en-US" w:eastAsia="zh-CN"/>
                    </w:rPr>
                  </w:pPr>
                  <w:r>
                    <w:rPr>
                      <w:rFonts w:hint="default"/>
                    </w:rPr>
                    <w:t>0.0057</w:t>
                  </w:r>
                </w:p>
              </w:tc>
              <w:tc>
                <w:tcPr>
                  <w:tcW w:w="1004" w:type="dxa"/>
                  <w:tcBorders>
                    <w:tl2br w:val="nil"/>
                    <w:tr2bl w:val="nil"/>
                  </w:tcBorders>
                  <w:shd w:val="clear" w:color="auto" w:fill="auto"/>
                  <w:noWrap w:val="0"/>
                  <w:vAlign w:val="center"/>
                </w:tcPr>
                <w:p w14:paraId="6A987702">
                  <w:pPr>
                    <w:pStyle w:val="41"/>
                    <w:bidi w:val="0"/>
                    <w:jc w:val="center"/>
                    <w:rPr>
                      <w:rFonts w:hint="default"/>
                      <w:lang w:val="en-US" w:eastAsia="zh-CN"/>
                    </w:rPr>
                  </w:pPr>
                  <w:r>
                    <w:rPr>
                      <w:rFonts w:hint="eastAsia"/>
                    </w:rPr>
                    <w:t>0.7316</w:t>
                  </w:r>
                </w:p>
              </w:tc>
            </w:tr>
            <w:tr w14:paraId="0EA936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401A15C0">
                  <w:pPr>
                    <w:pStyle w:val="41"/>
                    <w:bidi w:val="0"/>
                    <w:jc w:val="center"/>
                  </w:pPr>
                </w:p>
              </w:tc>
              <w:tc>
                <w:tcPr>
                  <w:tcW w:w="2184" w:type="dxa"/>
                  <w:tcBorders>
                    <w:tl2br w:val="nil"/>
                    <w:tr2bl w:val="nil"/>
                  </w:tcBorders>
                  <w:noWrap w:val="0"/>
                  <w:vAlign w:val="center"/>
                </w:tcPr>
                <w:p w14:paraId="1279B984">
                  <w:pPr>
                    <w:pStyle w:val="41"/>
                    <w:bidi w:val="0"/>
                    <w:jc w:val="center"/>
                    <w:rPr>
                      <w:rFonts w:hint="default"/>
                      <w:lang w:val="en-US" w:eastAsia="zh-CN"/>
                    </w:rPr>
                  </w:pPr>
                  <w:r>
                    <w:rPr>
                      <w:rFonts w:hint="eastAsia"/>
                      <w:lang w:val="en-US" w:eastAsia="zh-CN"/>
                    </w:rPr>
                    <w:t>TN</w:t>
                  </w:r>
                </w:p>
              </w:tc>
              <w:tc>
                <w:tcPr>
                  <w:tcW w:w="796" w:type="dxa"/>
                  <w:tcBorders>
                    <w:tl2br w:val="nil"/>
                    <w:tr2bl w:val="nil"/>
                  </w:tcBorders>
                  <w:shd w:val="clear" w:color="auto" w:fill="auto"/>
                  <w:noWrap w:val="0"/>
                  <w:vAlign w:val="center"/>
                </w:tcPr>
                <w:p w14:paraId="229E0F3B">
                  <w:pPr>
                    <w:pStyle w:val="41"/>
                    <w:bidi w:val="0"/>
                    <w:jc w:val="center"/>
                    <w:rPr>
                      <w:rFonts w:hint="default"/>
                      <w:lang w:val="en-US" w:eastAsia="zh-CN"/>
                    </w:rPr>
                  </w:pPr>
                  <w:r>
                    <w:rPr>
                      <w:rFonts w:hint="eastAsia"/>
                    </w:rPr>
                    <w:t>0</w:t>
                  </w:r>
                  <w:r>
                    <w:rPr>
                      <w:rFonts w:hint="eastAsia"/>
                      <w:lang w:val="en-US" w:eastAsia="zh-CN"/>
                    </w:rPr>
                    <w:t>.07</w:t>
                  </w:r>
                </w:p>
              </w:tc>
              <w:tc>
                <w:tcPr>
                  <w:tcW w:w="796" w:type="dxa"/>
                  <w:tcBorders>
                    <w:tl2br w:val="nil"/>
                    <w:tr2bl w:val="nil"/>
                  </w:tcBorders>
                  <w:shd w:val="clear" w:color="auto" w:fill="auto"/>
                  <w:noWrap w:val="0"/>
                  <w:vAlign w:val="center"/>
                </w:tcPr>
                <w:p w14:paraId="3BF8FBF8">
                  <w:pPr>
                    <w:pStyle w:val="41"/>
                    <w:bidi w:val="0"/>
                    <w:jc w:val="center"/>
                    <w:rPr>
                      <w:rFonts w:hint="default"/>
                      <w:lang w:val="en-US" w:eastAsia="zh-CN"/>
                    </w:rPr>
                  </w:pPr>
                  <w:r>
                    <w:rPr>
                      <w:rFonts w:hint="eastAsia"/>
                    </w:rPr>
                    <w:t>0</w:t>
                  </w:r>
                  <w:r>
                    <w:rPr>
                      <w:rFonts w:hint="eastAsia"/>
                      <w:lang w:val="en-US" w:eastAsia="zh-CN"/>
                    </w:rPr>
                    <w:t>.07</w:t>
                  </w:r>
                </w:p>
              </w:tc>
              <w:tc>
                <w:tcPr>
                  <w:tcW w:w="796" w:type="dxa"/>
                  <w:tcBorders>
                    <w:tl2br w:val="nil"/>
                    <w:tr2bl w:val="nil"/>
                  </w:tcBorders>
                  <w:noWrap w:val="0"/>
                  <w:vAlign w:val="center"/>
                </w:tcPr>
                <w:p w14:paraId="421EB70D">
                  <w:pPr>
                    <w:pStyle w:val="41"/>
                    <w:bidi w:val="0"/>
                    <w:jc w:val="center"/>
                    <w:rPr>
                      <w:rFonts w:hint="eastAsia"/>
                      <w:lang w:val="en-US" w:eastAsia="zh-CN"/>
                    </w:rPr>
                  </w:pPr>
                  <w:r>
                    <w:rPr>
                      <w:rFonts w:hint="eastAsia"/>
                      <w:lang w:val="en-US" w:eastAsia="zh-CN"/>
                    </w:rPr>
                    <w:t>0.013</w:t>
                  </w:r>
                </w:p>
              </w:tc>
              <w:tc>
                <w:tcPr>
                  <w:tcW w:w="899" w:type="dxa"/>
                  <w:tcBorders>
                    <w:tl2br w:val="nil"/>
                    <w:tr2bl w:val="nil"/>
                  </w:tcBorders>
                  <w:noWrap w:val="0"/>
                  <w:vAlign w:val="center"/>
                </w:tcPr>
                <w:p w14:paraId="05D0C401">
                  <w:pPr>
                    <w:pStyle w:val="41"/>
                    <w:bidi w:val="0"/>
                    <w:jc w:val="center"/>
                    <w:rPr>
                      <w:rFonts w:hint="default"/>
                      <w:lang w:val="en-US" w:eastAsia="zh-CN"/>
                    </w:rPr>
                  </w:pPr>
                  <w:r>
                    <w:rPr>
                      <w:rFonts w:hint="default"/>
                    </w:rPr>
                    <w:t>0.014</w:t>
                  </w:r>
                </w:p>
              </w:tc>
              <w:tc>
                <w:tcPr>
                  <w:tcW w:w="1004" w:type="dxa"/>
                  <w:tcBorders>
                    <w:tl2br w:val="nil"/>
                    <w:tr2bl w:val="nil"/>
                  </w:tcBorders>
                  <w:shd w:val="clear" w:color="auto" w:fill="auto"/>
                  <w:noWrap w:val="0"/>
                  <w:vAlign w:val="center"/>
                </w:tcPr>
                <w:p w14:paraId="3C69513B">
                  <w:pPr>
                    <w:pStyle w:val="41"/>
                    <w:bidi w:val="0"/>
                    <w:jc w:val="center"/>
                    <w:rPr>
                      <w:rFonts w:hint="default"/>
                      <w:lang w:val="en-US" w:eastAsia="zh-CN"/>
                    </w:rPr>
                  </w:pPr>
                  <w:r>
                    <w:rPr>
                      <w:rFonts w:hint="eastAsia"/>
                    </w:rPr>
                    <w:t>0.167</w:t>
                  </w:r>
                </w:p>
              </w:tc>
            </w:tr>
            <w:tr w14:paraId="5DEB78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41660862">
                  <w:pPr>
                    <w:pStyle w:val="41"/>
                    <w:bidi w:val="0"/>
                    <w:jc w:val="center"/>
                  </w:pPr>
                </w:p>
              </w:tc>
              <w:tc>
                <w:tcPr>
                  <w:tcW w:w="2184" w:type="dxa"/>
                  <w:tcBorders>
                    <w:tl2br w:val="nil"/>
                    <w:tr2bl w:val="nil"/>
                  </w:tcBorders>
                  <w:noWrap w:val="0"/>
                  <w:vAlign w:val="center"/>
                </w:tcPr>
                <w:p w14:paraId="20B6F1AE">
                  <w:pPr>
                    <w:pStyle w:val="41"/>
                    <w:bidi w:val="0"/>
                    <w:jc w:val="center"/>
                    <w:rPr>
                      <w:lang w:val="en-US" w:eastAsia="zh-CN"/>
                    </w:rPr>
                  </w:pPr>
                  <w:r>
                    <w:t>TP</w:t>
                  </w:r>
                </w:p>
              </w:tc>
              <w:tc>
                <w:tcPr>
                  <w:tcW w:w="796" w:type="dxa"/>
                  <w:tcBorders>
                    <w:tl2br w:val="nil"/>
                    <w:tr2bl w:val="nil"/>
                  </w:tcBorders>
                  <w:shd w:val="clear" w:color="auto" w:fill="auto"/>
                  <w:noWrap w:val="0"/>
                  <w:vAlign w:val="center"/>
                </w:tcPr>
                <w:p w14:paraId="3896F047">
                  <w:pPr>
                    <w:pStyle w:val="41"/>
                    <w:bidi w:val="0"/>
                    <w:jc w:val="center"/>
                    <w:rPr>
                      <w:rFonts w:hint="eastAsia"/>
                      <w:lang w:val="en-US" w:eastAsia="zh-CN"/>
                    </w:rPr>
                  </w:pPr>
                  <w:r>
                    <w:rPr>
                      <w:rFonts w:hint="eastAsia"/>
                    </w:rPr>
                    <w:t>0.06</w:t>
                  </w:r>
                </w:p>
              </w:tc>
              <w:tc>
                <w:tcPr>
                  <w:tcW w:w="796" w:type="dxa"/>
                  <w:tcBorders>
                    <w:tl2br w:val="nil"/>
                    <w:tr2bl w:val="nil"/>
                  </w:tcBorders>
                  <w:shd w:val="clear" w:color="auto" w:fill="auto"/>
                  <w:noWrap w:val="0"/>
                  <w:vAlign w:val="center"/>
                </w:tcPr>
                <w:p w14:paraId="0D4B4169">
                  <w:pPr>
                    <w:pStyle w:val="41"/>
                    <w:bidi w:val="0"/>
                    <w:jc w:val="center"/>
                    <w:rPr>
                      <w:rFonts w:hint="eastAsia"/>
                      <w:lang w:val="en-US" w:eastAsia="zh-CN"/>
                    </w:rPr>
                  </w:pPr>
                  <w:r>
                    <w:rPr>
                      <w:rFonts w:hint="eastAsia"/>
                    </w:rPr>
                    <w:t>0.06</w:t>
                  </w:r>
                </w:p>
              </w:tc>
              <w:tc>
                <w:tcPr>
                  <w:tcW w:w="796" w:type="dxa"/>
                  <w:tcBorders>
                    <w:tl2br w:val="nil"/>
                    <w:tr2bl w:val="nil"/>
                  </w:tcBorders>
                  <w:noWrap w:val="0"/>
                  <w:vAlign w:val="center"/>
                </w:tcPr>
                <w:p w14:paraId="0C3EAA6C">
                  <w:pPr>
                    <w:pStyle w:val="41"/>
                    <w:bidi w:val="0"/>
                    <w:jc w:val="center"/>
                    <w:rPr>
                      <w:rFonts w:hint="eastAsia"/>
                      <w:lang w:val="en-US" w:eastAsia="zh-CN"/>
                    </w:rPr>
                  </w:pPr>
                  <w:r>
                    <w:rPr>
                      <w:rFonts w:hint="eastAsia"/>
                      <w:lang w:val="en-US" w:eastAsia="zh-CN"/>
                    </w:rPr>
                    <w:t>0.0024</w:t>
                  </w:r>
                </w:p>
              </w:tc>
              <w:tc>
                <w:tcPr>
                  <w:tcW w:w="899" w:type="dxa"/>
                  <w:tcBorders>
                    <w:tl2br w:val="nil"/>
                    <w:tr2bl w:val="nil"/>
                  </w:tcBorders>
                  <w:noWrap w:val="0"/>
                  <w:vAlign w:val="center"/>
                </w:tcPr>
                <w:p w14:paraId="0E1A1F19">
                  <w:pPr>
                    <w:pStyle w:val="41"/>
                    <w:bidi w:val="0"/>
                    <w:jc w:val="center"/>
                    <w:rPr>
                      <w:rFonts w:hint="default"/>
                      <w:lang w:val="en-US" w:eastAsia="zh-CN"/>
                    </w:rPr>
                  </w:pPr>
                  <w:r>
                    <w:rPr>
                      <w:rFonts w:hint="default"/>
                    </w:rPr>
                    <w:t>0.00037</w:t>
                  </w:r>
                </w:p>
              </w:tc>
              <w:tc>
                <w:tcPr>
                  <w:tcW w:w="1004" w:type="dxa"/>
                  <w:tcBorders>
                    <w:tl2br w:val="nil"/>
                    <w:tr2bl w:val="nil"/>
                  </w:tcBorders>
                  <w:shd w:val="clear" w:color="auto" w:fill="auto"/>
                  <w:noWrap w:val="0"/>
                  <w:vAlign w:val="center"/>
                </w:tcPr>
                <w:p w14:paraId="033D1074">
                  <w:pPr>
                    <w:pStyle w:val="41"/>
                    <w:bidi w:val="0"/>
                    <w:jc w:val="center"/>
                    <w:rPr>
                      <w:rFonts w:hint="default"/>
                      <w:lang w:val="en-US" w:eastAsia="zh-CN"/>
                    </w:rPr>
                  </w:pPr>
                  <w:r>
                    <w:rPr>
                      <w:rFonts w:hint="eastAsia"/>
                    </w:rPr>
                    <w:t>0.12277</w:t>
                  </w:r>
                </w:p>
              </w:tc>
            </w:tr>
            <w:tr w14:paraId="2B2E71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restart"/>
                  <w:tcBorders>
                    <w:tl2br w:val="nil"/>
                    <w:tr2bl w:val="nil"/>
                  </w:tcBorders>
                  <w:noWrap w:val="0"/>
                  <w:vAlign w:val="center"/>
                </w:tcPr>
                <w:p w14:paraId="04FEF23A">
                  <w:pPr>
                    <w:pStyle w:val="41"/>
                    <w:bidi w:val="0"/>
                    <w:jc w:val="center"/>
                    <w:rPr>
                      <w:rFonts w:hint="eastAsia"/>
                      <w:lang w:eastAsia="zh-CN"/>
                    </w:rPr>
                  </w:pPr>
                  <w:r>
                    <w:rPr>
                      <w:rFonts w:hint="eastAsia"/>
                      <w:lang w:eastAsia="zh-CN"/>
                    </w:rPr>
                    <w:t>有组织废气</w:t>
                  </w:r>
                </w:p>
              </w:tc>
              <w:tc>
                <w:tcPr>
                  <w:tcW w:w="2184" w:type="dxa"/>
                  <w:tcBorders>
                    <w:tl2br w:val="nil"/>
                    <w:tr2bl w:val="nil"/>
                  </w:tcBorders>
                  <w:noWrap w:val="0"/>
                  <w:vAlign w:val="center"/>
                </w:tcPr>
                <w:p w14:paraId="52F87F1B">
                  <w:pPr>
                    <w:pStyle w:val="41"/>
                    <w:bidi w:val="0"/>
                    <w:jc w:val="center"/>
                    <w:rPr>
                      <w:rFonts w:hint="default"/>
                      <w:lang w:val="en-US" w:eastAsia="zh-CN"/>
                    </w:rPr>
                  </w:pPr>
                  <w:r>
                    <w:rPr>
                      <w:rFonts w:hint="eastAsia"/>
                      <w:lang w:val="en-US" w:eastAsia="zh-CN"/>
                    </w:rPr>
                    <w:t>NMHC</w:t>
                  </w:r>
                </w:p>
              </w:tc>
              <w:tc>
                <w:tcPr>
                  <w:tcW w:w="796" w:type="dxa"/>
                  <w:tcBorders>
                    <w:tl2br w:val="nil"/>
                    <w:tr2bl w:val="nil"/>
                  </w:tcBorders>
                  <w:shd w:val="clear" w:color="auto" w:fill="auto"/>
                  <w:noWrap w:val="0"/>
                  <w:vAlign w:val="center"/>
                </w:tcPr>
                <w:p w14:paraId="45856D89">
                  <w:pPr>
                    <w:pStyle w:val="41"/>
                    <w:bidi w:val="0"/>
                    <w:jc w:val="center"/>
                    <w:rPr>
                      <w:rFonts w:hint="default"/>
                      <w:lang w:val="en-US" w:eastAsia="zh-CN"/>
                    </w:rPr>
                  </w:pPr>
                  <w:r>
                    <w:rPr>
                      <w:rFonts w:hint="eastAsia"/>
                    </w:rPr>
                    <w:t>0.1415</w:t>
                  </w:r>
                </w:p>
              </w:tc>
              <w:tc>
                <w:tcPr>
                  <w:tcW w:w="796" w:type="dxa"/>
                  <w:tcBorders>
                    <w:tl2br w:val="nil"/>
                    <w:tr2bl w:val="nil"/>
                  </w:tcBorders>
                  <w:shd w:val="clear" w:color="auto" w:fill="auto"/>
                  <w:noWrap w:val="0"/>
                  <w:vAlign w:val="center"/>
                </w:tcPr>
                <w:p w14:paraId="2FBABDD4">
                  <w:pPr>
                    <w:pStyle w:val="41"/>
                    <w:bidi w:val="0"/>
                    <w:jc w:val="center"/>
                    <w:rPr>
                      <w:rFonts w:hint="default"/>
                      <w:lang w:val="en-US" w:eastAsia="zh-CN"/>
                    </w:rPr>
                  </w:pPr>
                  <w:r>
                    <w:rPr>
                      <w:rFonts w:hint="eastAsia"/>
                    </w:rPr>
                    <w:t>0.1415</w:t>
                  </w:r>
                </w:p>
              </w:tc>
              <w:tc>
                <w:tcPr>
                  <w:tcW w:w="796" w:type="dxa"/>
                  <w:tcBorders>
                    <w:tl2br w:val="nil"/>
                    <w:tr2bl w:val="nil"/>
                  </w:tcBorders>
                  <w:noWrap w:val="0"/>
                  <w:vAlign w:val="center"/>
                </w:tcPr>
                <w:p w14:paraId="4F4B1A66">
                  <w:pPr>
                    <w:pStyle w:val="41"/>
                    <w:bidi w:val="0"/>
                    <w:jc w:val="center"/>
                    <w:rPr>
                      <w:rFonts w:hint="default"/>
                      <w:lang w:val="en-US" w:eastAsia="zh-CN"/>
                    </w:rPr>
                  </w:pPr>
                  <w:r>
                    <w:rPr>
                      <w:rFonts w:hint="eastAsia"/>
                      <w:lang w:val="en-US" w:eastAsia="zh-CN"/>
                    </w:rPr>
                    <w:t>0</w:t>
                  </w:r>
                </w:p>
              </w:tc>
              <w:tc>
                <w:tcPr>
                  <w:tcW w:w="899" w:type="dxa"/>
                  <w:tcBorders>
                    <w:tl2br w:val="nil"/>
                    <w:tr2bl w:val="nil"/>
                  </w:tcBorders>
                  <w:noWrap w:val="0"/>
                  <w:vAlign w:val="center"/>
                </w:tcPr>
                <w:p w14:paraId="05F80BE5">
                  <w:pPr>
                    <w:pStyle w:val="41"/>
                    <w:bidi w:val="0"/>
                    <w:jc w:val="center"/>
                    <w:rPr>
                      <w:rFonts w:hint="default"/>
                      <w:lang w:val="en-US" w:eastAsia="zh-CN"/>
                    </w:rPr>
                  </w:pPr>
                  <w:r>
                    <w:rPr>
                      <w:rFonts w:hint="eastAsia"/>
                      <w:lang w:val="en-US" w:eastAsia="zh-CN"/>
                    </w:rPr>
                    <w:t>0</w:t>
                  </w:r>
                </w:p>
              </w:tc>
              <w:tc>
                <w:tcPr>
                  <w:tcW w:w="1004" w:type="dxa"/>
                  <w:tcBorders>
                    <w:tl2br w:val="nil"/>
                    <w:tr2bl w:val="nil"/>
                  </w:tcBorders>
                  <w:shd w:val="clear" w:color="auto" w:fill="auto"/>
                  <w:noWrap w:val="0"/>
                  <w:vAlign w:val="center"/>
                </w:tcPr>
                <w:p w14:paraId="2068F09F">
                  <w:pPr>
                    <w:pStyle w:val="41"/>
                    <w:bidi w:val="0"/>
                    <w:jc w:val="center"/>
                    <w:rPr>
                      <w:rFonts w:hint="eastAsia"/>
                      <w:lang w:val="en-US" w:eastAsia="zh-CN"/>
                    </w:rPr>
                  </w:pPr>
                  <w:r>
                    <w:rPr>
                      <w:rFonts w:hint="eastAsia"/>
                    </w:rPr>
                    <w:t>0.283</w:t>
                  </w:r>
                </w:p>
              </w:tc>
            </w:tr>
            <w:tr w14:paraId="062571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69E1D7BA">
                  <w:pPr>
                    <w:pStyle w:val="41"/>
                    <w:bidi w:val="0"/>
                    <w:jc w:val="center"/>
                    <w:rPr>
                      <w:rFonts w:hint="eastAsia"/>
                      <w:lang w:eastAsia="zh-CN"/>
                    </w:rPr>
                  </w:pPr>
                </w:p>
              </w:tc>
              <w:tc>
                <w:tcPr>
                  <w:tcW w:w="2184" w:type="dxa"/>
                  <w:tcBorders>
                    <w:tl2br w:val="nil"/>
                    <w:tr2bl w:val="nil"/>
                  </w:tcBorders>
                  <w:noWrap w:val="0"/>
                  <w:vAlign w:val="center"/>
                </w:tcPr>
                <w:p w14:paraId="193F8E68">
                  <w:pPr>
                    <w:pStyle w:val="41"/>
                    <w:bidi w:val="0"/>
                    <w:jc w:val="center"/>
                    <w:rPr>
                      <w:rFonts w:hint="default"/>
                      <w:lang w:val="en-US" w:eastAsia="zh-CN"/>
                    </w:rPr>
                  </w:pPr>
                  <w:r>
                    <w:rPr>
                      <w:rFonts w:hint="eastAsia"/>
                      <w:lang w:val="en-US" w:eastAsia="zh-CN"/>
                    </w:rPr>
                    <w:t>NH</w:t>
                  </w:r>
                  <w:r>
                    <w:rPr>
                      <w:rFonts w:hint="eastAsia"/>
                      <w:vertAlign w:val="subscript"/>
                      <w:lang w:val="en-US" w:eastAsia="zh-CN"/>
                    </w:rPr>
                    <w:t>3</w:t>
                  </w:r>
                </w:p>
              </w:tc>
              <w:tc>
                <w:tcPr>
                  <w:tcW w:w="796" w:type="dxa"/>
                  <w:tcBorders>
                    <w:tl2br w:val="nil"/>
                    <w:tr2bl w:val="nil"/>
                  </w:tcBorders>
                  <w:shd w:val="clear" w:color="auto" w:fill="auto"/>
                  <w:noWrap w:val="0"/>
                  <w:vAlign w:val="center"/>
                </w:tcPr>
                <w:p w14:paraId="21AEF246">
                  <w:pPr>
                    <w:pStyle w:val="41"/>
                    <w:bidi w:val="0"/>
                    <w:jc w:val="center"/>
                    <w:rPr>
                      <w:rFonts w:hint="eastAsia"/>
                      <w:lang w:val="en-US" w:eastAsia="zh-CN"/>
                    </w:rPr>
                  </w:pPr>
                  <w:r>
                    <w:rPr>
                      <w:rFonts w:hint="eastAsia"/>
                    </w:rPr>
                    <w:t>0.001</w:t>
                  </w:r>
                </w:p>
              </w:tc>
              <w:tc>
                <w:tcPr>
                  <w:tcW w:w="796" w:type="dxa"/>
                  <w:tcBorders>
                    <w:tl2br w:val="nil"/>
                    <w:tr2bl w:val="nil"/>
                  </w:tcBorders>
                  <w:shd w:val="clear" w:color="auto" w:fill="auto"/>
                  <w:noWrap w:val="0"/>
                  <w:vAlign w:val="center"/>
                </w:tcPr>
                <w:p w14:paraId="3A6A1927">
                  <w:pPr>
                    <w:pStyle w:val="41"/>
                    <w:bidi w:val="0"/>
                    <w:jc w:val="center"/>
                    <w:rPr>
                      <w:rFonts w:hint="eastAsia"/>
                      <w:lang w:val="en-US" w:eastAsia="zh-CN"/>
                    </w:rPr>
                  </w:pPr>
                  <w:r>
                    <w:rPr>
                      <w:rFonts w:hint="eastAsia"/>
                    </w:rPr>
                    <w:t>0.001</w:t>
                  </w:r>
                </w:p>
              </w:tc>
              <w:tc>
                <w:tcPr>
                  <w:tcW w:w="796" w:type="dxa"/>
                  <w:tcBorders>
                    <w:tl2br w:val="nil"/>
                    <w:tr2bl w:val="nil"/>
                  </w:tcBorders>
                  <w:noWrap w:val="0"/>
                  <w:vAlign w:val="center"/>
                </w:tcPr>
                <w:p w14:paraId="265D7B0B">
                  <w:pPr>
                    <w:pStyle w:val="41"/>
                    <w:bidi w:val="0"/>
                    <w:jc w:val="center"/>
                    <w:rPr>
                      <w:rFonts w:hint="eastAsia"/>
                      <w:lang w:val="en-US" w:eastAsia="zh-CN"/>
                    </w:rPr>
                  </w:pPr>
                  <w:r>
                    <w:rPr>
                      <w:rFonts w:hint="eastAsia"/>
                      <w:lang w:val="en-US" w:eastAsia="zh-CN"/>
                    </w:rPr>
                    <w:t>0</w:t>
                  </w:r>
                </w:p>
              </w:tc>
              <w:tc>
                <w:tcPr>
                  <w:tcW w:w="899" w:type="dxa"/>
                  <w:tcBorders>
                    <w:tl2br w:val="nil"/>
                    <w:tr2bl w:val="nil"/>
                  </w:tcBorders>
                  <w:noWrap w:val="0"/>
                  <w:vAlign w:val="center"/>
                </w:tcPr>
                <w:p w14:paraId="30474682">
                  <w:pPr>
                    <w:pStyle w:val="41"/>
                    <w:bidi w:val="0"/>
                    <w:jc w:val="center"/>
                    <w:rPr>
                      <w:rFonts w:hint="eastAsia"/>
                      <w:lang w:val="en-US" w:eastAsia="zh-CN"/>
                    </w:rPr>
                  </w:pPr>
                  <w:r>
                    <w:rPr>
                      <w:rFonts w:hint="eastAsia"/>
                      <w:lang w:val="en-US" w:eastAsia="zh-CN"/>
                    </w:rPr>
                    <w:t>0</w:t>
                  </w:r>
                </w:p>
              </w:tc>
              <w:tc>
                <w:tcPr>
                  <w:tcW w:w="1004" w:type="dxa"/>
                  <w:tcBorders>
                    <w:tl2br w:val="nil"/>
                    <w:tr2bl w:val="nil"/>
                  </w:tcBorders>
                  <w:shd w:val="clear" w:color="auto" w:fill="auto"/>
                  <w:noWrap w:val="0"/>
                  <w:vAlign w:val="center"/>
                </w:tcPr>
                <w:p w14:paraId="0B7F15B0">
                  <w:pPr>
                    <w:pStyle w:val="41"/>
                    <w:bidi w:val="0"/>
                    <w:jc w:val="center"/>
                    <w:rPr>
                      <w:rFonts w:hint="eastAsia"/>
                      <w:lang w:val="en-US" w:eastAsia="zh-CN"/>
                    </w:rPr>
                  </w:pPr>
                  <w:r>
                    <w:rPr>
                      <w:rFonts w:hint="eastAsia"/>
                    </w:rPr>
                    <w:t>0.002</w:t>
                  </w:r>
                </w:p>
              </w:tc>
            </w:tr>
            <w:tr w14:paraId="5A80F3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307E8813">
                  <w:pPr>
                    <w:pStyle w:val="41"/>
                    <w:bidi w:val="0"/>
                    <w:jc w:val="center"/>
                    <w:rPr>
                      <w:rFonts w:hint="eastAsia"/>
                      <w:lang w:eastAsia="zh-CN"/>
                    </w:rPr>
                  </w:pPr>
                </w:p>
              </w:tc>
              <w:tc>
                <w:tcPr>
                  <w:tcW w:w="2184" w:type="dxa"/>
                  <w:tcBorders>
                    <w:tl2br w:val="nil"/>
                    <w:tr2bl w:val="nil"/>
                  </w:tcBorders>
                  <w:noWrap w:val="0"/>
                  <w:vAlign w:val="center"/>
                </w:tcPr>
                <w:p w14:paraId="145AD679">
                  <w:pPr>
                    <w:pStyle w:val="41"/>
                    <w:bidi w:val="0"/>
                    <w:jc w:val="center"/>
                    <w:rPr>
                      <w:rFonts w:hint="eastAsia"/>
                      <w:lang w:val="en-US" w:eastAsia="zh-CN"/>
                    </w:rPr>
                  </w:pPr>
                  <w:r>
                    <w:rPr>
                      <w:rFonts w:hint="eastAsia"/>
                      <w:lang w:val="en-US" w:eastAsia="zh-CN"/>
                    </w:rPr>
                    <w:t>SO</w:t>
                  </w:r>
                  <w:r>
                    <w:rPr>
                      <w:rFonts w:hint="eastAsia"/>
                      <w:vertAlign w:val="subscript"/>
                      <w:lang w:val="en-US" w:eastAsia="zh-CN"/>
                    </w:rPr>
                    <w:t>2</w:t>
                  </w:r>
                </w:p>
              </w:tc>
              <w:tc>
                <w:tcPr>
                  <w:tcW w:w="796" w:type="dxa"/>
                  <w:tcBorders>
                    <w:tl2br w:val="nil"/>
                    <w:tr2bl w:val="nil"/>
                  </w:tcBorders>
                  <w:shd w:val="clear" w:color="auto" w:fill="auto"/>
                  <w:noWrap w:val="0"/>
                  <w:vAlign w:val="center"/>
                </w:tcPr>
                <w:p w14:paraId="5BB704C0">
                  <w:pPr>
                    <w:pStyle w:val="41"/>
                    <w:bidi w:val="0"/>
                    <w:jc w:val="center"/>
                    <w:rPr>
                      <w:rFonts w:hint="eastAsia"/>
                      <w:lang w:val="en-US" w:eastAsia="zh-CN"/>
                    </w:rPr>
                  </w:pPr>
                  <w:r>
                    <w:rPr>
                      <w:rFonts w:hint="eastAsia"/>
                    </w:rPr>
                    <w:t>0.02</w:t>
                  </w:r>
                </w:p>
              </w:tc>
              <w:tc>
                <w:tcPr>
                  <w:tcW w:w="796" w:type="dxa"/>
                  <w:tcBorders>
                    <w:tl2br w:val="nil"/>
                    <w:tr2bl w:val="nil"/>
                  </w:tcBorders>
                  <w:shd w:val="clear" w:color="auto" w:fill="auto"/>
                  <w:noWrap w:val="0"/>
                  <w:vAlign w:val="center"/>
                </w:tcPr>
                <w:p w14:paraId="42D47F58">
                  <w:pPr>
                    <w:pStyle w:val="41"/>
                    <w:bidi w:val="0"/>
                    <w:jc w:val="center"/>
                    <w:rPr>
                      <w:rFonts w:hint="eastAsia"/>
                      <w:lang w:val="en-US" w:eastAsia="zh-CN"/>
                    </w:rPr>
                  </w:pPr>
                  <w:r>
                    <w:rPr>
                      <w:rFonts w:hint="eastAsia"/>
                    </w:rPr>
                    <w:t>0.02</w:t>
                  </w:r>
                </w:p>
              </w:tc>
              <w:tc>
                <w:tcPr>
                  <w:tcW w:w="796" w:type="dxa"/>
                  <w:tcBorders>
                    <w:tl2br w:val="nil"/>
                    <w:tr2bl w:val="nil"/>
                  </w:tcBorders>
                  <w:noWrap w:val="0"/>
                  <w:vAlign w:val="center"/>
                </w:tcPr>
                <w:p w14:paraId="7DF870F1">
                  <w:pPr>
                    <w:pStyle w:val="41"/>
                    <w:bidi w:val="0"/>
                    <w:jc w:val="center"/>
                    <w:rPr>
                      <w:rFonts w:hint="eastAsia"/>
                      <w:lang w:val="en-US" w:eastAsia="zh-CN"/>
                    </w:rPr>
                  </w:pPr>
                  <w:r>
                    <w:rPr>
                      <w:rFonts w:hint="eastAsia"/>
                      <w:lang w:val="en-US" w:eastAsia="zh-CN"/>
                    </w:rPr>
                    <w:t>0</w:t>
                  </w:r>
                </w:p>
              </w:tc>
              <w:tc>
                <w:tcPr>
                  <w:tcW w:w="899" w:type="dxa"/>
                  <w:tcBorders>
                    <w:tl2br w:val="nil"/>
                    <w:tr2bl w:val="nil"/>
                  </w:tcBorders>
                  <w:noWrap w:val="0"/>
                  <w:vAlign w:val="center"/>
                </w:tcPr>
                <w:p w14:paraId="52DCDE6A">
                  <w:pPr>
                    <w:pStyle w:val="41"/>
                    <w:bidi w:val="0"/>
                    <w:jc w:val="center"/>
                    <w:rPr>
                      <w:rFonts w:hint="eastAsia"/>
                      <w:lang w:val="en-US" w:eastAsia="zh-CN"/>
                    </w:rPr>
                  </w:pPr>
                  <w:r>
                    <w:rPr>
                      <w:rFonts w:hint="eastAsia"/>
                      <w:lang w:val="en-US" w:eastAsia="zh-CN"/>
                    </w:rPr>
                    <w:t>0</w:t>
                  </w:r>
                </w:p>
              </w:tc>
              <w:tc>
                <w:tcPr>
                  <w:tcW w:w="1004" w:type="dxa"/>
                  <w:tcBorders>
                    <w:tl2br w:val="nil"/>
                    <w:tr2bl w:val="nil"/>
                  </w:tcBorders>
                  <w:shd w:val="clear" w:color="auto" w:fill="auto"/>
                  <w:noWrap w:val="0"/>
                  <w:vAlign w:val="center"/>
                </w:tcPr>
                <w:p w14:paraId="7FD8A071">
                  <w:pPr>
                    <w:pStyle w:val="41"/>
                    <w:bidi w:val="0"/>
                    <w:jc w:val="center"/>
                    <w:rPr>
                      <w:rFonts w:hint="eastAsia"/>
                      <w:lang w:val="en-US" w:eastAsia="zh-CN"/>
                    </w:rPr>
                  </w:pPr>
                  <w:r>
                    <w:rPr>
                      <w:rFonts w:hint="eastAsia"/>
                    </w:rPr>
                    <w:t>0.04</w:t>
                  </w:r>
                </w:p>
              </w:tc>
            </w:tr>
            <w:tr w14:paraId="4EF3DD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0C2E6773">
                  <w:pPr>
                    <w:pStyle w:val="41"/>
                    <w:bidi w:val="0"/>
                    <w:jc w:val="center"/>
                    <w:rPr>
                      <w:rFonts w:hint="eastAsia"/>
                      <w:lang w:eastAsia="zh-CN"/>
                    </w:rPr>
                  </w:pPr>
                </w:p>
              </w:tc>
              <w:tc>
                <w:tcPr>
                  <w:tcW w:w="2184" w:type="dxa"/>
                  <w:tcBorders>
                    <w:tl2br w:val="nil"/>
                    <w:tr2bl w:val="nil"/>
                  </w:tcBorders>
                  <w:noWrap w:val="0"/>
                  <w:vAlign w:val="center"/>
                </w:tcPr>
                <w:p w14:paraId="7FDEDD99">
                  <w:pPr>
                    <w:pStyle w:val="41"/>
                    <w:bidi w:val="0"/>
                    <w:jc w:val="center"/>
                    <w:rPr>
                      <w:rFonts w:hint="eastAsia"/>
                      <w:lang w:val="en-US" w:eastAsia="zh-CN"/>
                    </w:rPr>
                  </w:pPr>
                  <w:r>
                    <w:rPr>
                      <w:rFonts w:hint="eastAsia"/>
                      <w:lang w:val="en-US" w:eastAsia="zh-CN"/>
                    </w:rPr>
                    <w:t>NO</w:t>
                  </w:r>
                  <w:r>
                    <w:rPr>
                      <w:rFonts w:hint="eastAsia"/>
                      <w:vertAlign w:val="subscript"/>
                      <w:lang w:val="en-US" w:eastAsia="zh-CN"/>
                    </w:rPr>
                    <w:t>X</w:t>
                  </w:r>
                </w:p>
              </w:tc>
              <w:tc>
                <w:tcPr>
                  <w:tcW w:w="796" w:type="dxa"/>
                  <w:tcBorders>
                    <w:tl2br w:val="nil"/>
                    <w:tr2bl w:val="nil"/>
                  </w:tcBorders>
                  <w:shd w:val="clear" w:color="auto" w:fill="auto"/>
                  <w:noWrap w:val="0"/>
                  <w:vAlign w:val="center"/>
                </w:tcPr>
                <w:p w14:paraId="6A439456">
                  <w:pPr>
                    <w:pStyle w:val="41"/>
                    <w:bidi w:val="0"/>
                    <w:jc w:val="center"/>
                    <w:rPr>
                      <w:rFonts w:hint="default"/>
                      <w:lang w:val="en-US" w:eastAsia="zh-CN"/>
                    </w:rPr>
                  </w:pPr>
                  <w:r>
                    <w:rPr>
                      <w:rFonts w:hint="eastAsia"/>
                    </w:rPr>
                    <w:t>0.38</w:t>
                  </w:r>
                </w:p>
              </w:tc>
              <w:tc>
                <w:tcPr>
                  <w:tcW w:w="796" w:type="dxa"/>
                  <w:tcBorders>
                    <w:tl2br w:val="nil"/>
                    <w:tr2bl w:val="nil"/>
                  </w:tcBorders>
                  <w:shd w:val="clear" w:color="auto" w:fill="auto"/>
                  <w:noWrap w:val="0"/>
                  <w:vAlign w:val="center"/>
                </w:tcPr>
                <w:p w14:paraId="015D7FE8">
                  <w:pPr>
                    <w:pStyle w:val="41"/>
                    <w:bidi w:val="0"/>
                    <w:jc w:val="center"/>
                    <w:rPr>
                      <w:rFonts w:hint="eastAsia"/>
                      <w:lang w:val="en-US" w:eastAsia="zh-CN"/>
                    </w:rPr>
                  </w:pPr>
                  <w:r>
                    <w:rPr>
                      <w:rFonts w:hint="eastAsia"/>
                    </w:rPr>
                    <w:t>0.38</w:t>
                  </w:r>
                </w:p>
              </w:tc>
              <w:tc>
                <w:tcPr>
                  <w:tcW w:w="796" w:type="dxa"/>
                  <w:tcBorders>
                    <w:tl2br w:val="nil"/>
                    <w:tr2bl w:val="nil"/>
                  </w:tcBorders>
                  <w:noWrap w:val="0"/>
                  <w:vAlign w:val="center"/>
                </w:tcPr>
                <w:p w14:paraId="3C5090BB">
                  <w:pPr>
                    <w:pStyle w:val="41"/>
                    <w:bidi w:val="0"/>
                    <w:jc w:val="center"/>
                    <w:rPr>
                      <w:rFonts w:hint="eastAsia"/>
                      <w:lang w:val="en-US" w:eastAsia="zh-CN"/>
                    </w:rPr>
                  </w:pPr>
                  <w:r>
                    <w:rPr>
                      <w:rFonts w:hint="eastAsia"/>
                      <w:lang w:val="en-US" w:eastAsia="zh-CN"/>
                    </w:rPr>
                    <w:t>0</w:t>
                  </w:r>
                </w:p>
              </w:tc>
              <w:tc>
                <w:tcPr>
                  <w:tcW w:w="899" w:type="dxa"/>
                  <w:tcBorders>
                    <w:tl2br w:val="nil"/>
                    <w:tr2bl w:val="nil"/>
                  </w:tcBorders>
                  <w:noWrap w:val="0"/>
                  <w:vAlign w:val="center"/>
                </w:tcPr>
                <w:p w14:paraId="2ACC2A25">
                  <w:pPr>
                    <w:pStyle w:val="41"/>
                    <w:bidi w:val="0"/>
                    <w:jc w:val="center"/>
                    <w:rPr>
                      <w:rFonts w:hint="eastAsia"/>
                      <w:lang w:val="en-US" w:eastAsia="zh-CN"/>
                    </w:rPr>
                  </w:pPr>
                  <w:r>
                    <w:rPr>
                      <w:rFonts w:hint="eastAsia"/>
                      <w:lang w:val="en-US" w:eastAsia="zh-CN"/>
                    </w:rPr>
                    <w:t>0</w:t>
                  </w:r>
                </w:p>
              </w:tc>
              <w:tc>
                <w:tcPr>
                  <w:tcW w:w="1004" w:type="dxa"/>
                  <w:tcBorders>
                    <w:tl2br w:val="nil"/>
                    <w:tr2bl w:val="nil"/>
                  </w:tcBorders>
                  <w:shd w:val="clear" w:color="auto" w:fill="auto"/>
                  <w:noWrap w:val="0"/>
                  <w:vAlign w:val="center"/>
                </w:tcPr>
                <w:p w14:paraId="2F068907">
                  <w:pPr>
                    <w:pStyle w:val="41"/>
                    <w:bidi w:val="0"/>
                    <w:jc w:val="center"/>
                    <w:rPr>
                      <w:rFonts w:hint="eastAsia"/>
                      <w:lang w:val="en-US" w:eastAsia="zh-CN"/>
                    </w:rPr>
                  </w:pPr>
                  <w:r>
                    <w:rPr>
                      <w:rFonts w:hint="eastAsia"/>
                    </w:rPr>
                    <w:t>0.76</w:t>
                  </w:r>
                </w:p>
              </w:tc>
            </w:tr>
            <w:tr w14:paraId="1E77B8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5B740FAE">
                  <w:pPr>
                    <w:pStyle w:val="41"/>
                    <w:bidi w:val="0"/>
                    <w:jc w:val="center"/>
                    <w:rPr>
                      <w:rFonts w:hint="eastAsia"/>
                      <w:lang w:eastAsia="zh-CN"/>
                    </w:rPr>
                  </w:pPr>
                </w:p>
              </w:tc>
              <w:tc>
                <w:tcPr>
                  <w:tcW w:w="2184" w:type="dxa"/>
                  <w:tcBorders>
                    <w:tl2br w:val="nil"/>
                    <w:tr2bl w:val="nil"/>
                  </w:tcBorders>
                  <w:noWrap w:val="0"/>
                  <w:vAlign w:val="center"/>
                </w:tcPr>
                <w:p w14:paraId="02AC2CE9">
                  <w:pPr>
                    <w:pStyle w:val="41"/>
                    <w:bidi w:val="0"/>
                    <w:jc w:val="center"/>
                    <w:rPr>
                      <w:rFonts w:hint="eastAsia"/>
                      <w:lang w:val="en-US" w:eastAsia="zh-CN"/>
                    </w:rPr>
                  </w:pPr>
                  <w:r>
                    <w:rPr>
                      <w:rFonts w:hint="eastAsia"/>
                      <w:lang w:val="en-US" w:eastAsia="zh-CN"/>
                    </w:rPr>
                    <w:t>颗粒物</w:t>
                  </w:r>
                </w:p>
              </w:tc>
              <w:tc>
                <w:tcPr>
                  <w:tcW w:w="796" w:type="dxa"/>
                  <w:tcBorders>
                    <w:tl2br w:val="nil"/>
                    <w:tr2bl w:val="nil"/>
                  </w:tcBorders>
                  <w:shd w:val="clear" w:color="auto" w:fill="auto"/>
                  <w:noWrap w:val="0"/>
                  <w:vAlign w:val="center"/>
                </w:tcPr>
                <w:p w14:paraId="18FC5472">
                  <w:pPr>
                    <w:pStyle w:val="41"/>
                    <w:bidi w:val="0"/>
                    <w:jc w:val="center"/>
                    <w:rPr>
                      <w:rFonts w:hint="eastAsia"/>
                      <w:lang w:val="en-US" w:eastAsia="zh-CN"/>
                    </w:rPr>
                  </w:pPr>
                  <w:r>
                    <w:rPr>
                      <w:rFonts w:hint="eastAsia"/>
                    </w:rPr>
                    <w:t>0.049</w:t>
                  </w:r>
                </w:p>
              </w:tc>
              <w:tc>
                <w:tcPr>
                  <w:tcW w:w="796" w:type="dxa"/>
                  <w:tcBorders>
                    <w:tl2br w:val="nil"/>
                    <w:tr2bl w:val="nil"/>
                  </w:tcBorders>
                  <w:shd w:val="clear" w:color="auto" w:fill="auto"/>
                  <w:noWrap w:val="0"/>
                  <w:vAlign w:val="center"/>
                </w:tcPr>
                <w:p w14:paraId="787A93C6">
                  <w:pPr>
                    <w:pStyle w:val="41"/>
                    <w:bidi w:val="0"/>
                    <w:jc w:val="center"/>
                    <w:rPr>
                      <w:rFonts w:hint="eastAsia"/>
                      <w:lang w:val="en-US" w:eastAsia="zh-CN"/>
                    </w:rPr>
                  </w:pPr>
                  <w:r>
                    <w:rPr>
                      <w:rFonts w:hint="eastAsia"/>
                    </w:rPr>
                    <w:t>0.049</w:t>
                  </w:r>
                </w:p>
              </w:tc>
              <w:tc>
                <w:tcPr>
                  <w:tcW w:w="796" w:type="dxa"/>
                  <w:tcBorders>
                    <w:tl2br w:val="nil"/>
                    <w:tr2bl w:val="nil"/>
                  </w:tcBorders>
                  <w:noWrap w:val="0"/>
                  <w:vAlign w:val="center"/>
                </w:tcPr>
                <w:p w14:paraId="20835DDB">
                  <w:pPr>
                    <w:pStyle w:val="41"/>
                    <w:bidi w:val="0"/>
                    <w:jc w:val="center"/>
                    <w:rPr>
                      <w:rFonts w:hint="eastAsia"/>
                      <w:lang w:val="en-US" w:eastAsia="zh-CN"/>
                    </w:rPr>
                  </w:pPr>
                  <w:r>
                    <w:rPr>
                      <w:rFonts w:hint="eastAsia"/>
                      <w:lang w:val="en-US" w:eastAsia="zh-CN"/>
                    </w:rPr>
                    <w:t>0</w:t>
                  </w:r>
                </w:p>
              </w:tc>
              <w:tc>
                <w:tcPr>
                  <w:tcW w:w="899" w:type="dxa"/>
                  <w:tcBorders>
                    <w:tl2br w:val="nil"/>
                    <w:tr2bl w:val="nil"/>
                  </w:tcBorders>
                  <w:noWrap w:val="0"/>
                  <w:vAlign w:val="center"/>
                </w:tcPr>
                <w:p w14:paraId="1895BD92">
                  <w:pPr>
                    <w:pStyle w:val="41"/>
                    <w:bidi w:val="0"/>
                    <w:jc w:val="center"/>
                    <w:rPr>
                      <w:rFonts w:hint="eastAsia"/>
                      <w:lang w:val="en-US" w:eastAsia="zh-CN"/>
                    </w:rPr>
                  </w:pPr>
                  <w:r>
                    <w:rPr>
                      <w:rFonts w:hint="eastAsia"/>
                      <w:lang w:val="en-US" w:eastAsia="zh-CN"/>
                    </w:rPr>
                    <w:t>0</w:t>
                  </w:r>
                </w:p>
              </w:tc>
              <w:tc>
                <w:tcPr>
                  <w:tcW w:w="1004" w:type="dxa"/>
                  <w:tcBorders>
                    <w:tl2br w:val="nil"/>
                    <w:tr2bl w:val="nil"/>
                  </w:tcBorders>
                  <w:shd w:val="clear" w:color="auto" w:fill="auto"/>
                  <w:noWrap w:val="0"/>
                  <w:vAlign w:val="center"/>
                </w:tcPr>
                <w:p w14:paraId="4D0F993B">
                  <w:pPr>
                    <w:pStyle w:val="41"/>
                    <w:bidi w:val="0"/>
                    <w:jc w:val="center"/>
                    <w:rPr>
                      <w:rFonts w:hint="eastAsia"/>
                      <w:lang w:val="en-US" w:eastAsia="zh-CN"/>
                    </w:rPr>
                  </w:pPr>
                  <w:r>
                    <w:rPr>
                      <w:rFonts w:hint="eastAsia"/>
                    </w:rPr>
                    <w:t>0.098</w:t>
                  </w:r>
                </w:p>
              </w:tc>
            </w:tr>
            <w:tr w14:paraId="557EAD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restart"/>
                  <w:tcBorders>
                    <w:tl2br w:val="nil"/>
                    <w:tr2bl w:val="nil"/>
                  </w:tcBorders>
                  <w:noWrap w:val="0"/>
                  <w:vAlign w:val="center"/>
                </w:tcPr>
                <w:p w14:paraId="04871EF9">
                  <w:pPr>
                    <w:pStyle w:val="41"/>
                    <w:bidi w:val="0"/>
                    <w:jc w:val="center"/>
                    <w:rPr>
                      <w:rFonts w:hint="eastAsia"/>
                      <w:lang w:eastAsia="zh-CN"/>
                    </w:rPr>
                  </w:pPr>
                  <w:r>
                    <w:rPr>
                      <w:rFonts w:hint="eastAsia"/>
                      <w:lang w:eastAsia="zh-CN"/>
                    </w:rPr>
                    <w:t>无组织废气</w:t>
                  </w:r>
                </w:p>
              </w:tc>
              <w:tc>
                <w:tcPr>
                  <w:tcW w:w="2184" w:type="dxa"/>
                  <w:tcBorders>
                    <w:tl2br w:val="nil"/>
                    <w:tr2bl w:val="nil"/>
                  </w:tcBorders>
                  <w:noWrap w:val="0"/>
                  <w:vAlign w:val="center"/>
                </w:tcPr>
                <w:p w14:paraId="6630A220">
                  <w:pPr>
                    <w:pStyle w:val="41"/>
                    <w:bidi w:val="0"/>
                    <w:jc w:val="center"/>
                    <w:rPr>
                      <w:rFonts w:hint="eastAsia"/>
                      <w:lang w:val="en-US" w:eastAsia="zh-CN"/>
                    </w:rPr>
                  </w:pPr>
                  <w:r>
                    <w:rPr>
                      <w:rFonts w:hint="eastAsia"/>
                      <w:lang w:val="en-US" w:eastAsia="zh-CN"/>
                    </w:rPr>
                    <w:t>NMHC</w:t>
                  </w:r>
                </w:p>
              </w:tc>
              <w:tc>
                <w:tcPr>
                  <w:tcW w:w="796" w:type="dxa"/>
                  <w:tcBorders>
                    <w:tl2br w:val="nil"/>
                    <w:tr2bl w:val="nil"/>
                  </w:tcBorders>
                  <w:shd w:val="clear" w:color="auto" w:fill="auto"/>
                  <w:noWrap w:val="0"/>
                  <w:vAlign w:val="center"/>
                </w:tcPr>
                <w:p w14:paraId="20890042">
                  <w:pPr>
                    <w:pStyle w:val="41"/>
                    <w:bidi w:val="0"/>
                    <w:jc w:val="center"/>
                    <w:rPr>
                      <w:rFonts w:hint="default"/>
                      <w:lang w:val="en-US" w:eastAsia="zh-CN"/>
                    </w:rPr>
                  </w:pPr>
                  <w:r>
                    <w:rPr>
                      <w:rFonts w:hint="eastAsia"/>
                    </w:rPr>
                    <w:t>0.075</w:t>
                  </w:r>
                </w:p>
              </w:tc>
              <w:tc>
                <w:tcPr>
                  <w:tcW w:w="796" w:type="dxa"/>
                  <w:tcBorders>
                    <w:tl2br w:val="nil"/>
                    <w:tr2bl w:val="nil"/>
                  </w:tcBorders>
                  <w:shd w:val="clear" w:color="auto" w:fill="auto"/>
                  <w:noWrap w:val="0"/>
                  <w:vAlign w:val="center"/>
                </w:tcPr>
                <w:p w14:paraId="7C0209BC">
                  <w:pPr>
                    <w:pStyle w:val="41"/>
                    <w:bidi w:val="0"/>
                    <w:jc w:val="center"/>
                    <w:rPr>
                      <w:rFonts w:hint="default"/>
                      <w:lang w:val="en-US" w:eastAsia="zh-CN"/>
                    </w:rPr>
                  </w:pPr>
                  <w:r>
                    <w:rPr>
                      <w:rFonts w:hint="eastAsia"/>
                    </w:rPr>
                    <w:t>0.075</w:t>
                  </w:r>
                </w:p>
              </w:tc>
              <w:tc>
                <w:tcPr>
                  <w:tcW w:w="796" w:type="dxa"/>
                  <w:tcBorders>
                    <w:tl2br w:val="nil"/>
                    <w:tr2bl w:val="nil"/>
                  </w:tcBorders>
                  <w:noWrap w:val="0"/>
                  <w:vAlign w:val="center"/>
                </w:tcPr>
                <w:p w14:paraId="5714342F">
                  <w:pPr>
                    <w:pStyle w:val="41"/>
                    <w:bidi w:val="0"/>
                    <w:jc w:val="center"/>
                    <w:rPr>
                      <w:rFonts w:hint="eastAsia"/>
                      <w:lang w:val="en-US" w:eastAsia="zh-CN"/>
                    </w:rPr>
                  </w:pPr>
                  <w:r>
                    <w:rPr>
                      <w:rFonts w:hint="eastAsia"/>
                      <w:lang w:val="en-US" w:eastAsia="zh-CN"/>
                    </w:rPr>
                    <w:t>0</w:t>
                  </w:r>
                </w:p>
              </w:tc>
              <w:tc>
                <w:tcPr>
                  <w:tcW w:w="899" w:type="dxa"/>
                  <w:tcBorders>
                    <w:tl2br w:val="nil"/>
                    <w:tr2bl w:val="nil"/>
                  </w:tcBorders>
                  <w:noWrap w:val="0"/>
                  <w:vAlign w:val="center"/>
                </w:tcPr>
                <w:p w14:paraId="7FB3DAAE">
                  <w:pPr>
                    <w:pStyle w:val="41"/>
                    <w:bidi w:val="0"/>
                    <w:jc w:val="center"/>
                    <w:rPr>
                      <w:rFonts w:hint="default"/>
                      <w:lang w:val="en-US" w:eastAsia="zh-CN"/>
                    </w:rPr>
                  </w:pPr>
                  <w:r>
                    <w:rPr>
                      <w:rFonts w:hint="eastAsia"/>
                      <w:lang w:val="en-US" w:eastAsia="zh-CN"/>
                    </w:rPr>
                    <w:t>0</w:t>
                  </w:r>
                </w:p>
              </w:tc>
              <w:tc>
                <w:tcPr>
                  <w:tcW w:w="1004" w:type="dxa"/>
                  <w:tcBorders>
                    <w:tl2br w:val="nil"/>
                    <w:tr2bl w:val="nil"/>
                  </w:tcBorders>
                  <w:shd w:val="clear" w:color="auto" w:fill="auto"/>
                  <w:noWrap w:val="0"/>
                  <w:vAlign w:val="center"/>
                </w:tcPr>
                <w:p w14:paraId="50703D6D">
                  <w:pPr>
                    <w:pStyle w:val="41"/>
                    <w:bidi w:val="0"/>
                    <w:jc w:val="center"/>
                    <w:rPr>
                      <w:rFonts w:hint="eastAsia"/>
                      <w:lang w:val="en-US" w:eastAsia="zh-CN"/>
                    </w:rPr>
                  </w:pPr>
                  <w:r>
                    <w:rPr>
                      <w:rFonts w:hint="eastAsia"/>
                    </w:rPr>
                    <w:t>0.15</w:t>
                  </w:r>
                </w:p>
              </w:tc>
            </w:tr>
            <w:tr w14:paraId="65961B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7031358B">
                  <w:pPr>
                    <w:pStyle w:val="41"/>
                    <w:bidi w:val="0"/>
                    <w:jc w:val="center"/>
                    <w:rPr>
                      <w:rFonts w:hint="eastAsia"/>
                      <w:lang w:eastAsia="zh-CN"/>
                    </w:rPr>
                  </w:pPr>
                </w:p>
              </w:tc>
              <w:tc>
                <w:tcPr>
                  <w:tcW w:w="2184" w:type="dxa"/>
                  <w:tcBorders>
                    <w:tl2br w:val="nil"/>
                    <w:tr2bl w:val="nil"/>
                  </w:tcBorders>
                  <w:noWrap w:val="0"/>
                  <w:vAlign w:val="center"/>
                </w:tcPr>
                <w:p w14:paraId="44573D62">
                  <w:pPr>
                    <w:pStyle w:val="41"/>
                    <w:bidi w:val="0"/>
                    <w:jc w:val="center"/>
                    <w:rPr>
                      <w:rFonts w:hint="eastAsia"/>
                      <w:lang w:val="en-US" w:eastAsia="zh-CN"/>
                    </w:rPr>
                  </w:pPr>
                  <w:r>
                    <w:rPr>
                      <w:rFonts w:hint="eastAsia"/>
                      <w:lang w:val="en-US" w:eastAsia="zh-CN"/>
                    </w:rPr>
                    <w:t>NH</w:t>
                  </w:r>
                  <w:r>
                    <w:rPr>
                      <w:rFonts w:hint="eastAsia"/>
                      <w:vertAlign w:val="subscript"/>
                      <w:lang w:val="en-US" w:eastAsia="zh-CN"/>
                    </w:rPr>
                    <w:t>3</w:t>
                  </w:r>
                </w:p>
              </w:tc>
              <w:tc>
                <w:tcPr>
                  <w:tcW w:w="796" w:type="dxa"/>
                  <w:tcBorders>
                    <w:tl2br w:val="nil"/>
                    <w:tr2bl w:val="nil"/>
                  </w:tcBorders>
                  <w:shd w:val="clear" w:color="auto" w:fill="auto"/>
                  <w:noWrap w:val="0"/>
                  <w:vAlign w:val="center"/>
                </w:tcPr>
                <w:p w14:paraId="143510DA">
                  <w:pPr>
                    <w:pStyle w:val="41"/>
                    <w:bidi w:val="0"/>
                    <w:jc w:val="center"/>
                    <w:rPr>
                      <w:rFonts w:hint="default"/>
                      <w:lang w:val="en-US" w:eastAsia="zh-CN"/>
                    </w:rPr>
                  </w:pPr>
                  <w:r>
                    <w:rPr>
                      <w:rFonts w:hint="eastAsia"/>
                    </w:rPr>
                    <w:t>0.0002</w:t>
                  </w:r>
                </w:p>
              </w:tc>
              <w:tc>
                <w:tcPr>
                  <w:tcW w:w="796" w:type="dxa"/>
                  <w:tcBorders>
                    <w:tl2br w:val="nil"/>
                    <w:tr2bl w:val="nil"/>
                  </w:tcBorders>
                  <w:shd w:val="clear" w:color="auto" w:fill="auto"/>
                  <w:noWrap w:val="0"/>
                  <w:vAlign w:val="center"/>
                </w:tcPr>
                <w:p w14:paraId="5F38AA8F">
                  <w:pPr>
                    <w:pStyle w:val="41"/>
                    <w:bidi w:val="0"/>
                    <w:jc w:val="center"/>
                    <w:rPr>
                      <w:rFonts w:hint="default"/>
                      <w:lang w:val="en-US" w:eastAsia="zh-CN"/>
                    </w:rPr>
                  </w:pPr>
                  <w:r>
                    <w:rPr>
                      <w:rFonts w:hint="eastAsia"/>
                    </w:rPr>
                    <w:t>0.0002</w:t>
                  </w:r>
                </w:p>
              </w:tc>
              <w:tc>
                <w:tcPr>
                  <w:tcW w:w="796" w:type="dxa"/>
                  <w:tcBorders>
                    <w:tl2br w:val="nil"/>
                    <w:tr2bl w:val="nil"/>
                  </w:tcBorders>
                  <w:noWrap w:val="0"/>
                  <w:vAlign w:val="center"/>
                </w:tcPr>
                <w:p w14:paraId="60A27FF0">
                  <w:pPr>
                    <w:pStyle w:val="41"/>
                    <w:bidi w:val="0"/>
                    <w:jc w:val="center"/>
                    <w:rPr>
                      <w:rFonts w:hint="default"/>
                      <w:lang w:val="en-US" w:eastAsia="zh-CN"/>
                    </w:rPr>
                  </w:pPr>
                  <w:r>
                    <w:rPr>
                      <w:rFonts w:hint="eastAsia"/>
                      <w:lang w:val="en-US" w:eastAsia="zh-CN"/>
                    </w:rPr>
                    <w:t>0.002</w:t>
                  </w:r>
                </w:p>
              </w:tc>
              <w:tc>
                <w:tcPr>
                  <w:tcW w:w="899" w:type="dxa"/>
                  <w:tcBorders>
                    <w:tl2br w:val="nil"/>
                    <w:tr2bl w:val="nil"/>
                  </w:tcBorders>
                  <w:noWrap w:val="0"/>
                  <w:vAlign w:val="center"/>
                </w:tcPr>
                <w:p w14:paraId="54A27E2A">
                  <w:pPr>
                    <w:pStyle w:val="41"/>
                    <w:bidi w:val="0"/>
                    <w:jc w:val="center"/>
                    <w:rPr>
                      <w:rFonts w:hint="default"/>
                      <w:lang w:val="en-US" w:eastAsia="zh-CN"/>
                    </w:rPr>
                  </w:pPr>
                  <w:r>
                    <w:rPr>
                      <w:rFonts w:hint="eastAsia"/>
                      <w:lang w:val="en-US" w:eastAsia="zh-CN"/>
                    </w:rPr>
                    <w:t>0</w:t>
                  </w:r>
                </w:p>
              </w:tc>
              <w:tc>
                <w:tcPr>
                  <w:tcW w:w="1004" w:type="dxa"/>
                  <w:tcBorders>
                    <w:tl2br w:val="nil"/>
                    <w:tr2bl w:val="nil"/>
                  </w:tcBorders>
                  <w:shd w:val="clear" w:color="auto" w:fill="auto"/>
                  <w:noWrap w:val="0"/>
                  <w:vAlign w:val="center"/>
                </w:tcPr>
                <w:p w14:paraId="5695CF6A">
                  <w:pPr>
                    <w:pStyle w:val="41"/>
                    <w:bidi w:val="0"/>
                    <w:jc w:val="center"/>
                    <w:rPr>
                      <w:rFonts w:hint="eastAsia"/>
                      <w:lang w:val="en-US" w:eastAsia="zh-CN"/>
                    </w:rPr>
                  </w:pPr>
                  <w:r>
                    <w:rPr>
                      <w:rFonts w:hint="eastAsia"/>
                    </w:rPr>
                    <w:t>0.00</w:t>
                  </w:r>
                  <w:r>
                    <w:rPr>
                      <w:rFonts w:hint="eastAsia"/>
                      <w:lang w:val="en-US" w:eastAsia="zh-CN"/>
                    </w:rPr>
                    <w:t>2</w:t>
                  </w:r>
                  <w:r>
                    <w:rPr>
                      <w:rFonts w:hint="eastAsia"/>
                    </w:rPr>
                    <w:t>4</w:t>
                  </w:r>
                </w:p>
              </w:tc>
            </w:tr>
            <w:tr w14:paraId="1B3DC5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restart"/>
                  <w:tcBorders>
                    <w:tl2br w:val="nil"/>
                    <w:tr2bl w:val="nil"/>
                  </w:tcBorders>
                  <w:noWrap w:val="0"/>
                  <w:vAlign w:val="center"/>
                </w:tcPr>
                <w:p w14:paraId="069C1E84">
                  <w:pPr>
                    <w:pStyle w:val="41"/>
                    <w:bidi w:val="0"/>
                    <w:jc w:val="center"/>
                  </w:pPr>
                  <w:r>
                    <w:t>一般固体废物</w:t>
                  </w:r>
                </w:p>
              </w:tc>
              <w:tc>
                <w:tcPr>
                  <w:tcW w:w="2184" w:type="dxa"/>
                  <w:tcBorders>
                    <w:tl2br w:val="nil"/>
                    <w:tr2bl w:val="nil"/>
                  </w:tcBorders>
                  <w:noWrap w:val="0"/>
                  <w:vAlign w:val="center"/>
                </w:tcPr>
                <w:p w14:paraId="2E007D95">
                  <w:pPr>
                    <w:pStyle w:val="41"/>
                    <w:bidi w:val="0"/>
                    <w:jc w:val="center"/>
                    <w:rPr>
                      <w:rFonts w:hint="eastAsia"/>
                      <w:lang w:val="en-US" w:eastAsia="zh-CN"/>
                    </w:rPr>
                  </w:pPr>
                  <w:r>
                    <w:rPr>
                      <w:rFonts w:hint="eastAsia"/>
                      <w:lang w:val="en-US" w:eastAsia="zh-CN"/>
                    </w:rPr>
                    <w:t>废药渣及中药材粉末</w:t>
                  </w:r>
                </w:p>
              </w:tc>
              <w:tc>
                <w:tcPr>
                  <w:tcW w:w="796" w:type="dxa"/>
                  <w:tcBorders>
                    <w:tl2br w:val="nil"/>
                    <w:tr2bl w:val="nil"/>
                  </w:tcBorders>
                  <w:shd w:val="clear" w:color="auto" w:fill="auto"/>
                  <w:noWrap w:val="0"/>
                  <w:vAlign w:val="center"/>
                </w:tcPr>
                <w:p w14:paraId="6C4D8C10">
                  <w:pPr>
                    <w:pStyle w:val="41"/>
                    <w:bidi w:val="0"/>
                    <w:jc w:val="center"/>
                    <w:rPr>
                      <w:rFonts w:hint="eastAsia"/>
                      <w:lang w:val="en-US" w:eastAsia="zh-CN"/>
                    </w:rPr>
                  </w:pPr>
                  <w:r>
                    <w:rPr>
                      <w:rFonts w:hint="eastAsia"/>
                    </w:rPr>
                    <w:t>0.1</w:t>
                  </w:r>
                </w:p>
              </w:tc>
              <w:tc>
                <w:tcPr>
                  <w:tcW w:w="796" w:type="dxa"/>
                  <w:tcBorders>
                    <w:tl2br w:val="nil"/>
                    <w:tr2bl w:val="nil"/>
                  </w:tcBorders>
                  <w:shd w:val="clear" w:color="auto" w:fill="auto"/>
                  <w:noWrap w:val="0"/>
                  <w:vAlign w:val="center"/>
                </w:tcPr>
                <w:p w14:paraId="26F6B978">
                  <w:pPr>
                    <w:pStyle w:val="41"/>
                    <w:bidi w:val="0"/>
                    <w:jc w:val="center"/>
                    <w:rPr>
                      <w:rFonts w:hint="eastAsia"/>
                      <w:lang w:val="en-US" w:eastAsia="zh-CN"/>
                    </w:rPr>
                  </w:pPr>
                  <w:r>
                    <w:rPr>
                      <w:rFonts w:hint="eastAsia"/>
                    </w:rPr>
                    <w:t>0.1</w:t>
                  </w:r>
                </w:p>
              </w:tc>
              <w:tc>
                <w:tcPr>
                  <w:tcW w:w="796" w:type="dxa"/>
                  <w:tcBorders>
                    <w:tl2br w:val="nil"/>
                    <w:tr2bl w:val="nil"/>
                  </w:tcBorders>
                  <w:noWrap w:val="0"/>
                  <w:vAlign w:val="center"/>
                </w:tcPr>
                <w:p w14:paraId="6A929CEA">
                  <w:pPr>
                    <w:pStyle w:val="41"/>
                    <w:bidi w:val="0"/>
                    <w:jc w:val="center"/>
                    <w:rPr>
                      <w:rFonts w:hint="default"/>
                      <w:lang w:val="en-US" w:eastAsia="zh-CN"/>
                    </w:rPr>
                  </w:pPr>
                  <w:r>
                    <w:rPr>
                      <w:rFonts w:hint="eastAsia"/>
                      <w:lang w:val="en-US" w:eastAsia="zh-CN"/>
                    </w:rPr>
                    <w:t>0</w:t>
                  </w:r>
                </w:p>
              </w:tc>
              <w:tc>
                <w:tcPr>
                  <w:tcW w:w="899" w:type="dxa"/>
                  <w:tcBorders>
                    <w:tl2br w:val="nil"/>
                    <w:tr2bl w:val="nil"/>
                  </w:tcBorders>
                  <w:noWrap w:val="0"/>
                  <w:vAlign w:val="center"/>
                </w:tcPr>
                <w:p w14:paraId="7F0977D6">
                  <w:pPr>
                    <w:pStyle w:val="41"/>
                    <w:bidi w:val="0"/>
                    <w:jc w:val="center"/>
                    <w:rPr>
                      <w:rFonts w:hint="default"/>
                      <w:lang w:val="en-US" w:eastAsia="zh-CN"/>
                    </w:rPr>
                  </w:pPr>
                  <w:r>
                    <w:rPr>
                      <w:rFonts w:hint="eastAsia"/>
                      <w:lang w:val="en-US" w:eastAsia="zh-CN"/>
                    </w:rPr>
                    <w:t>0</w:t>
                  </w:r>
                </w:p>
              </w:tc>
              <w:tc>
                <w:tcPr>
                  <w:tcW w:w="1004" w:type="dxa"/>
                  <w:tcBorders>
                    <w:tl2br w:val="nil"/>
                    <w:tr2bl w:val="nil"/>
                  </w:tcBorders>
                  <w:shd w:val="clear" w:color="auto" w:fill="auto"/>
                  <w:noWrap w:val="0"/>
                  <w:vAlign w:val="center"/>
                </w:tcPr>
                <w:p w14:paraId="2329F151">
                  <w:pPr>
                    <w:pStyle w:val="41"/>
                    <w:bidi w:val="0"/>
                    <w:jc w:val="center"/>
                    <w:rPr>
                      <w:rFonts w:hint="eastAsia"/>
                      <w:lang w:val="en-US" w:eastAsia="zh-CN"/>
                    </w:rPr>
                  </w:pPr>
                  <w:r>
                    <w:rPr>
                      <w:rFonts w:hint="eastAsia"/>
                    </w:rPr>
                    <w:t>0.2</w:t>
                  </w:r>
                </w:p>
              </w:tc>
            </w:tr>
            <w:tr w14:paraId="0A9F22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61788255">
                  <w:pPr>
                    <w:pStyle w:val="41"/>
                    <w:bidi w:val="0"/>
                    <w:jc w:val="center"/>
                  </w:pPr>
                </w:p>
              </w:tc>
              <w:tc>
                <w:tcPr>
                  <w:tcW w:w="2184" w:type="dxa"/>
                  <w:tcBorders>
                    <w:tl2br w:val="nil"/>
                    <w:tr2bl w:val="nil"/>
                  </w:tcBorders>
                  <w:noWrap w:val="0"/>
                  <w:vAlign w:val="center"/>
                </w:tcPr>
                <w:p w14:paraId="142C1CBC">
                  <w:pPr>
                    <w:pStyle w:val="41"/>
                    <w:bidi w:val="0"/>
                    <w:jc w:val="center"/>
                    <w:rPr>
                      <w:rFonts w:hint="eastAsia"/>
                      <w:lang w:val="en-US" w:eastAsia="zh-CN"/>
                    </w:rPr>
                  </w:pPr>
                  <w:r>
                    <w:rPr>
                      <w:rFonts w:hint="eastAsia"/>
                      <w:lang w:val="en-US" w:eastAsia="zh-CN"/>
                    </w:rPr>
                    <w:t>废滤芯</w:t>
                  </w:r>
                </w:p>
              </w:tc>
              <w:tc>
                <w:tcPr>
                  <w:tcW w:w="796" w:type="dxa"/>
                  <w:tcBorders>
                    <w:tl2br w:val="nil"/>
                    <w:tr2bl w:val="nil"/>
                  </w:tcBorders>
                  <w:shd w:val="clear" w:color="auto" w:fill="auto"/>
                  <w:noWrap w:val="0"/>
                  <w:vAlign w:val="center"/>
                </w:tcPr>
                <w:p w14:paraId="301DE542">
                  <w:pPr>
                    <w:pStyle w:val="41"/>
                    <w:bidi w:val="0"/>
                    <w:jc w:val="center"/>
                    <w:rPr>
                      <w:rFonts w:hint="default"/>
                      <w:lang w:val="en-US" w:eastAsia="zh-CN"/>
                    </w:rPr>
                  </w:pPr>
                  <w:r>
                    <w:rPr>
                      <w:rFonts w:hint="eastAsia"/>
                    </w:rPr>
                    <w:t>0</w:t>
                  </w:r>
                </w:p>
              </w:tc>
              <w:tc>
                <w:tcPr>
                  <w:tcW w:w="796" w:type="dxa"/>
                  <w:tcBorders>
                    <w:tl2br w:val="nil"/>
                    <w:tr2bl w:val="nil"/>
                  </w:tcBorders>
                  <w:shd w:val="clear" w:color="auto" w:fill="auto"/>
                  <w:noWrap w:val="0"/>
                  <w:vAlign w:val="center"/>
                </w:tcPr>
                <w:p w14:paraId="4B9B3424">
                  <w:pPr>
                    <w:pStyle w:val="41"/>
                    <w:bidi w:val="0"/>
                    <w:jc w:val="center"/>
                    <w:rPr>
                      <w:rFonts w:hint="default"/>
                      <w:lang w:val="en-US" w:eastAsia="zh-CN"/>
                    </w:rPr>
                  </w:pPr>
                  <w:r>
                    <w:rPr>
                      <w:rFonts w:hint="eastAsia"/>
                    </w:rPr>
                    <w:t>0</w:t>
                  </w:r>
                </w:p>
              </w:tc>
              <w:tc>
                <w:tcPr>
                  <w:tcW w:w="796" w:type="dxa"/>
                  <w:tcBorders>
                    <w:tl2br w:val="nil"/>
                    <w:tr2bl w:val="nil"/>
                  </w:tcBorders>
                  <w:noWrap w:val="0"/>
                  <w:vAlign w:val="center"/>
                </w:tcPr>
                <w:p w14:paraId="56AAE761">
                  <w:pPr>
                    <w:pStyle w:val="41"/>
                    <w:bidi w:val="0"/>
                    <w:jc w:val="center"/>
                    <w:rPr>
                      <w:rFonts w:hint="default"/>
                      <w:lang w:val="en-US" w:eastAsia="zh-CN"/>
                    </w:rPr>
                  </w:pPr>
                  <w:r>
                    <w:rPr>
                      <w:rFonts w:hint="eastAsia"/>
                      <w:lang w:val="en-US" w:eastAsia="zh-CN"/>
                    </w:rPr>
                    <w:t>0</w:t>
                  </w:r>
                </w:p>
              </w:tc>
              <w:tc>
                <w:tcPr>
                  <w:tcW w:w="899" w:type="dxa"/>
                  <w:tcBorders>
                    <w:tl2br w:val="nil"/>
                    <w:tr2bl w:val="nil"/>
                  </w:tcBorders>
                  <w:noWrap w:val="0"/>
                  <w:vAlign w:val="center"/>
                </w:tcPr>
                <w:p w14:paraId="61B9C282">
                  <w:pPr>
                    <w:pStyle w:val="41"/>
                    <w:bidi w:val="0"/>
                    <w:jc w:val="center"/>
                    <w:rPr>
                      <w:rFonts w:hint="default"/>
                      <w:lang w:val="en-US" w:eastAsia="zh-CN"/>
                    </w:rPr>
                  </w:pPr>
                  <w:r>
                    <w:rPr>
                      <w:rFonts w:hint="eastAsia"/>
                      <w:lang w:val="en-US" w:eastAsia="zh-CN"/>
                    </w:rPr>
                    <w:t>0.02</w:t>
                  </w:r>
                </w:p>
              </w:tc>
              <w:tc>
                <w:tcPr>
                  <w:tcW w:w="1004" w:type="dxa"/>
                  <w:tcBorders>
                    <w:tl2br w:val="nil"/>
                    <w:tr2bl w:val="nil"/>
                  </w:tcBorders>
                  <w:shd w:val="clear" w:color="auto" w:fill="auto"/>
                  <w:noWrap w:val="0"/>
                  <w:vAlign w:val="center"/>
                </w:tcPr>
                <w:p w14:paraId="5910AE6C">
                  <w:pPr>
                    <w:pStyle w:val="41"/>
                    <w:bidi w:val="0"/>
                    <w:jc w:val="center"/>
                    <w:rPr>
                      <w:rFonts w:hint="eastAsia"/>
                      <w:lang w:val="en-US" w:eastAsia="zh-CN"/>
                    </w:rPr>
                  </w:pPr>
                  <w:r>
                    <w:rPr>
                      <w:rFonts w:hint="eastAsia"/>
                    </w:rPr>
                    <w:t>0.02</w:t>
                  </w:r>
                </w:p>
              </w:tc>
            </w:tr>
            <w:tr w14:paraId="65CD75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262D18AA">
                  <w:pPr>
                    <w:pStyle w:val="41"/>
                    <w:bidi w:val="0"/>
                    <w:jc w:val="center"/>
                  </w:pPr>
                </w:p>
              </w:tc>
              <w:tc>
                <w:tcPr>
                  <w:tcW w:w="2184" w:type="dxa"/>
                  <w:tcBorders>
                    <w:tl2br w:val="nil"/>
                    <w:tr2bl w:val="nil"/>
                  </w:tcBorders>
                  <w:noWrap w:val="0"/>
                  <w:vAlign w:val="center"/>
                </w:tcPr>
                <w:p w14:paraId="40D502EF">
                  <w:pPr>
                    <w:pStyle w:val="41"/>
                    <w:bidi w:val="0"/>
                    <w:jc w:val="center"/>
                    <w:rPr>
                      <w:rFonts w:hint="eastAsia"/>
                      <w:lang w:val="en-US" w:eastAsia="zh-CN"/>
                    </w:rPr>
                  </w:pPr>
                  <w:r>
                    <w:rPr>
                      <w:rFonts w:hint="eastAsia"/>
                      <w:lang w:val="en-US" w:eastAsia="zh-CN"/>
                    </w:rPr>
                    <w:t>废包装材料</w:t>
                  </w:r>
                </w:p>
              </w:tc>
              <w:tc>
                <w:tcPr>
                  <w:tcW w:w="796" w:type="dxa"/>
                  <w:tcBorders>
                    <w:tl2br w:val="nil"/>
                    <w:tr2bl w:val="nil"/>
                  </w:tcBorders>
                  <w:shd w:val="clear" w:color="auto" w:fill="auto"/>
                  <w:noWrap w:val="0"/>
                  <w:vAlign w:val="center"/>
                </w:tcPr>
                <w:p w14:paraId="40FC1937">
                  <w:pPr>
                    <w:pStyle w:val="41"/>
                    <w:bidi w:val="0"/>
                    <w:jc w:val="center"/>
                    <w:rPr>
                      <w:rFonts w:hint="eastAsia"/>
                      <w:lang w:val="en-US" w:eastAsia="zh-CN"/>
                    </w:rPr>
                  </w:pPr>
                  <w:r>
                    <w:rPr>
                      <w:rFonts w:hint="eastAsia"/>
                    </w:rPr>
                    <w:t>0</w:t>
                  </w:r>
                </w:p>
              </w:tc>
              <w:tc>
                <w:tcPr>
                  <w:tcW w:w="796" w:type="dxa"/>
                  <w:tcBorders>
                    <w:tl2br w:val="nil"/>
                    <w:tr2bl w:val="nil"/>
                  </w:tcBorders>
                  <w:shd w:val="clear" w:color="auto" w:fill="auto"/>
                  <w:noWrap w:val="0"/>
                  <w:vAlign w:val="center"/>
                </w:tcPr>
                <w:p w14:paraId="2A73AA79">
                  <w:pPr>
                    <w:pStyle w:val="41"/>
                    <w:bidi w:val="0"/>
                    <w:jc w:val="center"/>
                    <w:rPr>
                      <w:rFonts w:hint="eastAsia"/>
                      <w:lang w:val="en-US" w:eastAsia="zh-CN"/>
                    </w:rPr>
                  </w:pPr>
                  <w:r>
                    <w:rPr>
                      <w:rFonts w:hint="eastAsia"/>
                    </w:rPr>
                    <w:t>0</w:t>
                  </w:r>
                </w:p>
              </w:tc>
              <w:tc>
                <w:tcPr>
                  <w:tcW w:w="796" w:type="dxa"/>
                  <w:tcBorders>
                    <w:tl2br w:val="nil"/>
                    <w:tr2bl w:val="nil"/>
                  </w:tcBorders>
                  <w:noWrap w:val="0"/>
                  <w:vAlign w:val="center"/>
                </w:tcPr>
                <w:p w14:paraId="68F203B8">
                  <w:pPr>
                    <w:pStyle w:val="41"/>
                    <w:bidi w:val="0"/>
                    <w:jc w:val="center"/>
                    <w:rPr>
                      <w:rFonts w:hint="default"/>
                      <w:lang w:val="en-US" w:eastAsia="zh-CN"/>
                    </w:rPr>
                  </w:pPr>
                  <w:r>
                    <w:rPr>
                      <w:rFonts w:hint="eastAsia"/>
                      <w:lang w:val="en-US" w:eastAsia="zh-CN"/>
                    </w:rPr>
                    <w:t>0</w:t>
                  </w:r>
                </w:p>
              </w:tc>
              <w:tc>
                <w:tcPr>
                  <w:tcW w:w="899" w:type="dxa"/>
                  <w:tcBorders>
                    <w:tl2br w:val="nil"/>
                    <w:tr2bl w:val="nil"/>
                  </w:tcBorders>
                  <w:noWrap w:val="0"/>
                  <w:vAlign w:val="center"/>
                </w:tcPr>
                <w:p w14:paraId="2FCB5E6F">
                  <w:pPr>
                    <w:pStyle w:val="41"/>
                    <w:bidi w:val="0"/>
                    <w:jc w:val="center"/>
                    <w:rPr>
                      <w:rFonts w:hint="default"/>
                      <w:lang w:val="en-US" w:eastAsia="zh-CN"/>
                    </w:rPr>
                  </w:pPr>
                  <w:r>
                    <w:rPr>
                      <w:rFonts w:hint="eastAsia"/>
                      <w:lang w:val="en-US" w:eastAsia="zh-CN"/>
                    </w:rPr>
                    <w:t>0.5</w:t>
                  </w:r>
                </w:p>
              </w:tc>
              <w:tc>
                <w:tcPr>
                  <w:tcW w:w="1004" w:type="dxa"/>
                  <w:tcBorders>
                    <w:tl2br w:val="nil"/>
                    <w:tr2bl w:val="nil"/>
                  </w:tcBorders>
                  <w:shd w:val="clear" w:color="auto" w:fill="auto"/>
                  <w:noWrap w:val="0"/>
                  <w:vAlign w:val="center"/>
                </w:tcPr>
                <w:p w14:paraId="057C728B">
                  <w:pPr>
                    <w:pStyle w:val="41"/>
                    <w:bidi w:val="0"/>
                    <w:jc w:val="center"/>
                    <w:rPr>
                      <w:rFonts w:hint="eastAsia"/>
                      <w:lang w:val="en-US" w:eastAsia="zh-CN"/>
                    </w:rPr>
                  </w:pPr>
                  <w:r>
                    <w:rPr>
                      <w:rFonts w:hint="eastAsia"/>
                    </w:rPr>
                    <w:t>0.5</w:t>
                  </w:r>
                </w:p>
              </w:tc>
            </w:tr>
            <w:tr w14:paraId="287A7D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restart"/>
                  <w:tcBorders>
                    <w:tl2br w:val="nil"/>
                    <w:tr2bl w:val="nil"/>
                  </w:tcBorders>
                  <w:noWrap w:val="0"/>
                  <w:vAlign w:val="center"/>
                </w:tcPr>
                <w:p w14:paraId="3BFD5FB0">
                  <w:pPr>
                    <w:pStyle w:val="41"/>
                    <w:bidi w:val="0"/>
                    <w:jc w:val="center"/>
                  </w:pPr>
                  <w:r>
                    <w:t>危险废物</w:t>
                  </w:r>
                </w:p>
              </w:tc>
              <w:tc>
                <w:tcPr>
                  <w:tcW w:w="2184" w:type="dxa"/>
                  <w:tcBorders>
                    <w:tl2br w:val="nil"/>
                    <w:tr2bl w:val="nil"/>
                  </w:tcBorders>
                  <w:noWrap w:val="0"/>
                  <w:vAlign w:val="center"/>
                </w:tcPr>
                <w:p w14:paraId="75B126EE">
                  <w:pPr>
                    <w:pStyle w:val="41"/>
                    <w:bidi w:val="0"/>
                    <w:jc w:val="center"/>
                    <w:rPr>
                      <w:rFonts w:hint="eastAsia"/>
                      <w:lang w:val="en-US" w:eastAsia="zh-CN"/>
                    </w:rPr>
                  </w:pPr>
                  <w:r>
                    <w:rPr>
                      <w:rFonts w:hint="eastAsia"/>
                      <w:lang w:val="en-US" w:eastAsia="zh-CN"/>
                    </w:rPr>
                    <w:t>废液及废料</w:t>
                  </w:r>
                </w:p>
              </w:tc>
              <w:tc>
                <w:tcPr>
                  <w:tcW w:w="796" w:type="dxa"/>
                  <w:tcBorders>
                    <w:tl2br w:val="nil"/>
                    <w:tr2bl w:val="nil"/>
                  </w:tcBorders>
                  <w:shd w:val="clear" w:color="auto" w:fill="auto"/>
                  <w:noWrap w:val="0"/>
                  <w:vAlign w:val="center"/>
                </w:tcPr>
                <w:p w14:paraId="109DEEC4">
                  <w:pPr>
                    <w:pStyle w:val="41"/>
                    <w:bidi w:val="0"/>
                    <w:jc w:val="center"/>
                    <w:rPr>
                      <w:rFonts w:hint="eastAsia"/>
                      <w:lang w:val="en-US" w:eastAsia="zh-CN"/>
                    </w:rPr>
                  </w:pPr>
                  <w:r>
                    <w:rPr>
                      <w:rFonts w:hint="eastAsia"/>
                    </w:rPr>
                    <w:t>17.25</w:t>
                  </w:r>
                </w:p>
              </w:tc>
              <w:tc>
                <w:tcPr>
                  <w:tcW w:w="796" w:type="dxa"/>
                  <w:tcBorders>
                    <w:tl2br w:val="nil"/>
                    <w:tr2bl w:val="nil"/>
                  </w:tcBorders>
                  <w:shd w:val="clear" w:color="auto" w:fill="auto"/>
                  <w:noWrap w:val="0"/>
                  <w:vAlign w:val="center"/>
                </w:tcPr>
                <w:p w14:paraId="2F740F69">
                  <w:pPr>
                    <w:pStyle w:val="41"/>
                    <w:bidi w:val="0"/>
                    <w:jc w:val="center"/>
                    <w:rPr>
                      <w:rFonts w:hint="default"/>
                      <w:lang w:val="en-US" w:eastAsia="zh-CN"/>
                    </w:rPr>
                  </w:pPr>
                  <w:r>
                    <w:rPr>
                      <w:rFonts w:hint="eastAsia"/>
                    </w:rPr>
                    <w:t>17.25</w:t>
                  </w:r>
                </w:p>
              </w:tc>
              <w:tc>
                <w:tcPr>
                  <w:tcW w:w="796" w:type="dxa"/>
                  <w:tcBorders>
                    <w:tl2br w:val="nil"/>
                    <w:tr2bl w:val="nil"/>
                  </w:tcBorders>
                  <w:noWrap w:val="0"/>
                  <w:vAlign w:val="center"/>
                </w:tcPr>
                <w:p w14:paraId="492609A5">
                  <w:pPr>
                    <w:pStyle w:val="41"/>
                    <w:bidi w:val="0"/>
                    <w:jc w:val="center"/>
                    <w:rPr>
                      <w:rFonts w:hint="eastAsia"/>
                      <w:lang w:val="en-US" w:eastAsia="zh-CN"/>
                    </w:rPr>
                  </w:pPr>
                  <w:r>
                    <w:rPr>
                      <w:rFonts w:hint="eastAsia"/>
                      <w:lang w:val="en-US" w:eastAsia="zh-CN"/>
                    </w:rPr>
                    <w:t>11</w:t>
                  </w:r>
                </w:p>
              </w:tc>
              <w:tc>
                <w:tcPr>
                  <w:tcW w:w="899" w:type="dxa"/>
                  <w:tcBorders>
                    <w:tl2br w:val="nil"/>
                    <w:tr2bl w:val="nil"/>
                  </w:tcBorders>
                  <w:noWrap w:val="0"/>
                  <w:vAlign w:val="center"/>
                </w:tcPr>
                <w:p w14:paraId="6F835ED5">
                  <w:pPr>
                    <w:pStyle w:val="41"/>
                    <w:bidi w:val="0"/>
                    <w:jc w:val="center"/>
                    <w:rPr>
                      <w:rFonts w:hint="default"/>
                      <w:lang w:val="en-US" w:eastAsia="zh-CN"/>
                    </w:rPr>
                  </w:pPr>
                  <w:r>
                    <w:rPr>
                      <w:rFonts w:hint="eastAsia"/>
                      <w:lang w:val="en-US" w:eastAsia="zh-CN"/>
                    </w:rPr>
                    <w:t>2.62</w:t>
                  </w:r>
                </w:p>
              </w:tc>
              <w:tc>
                <w:tcPr>
                  <w:tcW w:w="1004" w:type="dxa"/>
                  <w:tcBorders>
                    <w:tl2br w:val="nil"/>
                    <w:tr2bl w:val="nil"/>
                  </w:tcBorders>
                  <w:shd w:val="clear" w:color="auto" w:fill="auto"/>
                  <w:noWrap w:val="0"/>
                  <w:vAlign w:val="center"/>
                </w:tcPr>
                <w:p w14:paraId="682C74C7">
                  <w:pPr>
                    <w:pStyle w:val="41"/>
                    <w:bidi w:val="0"/>
                    <w:jc w:val="center"/>
                    <w:rPr>
                      <w:rFonts w:hint="eastAsia"/>
                      <w:lang w:val="en-US" w:eastAsia="zh-CN"/>
                    </w:rPr>
                  </w:pPr>
                  <w:r>
                    <w:rPr>
                      <w:rFonts w:hint="eastAsia"/>
                    </w:rPr>
                    <w:t>48.12</w:t>
                  </w:r>
                </w:p>
              </w:tc>
            </w:tr>
            <w:tr w14:paraId="20039D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83" w:hRule="atLeast"/>
              </w:trPr>
              <w:tc>
                <w:tcPr>
                  <w:tcW w:w="1381" w:type="dxa"/>
                  <w:vMerge w:val="continue"/>
                  <w:tcBorders>
                    <w:tl2br w:val="nil"/>
                    <w:tr2bl w:val="nil"/>
                  </w:tcBorders>
                  <w:noWrap w:val="0"/>
                  <w:vAlign w:val="center"/>
                </w:tcPr>
                <w:p w14:paraId="745F7138">
                  <w:pPr>
                    <w:pStyle w:val="41"/>
                    <w:bidi w:val="0"/>
                    <w:jc w:val="center"/>
                  </w:pPr>
                </w:p>
              </w:tc>
              <w:tc>
                <w:tcPr>
                  <w:tcW w:w="2184" w:type="dxa"/>
                  <w:tcBorders>
                    <w:tl2br w:val="nil"/>
                    <w:tr2bl w:val="nil"/>
                  </w:tcBorders>
                  <w:noWrap w:val="0"/>
                  <w:vAlign w:val="center"/>
                </w:tcPr>
                <w:p w14:paraId="56F13263">
                  <w:pPr>
                    <w:pStyle w:val="41"/>
                    <w:bidi w:val="0"/>
                    <w:jc w:val="center"/>
                    <w:rPr>
                      <w:rFonts w:hint="eastAsia"/>
                      <w:lang w:val="en-US" w:eastAsia="zh-CN"/>
                    </w:rPr>
                  </w:pPr>
                  <w:r>
                    <w:rPr>
                      <w:rFonts w:hint="eastAsia"/>
                      <w:lang w:eastAsia="zh-CN"/>
                    </w:rPr>
                    <w:t>报废药品及过期原辅料</w:t>
                  </w:r>
                </w:p>
              </w:tc>
              <w:tc>
                <w:tcPr>
                  <w:tcW w:w="796" w:type="dxa"/>
                  <w:tcBorders>
                    <w:tl2br w:val="nil"/>
                    <w:tr2bl w:val="nil"/>
                  </w:tcBorders>
                  <w:shd w:val="clear" w:color="auto" w:fill="auto"/>
                  <w:noWrap w:val="0"/>
                  <w:vAlign w:val="center"/>
                </w:tcPr>
                <w:p w14:paraId="449D32EC">
                  <w:pPr>
                    <w:pStyle w:val="41"/>
                    <w:bidi w:val="0"/>
                    <w:jc w:val="center"/>
                    <w:rPr>
                      <w:rFonts w:hint="default"/>
                      <w:lang w:val="en-US" w:eastAsia="zh-CN"/>
                    </w:rPr>
                  </w:pPr>
                  <w:r>
                    <w:rPr>
                      <w:rFonts w:hint="eastAsia"/>
                    </w:rPr>
                    <w:t>0.55</w:t>
                  </w:r>
                </w:p>
              </w:tc>
              <w:tc>
                <w:tcPr>
                  <w:tcW w:w="796" w:type="dxa"/>
                  <w:tcBorders>
                    <w:tl2br w:val="nil"/>
                    <w:tr2bl w:val="nil"/>
                  </w:tcBorders>
                  <w:shd w:val="clear" w:color="auto" w:fill="auto"/>
                  <w:noWrap w:val="0"/>
                  <w:vAlign w:val="center"/>
                </w:tcPr>
                <w:p w14:paraId="26D4DEA0">
                  <w:pPr>
                    <w:pStyle w:val="41"/>
                    <w:bidi w:val="0"/>
                    <w:jc w:val="center"/>
                    <w:rPr>
                      <w:rFonts w:hint="eastAsia"/>
                      <w:lang w:val="en-US" w:eastAsia="zh-CN"/>
                    </w:rPr>
                  </w:pPr>
                  <w:r>
                    <w:rPr>
                      <w:rFonts w:hint="eastAsia"/>
                    </w:rPr>
                    <w:t>0.55</w:t>
                  </w:r>
                </w:p>
              </w:tc>
              <w:tc>
                <w:tcPr>
                  <w:tcW w:w="796" w:type="dxa"/>
                  <w:tcBorders>
                    <w:tl2br w:val="nil"/>
                    <w:tr2bl w:val="nil"/>
                  </w:tcBorders>
                  <w:noWrap w:val="0"/>
                  <w:vAlign w:val="center"/>
                </w:tcPr>
                <w:p w14:paraId="10AEBE4A">
                  <w:pPr>
                    <w:pStyle w:val="41"/>
                    <w:bidi w:val="0"/>
                    <w:jc w:val="center"/>
                    <w:rPr>
                      <w:rFonts w:hint="default"/>
                      <w:lang w:val="en-US" w:eastAsia="zh-CN"/>
                    </w:rPr>
                  </w:pPr>
                  <w:r>
                    <w:rPr>
                      <w:rFonts w:hint="eastAsia"/>
                      <w:lang w:val="en-US" w:eastAsia="zh-CN"/>
                    </w:rPr>
                    <w:t>0.005</w:t>
                  </w:r>
                </w:p>
              </w:tc>
              <w:tc>
                <w:tcPr>
                  <w:tcW w:w="899" w:type="dxa"/>
                  <w:tcBorders>
                    <w:tl2br w:val="nil"/>
                    <w:tr2bl w:val="nil"/>
                  </w:tcBorders>
                  <w:noWrap w:val="0"/>
                  <w:vAlign w:val="center"/>
                </w:tcPr>
                <w:p w14:paraId="7DDC9376">
                  <w:pPr>
                    <w:pStyle w:val="41"/>
                    <w:bidi w:val="0"/>
                    <w:jc w:val="center"/>
                    <w:rPr>
                      <w:rFonts w:hint="default"/>
                      <w:lang w:val="en-US" w:eastAsia="zh-CN"/>
                    </w:rPr>
                  </w:pPr>
                  <w:r>
                    <w:rPr>
                      <w:rFonts w:hint="eastAsia"/>
                      <w:lang w:val="en-US" w:eastAsia="zh-CN"/>
                    </w:rPr>
                    <w:t>0</w:t>
                  </w:r>
                </w:p>
              </w:tc>
              <w:tc>
                <w:tcPr>
                  <w:tcW w:w="1004" w:type="dxa"/>
                  <w:tcBorders>
                    <w:tl2br w:val="nil"/>
                    <w:tr2bl w:val="nil"/>
                  </w:tcBorders>
                  <w:shd w:val="clear" w:color="auto" w:fill="auto"/>
                  <w:noWrap w:val="0"/>
                  <w:vAlign w:val="center"/>
                </w:tcPr>
                <w:p w14:paraId="1CE09D39">
                  <w:pPr>
                    <w:pStyle w:val="41"/>
                    <w:bidi w:val="0"/>
                    <w:jc w:val="center"/>
                    <w:rPr>
                      <w:rFonts w:hint="eastAsia"/>
                      <w:lang w:val="en-US" w:eastAsia="zh-CN"/>
                    </w:rPr>
                  </w:pPr>
                  <w:r>
                    <w:rPr>
                      <w:rFonts w:hint="eastAsia"/>
                    </w:rPr>
                    <w:t>1.105</w:t>
                  </w:r>
                </w:p>
              </w:tc>
            </w:tr>
            <w:tr w14:paraId="024375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3A6C6469">
                  <w:pPr>
                    <w:pStyle w:val="41"/>
                    <w:bidi w:val="0"/>
                    <w:jc w:val="center"/>
                  </w:pPr>
                </w:p>
              </w:tc>
              <w:tc>
                <w:tcPr>
                  <w:tcW w:w="2184" w:type="dxa"/>
                  <w:tcBorders>
                    <w:tl2br w:val="nil"/>
                    <w:tr2bl w:val="nil"/>
                  </w:tcBorders>
                  <w:noWrap w:val="0"/>
                  <w:vAlign w:val="center"/>
                </w:tcPr>
                <w:p w14:paraId="4DEB1D83">
                  <w:pPr>
                    <w:pStyle w:val="41"/>
                    <w:bidi w:val="0"/>
                    <w:jc w:val="center"/>
                    <w:rPr>
                      <w:rFonts w:hint="default"/>
                      <w:lang w:val="en-US" w:eastAsia="zh-CN"/>
                    </w:rPr>
                  </w:pPr>
                  <w:r>
                    <w:rPr>
                      <w:rFonts w:hint="eastAsia"/>
                      <w:lang w:eastAsia="zh-CN"/>
                    </w:rPr>
                    <w:t>废实验用品</w:t>
                  </w:r>
                </w:p>
              </w:tc>
              <w:tc>
                <w:tcPr>
                  <w:tcW w:w="796" w:type="dxa"/>
                  <w:tcBorders>
                    <w:tl2br w:val="nil"/>
                    <w:tr2bl w:val="nil"/>
                  </w:tcBorders>
                  <w:shd w:val="clear" w:color="auto" w:fill="auto"/>
                  <w:noWrap w:val="0"/>
                  <w:vAlign w:val="center"/>
                </w:tcPr>
                <w:p w14:paraId="737AC3B1">
                  <w:pPr>
                    <w:pStyle w:val="41"/>
                    <w:bidi w:val="0"/>
                    <w:jc w:val="center"/>
                    <w:rPr>
                      <w:rFonts w:hint="default"/>
                      <w:lang w:val="en-US" w:eastAsia="zh-CN"/>
                    </w:rPr>
                  </w:pPr>
                  <w:r>
                    <w:rPr>
                      <w:rFonts w:hint="eastAsia"/>
                    </w:rPr>
                    <w:t>5</w:t>
                  </w:r>
                </w:p>
              </w:tc>
              <w:tc>
                <w:tcPr>
                  <w:tcW w:w="796" w:type="dxa"/>
                  <w:tcBorders>
                    <w:tl2br w:val="nil"/>
                    <w:tr2bl w:val="nil"/>
                  </w:tcBorders>
                  <w:shd w:val="clear" w:color="auto" w:fill="auto"/>
                  <w:noWrap w:val="0"/>
                  <w:vAlign w:val="center"/>
                </w:tcPr>
                <w:p w14:paraId="3A1683F1">
                  <w:pPr>
                    <w:pStyle w:val="41"/>
                    <w:bidi w:val="0"/>
                    <w:jc w:val="center"/>
                    <w:rPr>
                      <w:rFonts w:hint="eastAsia"/>
                      <w:lang w:val="en-US" w:eastAsia="zh-CN"/>
                    </w:rPr>
                  </w:pPr>
                  <w:r>
                    <w:rPr>
                      <w:rFonts w:hint="eastAsia"/>
                    </w:rPr>
                    <w:t>5</w:t>
                  </w:r>
                </w:p>
              </w:tc>
              <w:tc>
                <w:tcPr>
                  <w:tcW w:w="796" w:type="dxa"/>
                  <w:tcBorders>
                    <w:tl2br w:val="nil"/>
                    <w:tr2bl w:val="nil"/>
                  </w:tcBorders>
                  <w:noWrap w:val="0"/>
                  <w:vAlign w:val="center"/>
                </w:tcPr>
                <w:p w14:paraId="739D8CA9">
                  <w:pPr>
                    <w:pStyle w:val="41"/>
                    <w:bidi w:val="0"/>
                    <w:jc w:val="center"/>
                    <w:rPr>
                      <w:rFonts w:hint="default"/>
                      <w:lang w:val="en-US" w:eastAsia="zh-CN"/>
                    </w:rPr>
                  </w:pPr>
                  <w:r>
                    <w:rPr>
                      <w:rFonts w:hint="eastAsia"/>
                      <w:lang w:val="en-US" w:eastAsia="zh-CN"/>
                    </w:rPr>
                    <w:t>0.115</w:t>
                  </w:r>
                </w:p>
              </w:tc>
              <w:tc>
                <w:tcPr>
                  <w:tcW w:w="899" w:type="dxa"/>
                  <w:tcBorders>
                    <w:tl2br w:val="nil"/>
                    <w:tr2bl w:val="nil"/>
                  </w:tcBorders>
                  <w:noWrap w:val="0"/>
                  <w:vAlign w:val="center"/>
                </w:tcPr>
                <w:p w14:paraId="213039BC">
                  <w:pPr>
                    <w:pStyle w:val="41"/>
                    <w:bidi w:val="0"/>
                    <w:jc w:val="center"/>
                    <w:rPr>
                      <w:rFonts w:hint="default"/>
                      <w:lang w:val="en-US" w:eastAsia="zh-CN"/>
                    </w:rPr>
                  </w:pPr>
                  <w:r>
                    <w:rPr>
                      <w:rFonts w:hint="eastAsia"/>
                      <w:lang w:val="en-US" w:eastAsia="zh-CN"/>
                    </w:rPr>
                    <w:t>0.2</w:t>
                  </w:r>
                </w:p>
              </w:tc>
              <w:tc>
                <w:tcPr>
                  <w:tcW w:w="1004" w:type="dxa"/>
                  <w:tcBorders>
                    <w:tl2br w:val="nil"/>
                    <w:tr2bl w:val="nil"/>
                  </w:tcBorders>
                  <w:shd w:val="clear" w:color="auto" w:fill="auto"/>
                  <w:noWrap w:val="0"/>
                  <w:vAlign w:val="center"/>
                </w:tcPr>
                <w:p w14:paraId="54B3F9D2">
                  <w:pPr>
                    <w:pStyle w:val="41"/>
                    <w:bidi w:val="0"/>
                    <w:jc w:val="center"/>
                    <w:rPr>
                      <w:rFonts w:hint="eastAsia"/>
                      <w:lang w:val="en-US" w:eastAsia="zh-CN"/>
                    </w:rPr>
                  </w:pPr>
                  <w:r>
                    <w:rPr>
                      <w:rFonts w:hint="eastAsia"/>
                    </w:rPr>
                    <w:t>10.315</w:t>
                  </w:r>
                </w:p>
              </w:tc>
            </w:tr>
            <w:tr w14:paraId="670D3D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20DCAB6C">
                  <w:pPr>
                    <w:pStyle w:val="41"/>
                    <w:bidi w:val="0"/>
                    <w:jc w:val="center"/>
                  </w:pPr>
                </w:p>
              </w:tc>
              <w:tc>
                <w:tcPr>
                  <w:tcW w:w="2184" w:type="dxa"/>
                  <w:tcBorders>
                    <w:tl2br w:val="nil"/>
                    <w:tr2bl w:val="nil"/>
                  </w:tcBorders>
                  <w:noWrap w:val="0"/>
                  <w:vAlign w:val="center"/>
                </w:tcPr>
                <w:p w14:paraId="66184D27">
                  <w:pPr>
                    <w:pStyle w:val="41"/>
                    <w:bidi w:val="0"/>
                    <w:jc w:val="center"/>
                    <w:rPr>
                      <w:rFonts w:hint="eastAsia"/>
                      <w:lang w:val="en-US" w:eastAsia="zh-CN"/>
                    </w:rPr>
                  </w:pPr>
                  <w:r>
                    <w:rPr>
                      <w:rFonts w:hint="eastAsia"/>
                      <w:lang w:eastAsia="zh-CN"/>
                    </w:rPr>
                    <w:t>废试剂包装</w:t>
                  </w:r>
                </w:p>
              </w:tc>
              <w:tc>
                <w:tcPr>
                  <w:tcW w:w="796" w:type="dxa"/>
                  <w:tcBorders>
                    <w:tl2br w:val="nil"/>
                    <w:tr2bl w:val="nil"/>
                  </w:tcBorders>
                  <w:shd w:val="clear" w:color="auto" w:fill="auto"/>
                  <w:noWrap w:val="0"/>
                  <w:vAlign w:val="center"/>
                </w:tcPr>
                <w:p w14:paraId="411524A0">
                  <w:pPr>
                    <w:pStyle w:val="41"/>
                    <w:bidi w:val="0"/>
                    <w:jc w:val="center"/>
                    <w:rPr>
                      <w:rFonts w:hint="default"/>
                      <w:lang w:val="en-US" w:eastAsia="zh-CN"/>
                    </w:rPr>
                  </w:pPr>
                  <w:r>
                    <w:rPr>
                      <w:rFonts w:hint="eastAsia"/>
                    </w:rPr>
                    <w:t>5.25</w:t>
                  </w:r>
                </w:p>
              </w:tc>
              <w:tc>
                <w:tcPr>
                  <w:tcW w:w="796" w:type="dxa"/>
                  <w:tcBorders>
                    <w:tl2br w:val="nil"/>
                    <w:tr2bl w:val="nil"/>
                  </w:tcBorders>
                  <w:shd w:val="clear" w:color="auto" w:fill="auto"/>
                  <w:noWrap w:val="0"/>
                  <w:vAlign w:val="center"/>
                </w:tcPr>
                <w:p w14:paraId="648EBDC1">
                  <w:pPr>
                    <w:pStyle w:val="41"/>
                    <w:bidi w:val="0"/>
                    <w:jc w:val="center"/>
                    <w:rPr>
                      <w:rFonts w:hint="eastAsia"/>
                      <w:lang w:val="en-US" w:eastAsia="zh-CN"/>
                    </w:rPr>
                  </w:pPr>
                  <w:r>
                    <w:rPr>
                      <w:rFonts w:hint="eastAsia"/>
                    </w:rPr>
                    <w:t>5.25</w:t>
                  </w:r>
                </w:p>
              </w:tc>
              <w:tc>
                <w:tcPr>
                  <w:tcW w:w="796" w:type="dxa"/>
                  <w:tcBorders>
                    <w:tl2br w:val="nil"/>
                    <w:tr2bl w:val="nil"/>
                  </w:tcBorders>
                  <w:noWrap w:val="0"/>
                  <w:vAlign w:val="center"/>
                </w:tcPr>
                <w:p w14:paraId="08CD01C4">
                  <w:pPr>
                    <w:pStyle w:val="41"/>
                    <w:bidi w:val="0"/>
                    <w:jc w:val="center"/>
                    <w:rPr>
                      <w:rFonts w:hint="eastAsia"/>
                      <w:lang w:val="en-US" w:eastAsia="zh-CN"/>
                    </w:rPr>
                  </w:pPr>
                  <w:r>
                    <w:rPr>
                      <w:rFonts w:hint="eastAsia"/>
                      <w:lang w:val="en-US" w:eastAsia="zh-CN"/>
                    </w:rPr>
                    <w:t>0.05</w:t>
                  </w:r>
                </w:p>
              </w:tc>
              <w:tc>
                <w:tcPr>
                  <w:tcW w:w="899" w:type="dxa"/>
                  <w:tcBorders>
                    <w:tl2br w:val="nil"/>
                    <w:tr2bl w:val="nil"/>
                  </w:tcBorders>
                  <w:noWrap w:val="0"/>
                  <w:vAlign w:val="center"/>
                </w:tcPr>
                <w:p w14:paraId="2B8D5919">
                  <w:pPr>
                    <w:pStyle w:val="41"/>
                    <w:bidi w:val="0"/>
                    <w:jc w:val="center"/>
                    <w:rPr>
                      <w:rFonts w:hint="default"/>
                      <w:lang w:val="en-US" w:eastAsia="zh-CN"/>
                    </w:rPr>
                  </w:pPr>
                  <w:r>
                    <w:rPr>
                      <w:rFonts w:hint="eastAsia"/>
                      <w:lang w:val="en-US" w:eastAsia="zh-CN"/>
                    </w:rPr>
                    <w:t>0</w:t>
                  </w:r>
                </w:p>
              </w:tc>
              <w:tc>
                <w:tcPr>
                  <w:tcW w:w="1004" w:type="dxa"/>
                  <w:tcBorders>
                    <w:tl2br w:val="nil"/>
                    <w:tr2bl w:val="nil"/>
                  </w:tcBorders>
                  <w:shd w:val="clear" w:color="auto" w:fill="auto"/>
                  <w:noWrap w:val="0"/>
                  <w:vAlign w:val="center"/>
                </w:tcPr>
                <w:p w14:paraId="19EF9E6F">
                  <w:pPr>
                    <w:pStyle w:val="41"/>
                    <w:bidi w:val="0"/>
                    <w:jc w:val="center"/>
                    <w:rPr>
                      <w:rFonts w:hint="eastAsia"/>
                      <w:lang w:val="en-US" w:eastAsia="zh-CN"/>
                    </w:rPr>
                  </w:pPr>
                  <w:r>
                    <w:rPr>
                      <w:rFonts w:hint="eastAsia"/>
                    </w:rPr>
                    <w:t>10.55</w:t>
                  </w:r>
                </w:p>
              </w:tc>
            </w:tr>
            <w:tr w14:paraId="394483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7A687EF6">
                  <w:pPr>
                    <w:pStyle w:val="41"/>
                    <w:bidi w:val="0"/>
                    <w:jc w:val="center"/>
                  </w:pPr>
                </w:p>
              </w:tc>
              <w:tc>
                <w:tcPr>
                  <w:tcW w:w="2184" w:type="dxa"/>
                  <w:tcBorders>
                    <w:tl2br w:val="nil"/>
                    <w:tr2bl w:val="nil"/>
                  </w:tcBorders>
                  <w:noWrap w:val="0"/>
                  <w:vAlign w:val="center"/>
                </w:tcPr>
                <w:p w14:paraId="483F145D">
                  <w:pPr>
                    <w:pStyle w:val="41"/>
                    <w:bidi w:val="0"/>
                    <w:jc w:val="center"/>
                    <w:rPr>
                      <w:rFonts w:hint="default"/>
                      <w:lang w:val="en-US" w:eastAsia="zh-CN"/>
                    </w:rPr>
                  </w:pPr>
                  <w:r>
                    <w:rPr>
                      <w:rFonts w:hint="eastAsia"/>
                      <w:lang w:val="en-US" w:eastAsia="zh-CN"/>
                    </w:rPr>
                    <w:t>废过滤器</w:t>
                  </w:r>
                </w:p>
              </w:tc>
              <w:tc>
                <w:tcPr>
                  <w:tcW w:w="796" w:type="dxa"/>
                  <w:tcBorders>
                    <w:tl2br w:val="nil"/>
                    <w:tr2bl w:val="nil"/>
                  </w:tcBorders>
                  <w:shd w:val="clear" w:color="auto" w:fill="auto"/>
                  <w:noWrap w:val="0"/>
                  <w:vAlign w:val="center"/>
                </w:tcPr>
                <w:p w14:paraId="4452E622">
                  <w:pPr>
                    <w:pStyle w:val="41"/>
                    <w:bidi w:val="0"/>
                    <w:jc w:val="center"/>
                    <w:rPr>
                      <w:rFonts w:hint="eastAsia"/>
                      <w:lang w:val="en-US" w:eastAsia="zh-CN"/>
                    </w:rPr>
                  </w:pPr>
                  <w:r>
                    <w:rPr>
                      <w:rFonts w:hint="eastAsia"/>
                    </w:rPr>
                    <w:t>0</w:t>
                  </w:r>
                </w:p>
              </w:tc>
              <w:tc>
                <w:tcPr>
                  <w:tcW w:w="796" w:type="dxa"/>
                  <w:tcBorders>
                    <w:tl2br w:val="nil"/>
                    <w:tr2bl w:val="nil"/>
                  </w:tcBorders>
                  <w:shd w:val="clear" w:color="auto" w:fill="auto"/>
                  <w:noWrap w:val="0"/>
                  <w:vAlign w:val="center"/>
                </w:tcPr>
                <w:p w14:paraId="28364ED5">
                  <w:pPr>
                    <w:pStyle w:val="41"/>
                    <w:bidi w:val="0"/>
                    <w:jc w:val="center"/>
                    <w:rPr>
                      <w:rFonts w:hint="eastAsia"/>
                      <w:lang w:val="en-US" w:eastAsia="zh-CN"/>
                    </w:rPr>
                  </w:pPr>
                  <w:r>
                    <w:rPr>
                      <w:rFonts w:hint="eastAsia"/>
                    </w:rPr>
                    <w:t>0</w:t>
                  </w:r>
                </w:p>
              </w:tc>
              <w:tc>
                <w:tcPr>
                  <w:tcW w:w="796" w:type="dxa"/>
                  <w:tcBorders>
                    <w:tl2br w:val="nil"/>
                    <w:tr2bl w:val="nil"/>
                  </w:tcBorders>
                  <w:noWrap w:val="0"/>
                  <w:vAlign w:val="center"/>
                </w:tcPr>
                <w:p w14:paraId="44B36281">
                  <w:pPr>
                    <w:pStyle w:val="41"/>
                    <w:bidi w:val="0"/>
                    <w:jc w:val="center"/>
                    <w:rPr>
                      <w:rFonts w:hint="eastAsia"/>
                      <w:lang w:val="en-US" w:eastAsia="zh-CN"/>
                    </w:rPr>
                  </w:pPr>
                  <w:r>
                    <w:rPr>
                      <w:rFonts w:hint="eastAsia"/>
                      <w:lang w:val="en-US" w:eastAsia="zh-CN"/>
                    </w:rPr>
                    <w:t>0</w:t>
                  </w:r>
                </w:p>
              </w:tc>
              <w:tc>
                <w:tcPr>
                  <w:tcW w:w="899" w:type="dxa"/>
                  <w:tcBorders>
                    <w:tl2br w:val="nil"/>
                    <w:tr2bl w:val="nil"/>
                  </w:tcBorders>
                  <w:noWrap w:val="0"/>
                  <w:vAlign w:val="center"/>
                </w:tcPr>
                <w:p w14:paraId="7E0623E6">
                  <w:pPr>
                    <w:pStyle w:val="41"/>
                    <w:bidi w:val="0"/>
                    <w:jc w:val="center"/>
                    <w:rPr>
                      <w:rFonts w:hint="eastAsia"/>
                      <w:lang w:val="en-US" w:eastAsia="zh-CN"/>
                    </w:rPr>
                  </w:pPr>
                  <w:r>
                    <w:rPr>
                      <w:rFonts w:hint="eastAsia"/>
                      <w:lang w:val="en-US" w:eastAsia="zh-CN"/>
                    </w:rPr>
                    <w:t>0.07</w:t>
                  </w:r>
                </w:p>
              </w:tc>
              <w:tc>
                <w:tcPr>
                  <w:tcW w:w="1004" w:type="dxa"/>
                  <w:tcBorders>
                    <w:tl2br w:val="nil"/>
                    <w:tr2bl w:val="nil"/>
                  </w:tcBorders>
                  <w:shd w:val="clear" w:color="auto" w:fill="auto"/>
                  <w:noWrap w:val="0"/>
                  <w:vAlign w:val="center"/>
                </w:tcPr>
                <w:p w14:paraId="4FE8CFEF">
                  <w:pPr>
                    <w:pStyle w:val="41"/>
                    <w:bidi w:val="0"/>
                    <w:jc w:val="center"/>
                    <w:rPr>
                      <w:rFonts w:hint="eastAsia"/>
                      <w:lang w:val="en-US" w:eastAsia="zh-CN"/>
                    </w:rPr>
                  </w:pPr>
                  <w:r>
                    <w:rPr>
                      <w:rFonts w:hint="eastAsia"/>
                    </w:rPr>
                    <w:t>0.07</w:t>
                  </w:r>
                </w:p>
              </w:tc>
            </w:tr>
            <w:tr w14:paraId="6F9D6D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55765BDF">
                  <w:pPr>
                    <w:pStyle w:val="41"/>
                    <w:bidi w:val="0"/>
                    <w:jc w:val="center"/>
                  </w:pPr>
                </w:p>
              </w:tc>
              <w:tc>
                <w:tcPr>
                  <w:tcW w:w="2184" w:type="dxa"/>
                  <w:tcBorders>
                    <w:tl2br w:val="nil"/>
                    <w:tr2bl w:val="nil"/>
                  </w:tcBorders>
                  <w:noWrap w:val="0"/>
                  <w:vAlign w:val="center"/>
                </w:tcPr>
                <w:p w14:paraId="2B172066">
                  <w:pPr>
                    <w:pStyle w:val="41"/>
                    <w:bidi w:val="0"/>
                    <w:jc w:val="center"/>
                    <w:rPr>
                      <w:rFonts w:hint="default"/>
                      <w:lang w:val="en-US" w:eastAsia="zh-CN"/>
                    </w:rPr>
                  </w:pPr>
                  <w:r>
                    <w:rPr>
                      <w:rFonts w:hint="eastAsia"/>
                      <w:lang w:val="en-US" w:eastAsia="zh-CN"/>
                    </w:rPr>
                    <w:t>污水处理站污泥</w:t>
                  </w:r>
                </w:p>
              </w:tc>
              <w:tc>
                <w:tcPr>
                  <w:tcW w:w="796" w:type="dxa"/>
                  <w:tcBorders>
                    <w:tl2br w:val="nil"/>
                    <w:tr2bl w:val="nil"/>
                  </w:tcBorders>
                  <w:shd w:val="clear" w:color="auto" w:fill="auto"/>
                  <w:noWrap w:val="0"/>
                  <w:vAlign w:val="center"/>
                </w:tcPr>
                <w:p w14:paraId="6335FB64">
                  <w:pPr>
                    <w:pStyle w:val="41"/>
                    <w:bidi w:val="0"/>
                    <w:jc w:val="center"/>
                    <w:rPr>
                      <w:rFonts w:hint="default"/>
                      <w:lang w:val="en-US" w:eastAsia="zh-CN"/>
                    </w:rPr>
                  </w:pPr>
                  <w:r>
                    <w:rPr>
                      <w:rFonts w:hint="eastAsia"/>
                    </w:rPr>
                    <w:t>0.5</w:t>
                  </w:r>
                </w:p>
              </w:tc>
              <w:tc>
                <w:tcPr>
                  <w:tcW w:w="796" w:type="dxa"/>
                  <w:tcBorders>
                    <w:tl2br w:val="nil"/>
                    <w:tr2bl w:val="nil"/>
                  </w:tcBorders>
                  <w:shd w:val="clear" w:color="auto" w:fill="auto"/>
                  <w:noWrap w:val="0"/>
                  <w:vAlign w:val="center"/>
                </w:tcPr>
                <w:p w14:paraId="6E0AF206">
                  <w:pPr>
                    <w:pStyle w:val="41"/>
                    <w:bidi w:val="0"/>
                    <w:jc w:val="center"/>
                    <w:rPr>
                      <w:rFonts w:hint="eastAsia"/>
                      <w:lang w:val="en-US" w:eastAsia="zh-CN"/>
                    </w:rPr>
                  </w:pPr>
                  <w:r>
                    <w:rPr>
                      <w:rFonts w:hint="eastAsia"/>
                    </w:rPr>
                    <w:t>0.5</w:t>
                  </w:r>
                </w:p>
              </w:tc>
              <w:tc>
                <w:tcPr>
                  <w:tcW w:w="796" w:type="dxa"/>
                  <w:tcBorders>
                    <w:tl2br w:val="nil"/>
                    <w:tr2bl w:val="nil"/>
                  </w:tcBorders>
                  <w:noWrap w:val="0"/>
                  <w:vAlign w:val="center"/>
                </w:tcPr>
                <w:p w14:paraId="2C13B89C">
                  <w:pPr>
                    <w:pStyle w:val="41"/>
                    <w:bidi w:val="0"/>
                    <w:jc w:val="center"/>
                    <w:rPr>
                      <w:rFonts w:hint="default"/>
                      <w:lang w:val="en-US" w:eastAsia="zh-CN"/>
                    </w:rPr>
                  </w:pPr>
                  <w:r>
                    <w:rPr>
                      <w:rFonts w:hint="eastAsia"/>
                      <w:lang w:val="en-US" w:eastAsia="zh-CN"/>
                    </w:rPr>
                    <w:t>0.2</w:t>
                  </w:r>
                </w:p>
              </w:tc>
              <w:tc>
                <w:tcPr>
                  <w:tcW w:w="899" w:type="dxa"/>
                  <w:tcBorders>
                    <w:tl2br w:val="nil"/>
                    <w:tr2bl w:val="nil"/>
                  </w:tcBorders>
                  <w:noWrap w:val="0"/>
                  <w:vAlign w:val="center"/>
                </w:tcPr>
                <w:p w14:paraId="43B6E018">
                  <w:pPr>
                    <w:pStyle w:val="41"/>
                    <w:bidi w:val="0"/>
                    <w:jc w:val="center"/>
                    <w:rPr>
                      <w:rFonts w:hint="default"/>
                      <w:lang w:val="en-US" w:eastAsia="zh-CN"/>
                    </w:rPr>
                  </w:pPr>
                  <w:r>
                    <w:rPr>
                      <w:rFonts w:hint="eastAsia"/>
                      <w:lang w:val="en-US" w:eastAsia="zh-CN"/>
                    </w:rPr>
                    <w:t>0</w:t>
                  </w:r>
                </w:p>
              </w:tc>
              <w:tc>
                <w:tcPr>
                  <w:tcW w:w="1004" w:type="dxa"/>
                  <w:tcBorders>
                    <w:tl2br w:val="nil"/>
                    <w:tr2bl w:val="nil"/>
                  </w:tcBorders>
                  <w:shd w:val="clear" w:color="auto" w:fill="auto"/>
                  <w:noWrap w:val="0"/>
                  <w:vAlign w:val="center"/>
                </w:tcPr>
                <w:p w14:paraId="0C426D2E">
                  <w:pPr>
                    <w:pStyle w:val="41"/>
                    <w:bidi w:val="0"/>
                    <w:jc w:val="center"/>
                    <w:rPr>
                      <w:rFonts w:hint="eastAsia"/>
                      <w:lang w:val="en-US" w:eastAsia="zh-CN"/>
                    </w:rPr>
                  </w:pPr>
                  <w:r>
                    <w:rPr>
                      <w:rFonts w:hint="eastAsia"/>
                    </w:rPr>
                    <w:t>1.2</w:t>
                  </w:r>
                </w:p>
              </w:tc>
            </w:tr>
            <w:tr w14:paraId="1565E2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vMerge w:val="continue"/>
                  <w:tcBorders>
                    <w:tl2br w:val="nil"/>
                    <w:tr2bl w:val="nil"/>
                  </w:tcBorders>
                  <w:noWrap w:val="0"/>
                  <w:vAlign w:val="center"/>
                </w:tcPr>
                <w:p w14:paraId="0921D645">
                  <w:pPr>
                    <w:pStyle w:val="41"/>
                    <w:bidi w:val="0"/>
                    <w:jc w:val="center"/>
                  </w:pPr>
                </w:p>
              </w:tc>
              <w:tc>
                <w:tcPr>
                  <w:tcW w:w="2184" w:type="dxa"/>
                  <w:tcBorders>
                    <w:tl2br w:val="nil"/>
                    <w:tr2bl w:val="nil"/>
                  </w:tcBorders>
                  <w:noWrap w:val="0"/>
                  <w:vAlign w:val="center"/>
                </w:tcPr>
                <w:p w14:paraId="1D3C1868">
                  <w:pPr>
                    <w:pStyle w:val="41"/>
                    <w:bidi w:val="0"/>
                    <w:jc w:val="center"/>
                    <w:rPr>
                      <w:rFonts w:hint="default"/>
                      <w:lang w:val="en-US" w:eastAsia="zh-CN"/>
                    </w:rPr>
                  </w:pPr>
                  <w:r>
                    <w:rPr>
                      <w:rFonts w:hint="eastAsia"/>
                      <w:lang w:val="en-US" w:eastAsia="zh-CN"/>
                    </w:rPr>
                    <w:t>废活性炭</w:t>
                  </w:r>
                </w:p>
              </w:tc>
              <w:tc>
                <w:tcPr>
                  <w:tcW w:w="796" w:type="dxa"/>
                  <w:tcBorders>
                    <w:tl2br w:val="nil"/>
                    <w:tr2bl w:val="nil"/>
                  </w:tcBorders>
                  <w:shd w:val="clear" w:color="auto" w:fill="auto"/>
                  <w:noWrap w:val="0"/>
                  <w:vAlign w:val="center"/>
                </w:tcPr>
                <w:p w14:paraId="79E19014">
                  <w:pPr>
                    <w:pStyle w:val="41"/>
                    <w:bidi w:val="0"/>
                    <w:jc w:val="center"/>
                    <w:rPr>
                      <w:rFonts w:hint="eastAsia"/>
                      <w:lang w:val="en-US" w:eastAsia="zh-CN"/>
                    </w:rPr>
                  </w:pPr>
                  <w:r>
                    <w:rPr>
                      <w:rFonts w:hint="eastAsia"/>
                    </w:rPr>
                    <w:t>1.5</w:t>
                  </w:r>
                </w:p>
              </w:tc>
              <w:tc>
                <w:tcPr>
                  <w:tcW w:w="796" w:type="dxa"/>
                  <w:tcBorders>
                    <w:tl2br w:val="nil"/>
                    <w:tr2bl w:val="nil"/>
                  </w:tcBorders>
                  <w:shd w:val="clear" w:color="auto" w:fill="auto"/>
                  <w:noWrap w:val="0"/>
                  <w:vAlign w:val="center"/>
                </w:tcPr>
                <w:p w14:paraId="3FB4C311">
                  <w:pPr>
                    <w:pStyle w:val="41"/>
                    <w:bidi w:val="0"/>
                    <w:jc w:val="center"/>
                    <w:rPr>
                      <w:rFonts w:hint="default"/>
                      <w:lang w:val="en-US" w:eastAsia="zh-CN"/>
                    </w:rPr>
                  </w:pPr>
                  <w:r>
                    <w:rPr>
                      <w:rFonts w:hint="eastAsia"/>
                    </w:rPr>
                    <w:t>1.5</w:t>
                  </w:r>
                </w:p>
              </w:tc>
              <w:tc>
                <w:tcPr>
                  <w:tcW w:w="796" w:type="dxa"/>
                  <w:tcBorders>
                    <w:tl2br w:val="nil"/>
                    <w:tr2bl w:val="nil"/>
                  </w:tcBorders>
                  <w:noWrap w:val="0"/>
                  <w:vAlign w:val="center"/>
                </w:tcPr>
                <w:p w14:paraId="224B5627">
                  <w:pPr>
                    <w:pStyle w:val="41"/>
                    <w:bidi w:val="0"/>
                    <w:jc w:val="center"/>
                    <w:rPr>
                      <w:rFonts w:hint="eastAsia"/>
                      <w:lang w:val="en-US" w:eastAsia="zh-CN"/>
                    </w:rPr>
                  </w:pPr>
                  <w:r>
                    <w:rPr>
                      <w:rFonts w:hint="eastAsia"/>
                      <w:lang w:val="en-US" w:eastAsia="zh-CN"/>
                    </w:rPr>
                    <w:t>0</w:t>
                  </w:r>
                </w:p>
              </w:tc>
              <w:tc>
                <w:tcPr>
                  <w:tcW w:w="899" w:type="dxa"/>
                  <w:tcBorders>
                    <w:tl2br w:val="nil"/>
                    <w:tr2bl w:val="nil"/>
                  </w:tcBorders>
                  <w:noWrap w:val="0"/>
                  <w:vAlign w:val="center"/>
                </w:tcPr>
                <w:p w14:paraId="45C7A333">
                  <w:pPr>
                    <w:pStyle w:val="41"/>
                    <w:bidi w:val="0"/>
                    <w:jc w:val="center"/>
                    <w:rPr>
                      <w:rFonts w:hint="default"/>
                      <w:lang w:val="en-US" w:eastAsia="zh-CN"/>
                    </w:rPr>
                  </w:pPr>
                  <w:r>
                    <w:rPr>
                      <w:rFonts w:hint="eastAsia"/>
                      <w:lang w:val="en-US" w:eastAsia="zh-CN"/>
                    </w:rPr>
                    <w:t>0</w:t>
                  </w:r>
                </w:p>
              </w:tc>
              <w:tc>
                <w:tcPr>
                  <w:tcW w:w="1004" w:type="dxa"/>
                  <w:tcBorders>
                    <w:tl2br w:val="nil"/>
                    <w:tr2bl w:val="nil"/>
                  </w:tcBorders>
                  <w:shd w:val="clear" w:color="auto" w:fill="auto"/>
                  <w:noWrap w:val="0"/>
                  <w:vAlign w:val="center"/>
                </w:tcPr>
                <w:p w14:paraId="745133E8">
                  <w:pPr>
                    <w:pStyle w:val="41"/>
                    <w:bidi w:val="0"/>
                    <w:jc w:val="center"/>
                    <w:rPr>
                      <w:rFonts w:hint="eastAsia"/>
                      <w:lang w:val="en-US" w:eastAsia="zh-CN"/>
                    </w:rPr>
                  </w:pPr>
                  <w:r>
                    <w:rPr>
                      <w:rFonts w:hint="eastAsia"/>
                    </w:rPr>
                    <w:t>3</w:t>
                  </w:r>
                </w:p>
              </w:tc>
            </w:tr>
            <w:tr w14:paraId="0800AB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381" w:type="dxa"/>
                  <w:tcBorders>
                    <w:tl2br w:val="nil"/>
                    <w:tr2bl w:val="nil"/>
                  </w:tcBorders>
                  <w:noWrap w:val="0"/>
                  <w:vAlign w:val="center"/>
                </w:tcPr>
                <w:p w14:paraId="28FC29EE">
                  <w:pPr>
                    <w:pStyle w:val="41"/>
                    <w:bidi w:val="0"/>
                    <w:jc w:val="center"/>
                    <w:rPr>
                      <w:rFonts w:hint="eastAsia"/>
                      <w:lang w:val="en-US" w:eastAsia="zh-CN"/>
                    </w:rPr>
                  </w:pPr>
                  <w:r>
                    <w:rPr>
                      <w:rFonts w:hint="eastAsia"/>
                      <w:lang w:val="en-US" w:eastAsia="zh-CN"/>
                    </w:rPr>
                    <w:t>/</w:t>
                  </w:r>
                </w:p>
              </w:tc>
              <w:tc>
                <w:tcPr>
                  <w:tcW w:w="2184" w:type="dxa"/>
                  <w:tcBorders>
                    <w:tl2br w:val="nil"/>
                    <w:tr2bl w:val="nil"/>
                  </w:tcBorders>
                  <w:noWrap w:val="0"/>
                  <w:vAlign w:val="center"/>
                </w:tcPr>
                <w:p w14:paraId="5696A9FA">
                  <w:pPr>
                    <w:pStyle w:val="41"/>
                    <w:bidi w:val="0"/>
                    <w:jc w:val="center"/>
                    <w:rPr>
                      <w:rFonts w:hint="default"/>
                      <w:lang w:val="en-US" w:eastAsia="zh-CN"/>
                    </w:rPr>
                  </w:pPr>
                  <w:r>
                    <w:rPr>
                      <w:rFonts w:hint="eastAsia"/>
                    </w:rPr>
                    <w:t>生活垃圾</w:t>
                  </w:r>
                </w:p>
              </w:tc>
              <w:tc>
                <w:tcPr>
                  <w:tcW w:w="796" w:type="dxa"/>
                  <w:tcBorders>
                    <w:tl2br w:val="nil"/>
                    <w:tr2bl w:val="nil"/>
                  </w:tcBorders>
                  <w:shd w:val="clear" w:color="auto" w:fill="auto"/>
                  <w:noWrap w:val="0"/>
                  <w:vAlign w:val="center"/>
                </w:tcPr>
                <w:p w14:paraId="40FB424C">
                  <w:pPr>
                    <w:pStyle w:val="41"/>
                    <w:bidi w:val="0"/>
                    <w:jc w:val="center"/>
                    <w:rPr>
                      <w:rFonts w:hint="eastAsia"/>
                      <w:lang w:val="en-US" w:eastAsia="zh-CN"/>
                    </w:rPr>
                  </w:pPr>
                  <w:r>
                    <w:rPr>
                      <w:rFonts w:hint="eastAsia"/>
                    </w:rPr>
                    <w:t>75</w:t>
                  </w:r>
                </w:p>
              </w:tc>
              <w:tc>
                <w:tcPr>
                  <w:tcW w:w="796" w:type="dxa"/>
                  <w:tcBorders>
                    <w:tl2br w:val="nil"/>
                    <w:tr2bl w:val="nil"/>
                  </w:tcBorders>
                  <w:shd w:val="clear" w:color="auto" w:fill="auto"/>
                  <w:noWrap w:val="0"/>
                  <w:vAlign w:val="center"/>
                </w:tcPr>
                <w:p w14:paraId="6BCC45BC">
                  <w:pPr>
                    <w:pStyle w:val="41"/>
                    <w:bidi w:val="0"/>
                    <w:jc w:val="center"/>
                    <w:rPr>
                      <w:rFonts w:hint="eastAsia"/>
                      <w:lang w:val="en-US" w:eastAsia="zh-CN"/>
                    </w:rPr>
                  </w:pPr>
                  <w:r>
                    <w:rPr>
                      <w:rFonts w:hint="eastAsia"/>
                    </w:rPr>
                    <w:t>75</w:t>
                  </w:r>
                </w:p>
              </w:tc>
              <w:tc>
                <w:tcPr>
                  <w:tcW w:w="796" w:type="dxa"/>
                  <w:tcBorders>
                    <w:tl2br w:val="nil"/>
                    <w:tr2bl w:val="nil"/>
                  </w:tcBorders>
                  <w:noWrap w:val="0"/>
                  <w:vAlign w:val="center"/>
                </w:tcPr>
                <w:p w14:paraId="6A7B1D67">
                  <w:pPr>
                    <w:pStyle w:val="41"/>
                    <w:bidi w:val="0"/>
                    <w:jc w:val="center"/>
                    <w:rPr>
                      <w:rFonts w:hint="eastAsia"/>
                      <w:lang w:val="en-US" w:eastAsia="zh-CN"/>
                    </w:rPr>
                  </w:pPr>
                  <w:r>
                    <w:rPr>
                      <w:rFonts w:hint="eastAsia"/>
                      <w:lang w:val="en-US" w:eastAsia="zh-CN"/>
                    </w:rPr>
                    <w:t>7.5</w:t>
                  </w:r>
                </w:p>
              </w:tc>
              <w:tc>
                <w:tcPr>
                  <w:tcW w:w="899" w:type="dxa"/>
                  <w:tcBorders>
                    <w:tl2br w:val="nil"/>
                    <w:tr2bl w:val="nil"/>
                  </w:tcBorders>
                  <w:noWrap w:val="0"/>
                  <w:vAlign w:val="center"/>
                </w:tcPr>
                <w:p w14:paraId="0D3D2BDD">
                  <w:pPr>
                    <w:pStyle w:val="41"/>
                    <w:bidi w:val="0"/>
                    <w:jc w:val="center"/>
                    <w:rPr>
                      <w:rFonts w:hint="default"/>
                      <w:lang w:val="en-US" w:eastAsia="zh-CN"/>
                    </w:rPr>
                  </w:pPr>
                  <w:r>
                    <w:rPr>
                      <w:rFonts w:hint="eastAsia"/>
                      <w:lang w:val="en-US" w:eastAsia="zh-CN"/>
                    </w:rPr>
                    <w:t>8.82</w:t>
                  </w:r>
                </w:p>
              </w:tc>
              <w:tc>
                <w:tcPr>
                  <w:tcW w:w="1004" w:type="dxa"/>
                  <w:tcBorders>
                    <w:tl2br w:val="nil"/>
                    <w:tr2bl w:val="nil"/>
                  </w:tcBorders>
                  <w:shd w:val="clear" w:color="auto" w:fill="auto"/>
                  <w:noWrap w:val="0"/>
                  <w:vAlign w:val="center"/>
                </w:tcPr>
                <w:p w14:paraId="0AC388A3">
                  <w:pPr>
                    <w:pStyle w:val="41"/>
                    <w:bidi w:val="0"/>
                    <w:jc w:val="center"/>
                    <w:rPr>
                      <w:rFonts w:hint="eastAsia"/>
                      <w:lang w:val="en-US" w:eastAsia="zh-CN"/>
                    </w:rPr>
                  </w:pPr>
                  <w:r>
                    <w:rPr>
                      <w:rFonts w:hint="eastAsia"/>
                    </w:rPr>
                    <w:t>166.32</w:t>
                  </w:r>
                </w:p>
              </w:tc>
            </w:tr>
          </w:tbl>
          <w:p w14:paraId="1F145821">
            <w:pPr>
              <w:pStyle w:val="41"/>
              <w:bidi w:val="0"/>
              <w:rPr>
                <w:rFonts w:hint="eastAsia"/>
              </w:rPr>
            </w:pPr>
          </w:p>
          <w:p w14:paraId="15E37197">
            <w:pPr>
              <w:pStyle w:val="44"/>
              <w:bidi w:val="0"/>
              <w:rPr>
                <w:rFonts w:hint="eastAsia"/>
              </w:rPr>
            </w:pPr>
            <w:r>
              <w:rPr>
                <w:rFonts w:hint="eastAsia"/>
                <w:lang w:val="en-US" w:eastAsia="zh-CN"/>
              </w:rPr>
              <w:t>搬迁后厂区内现有各建筑污染物排放量汇总表</w:t>
            </w:r>
          </w:p>
          <w:tbl>
            <w:tblPr>
              <w:tblStyle w:val="32"/>
              <w:tblW w:w="49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1020"/>
              <w:gridCol w:w="2129"/>
              <w:gridCol w:w="905"/>
              <w:gridCol w:w="944"/>
              <w:gridCol w:w="853"/>
              <w:gridCol w:w="842"/>
              <w:gridCol w:w="958"/>
            </w:tblGrid>
            <w:tr w14:paraId="615EA7F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667" w:type="pct"/>
                  <w:vMerge w:val="restart"/>
                  <w:tcBorders>
                    <w:tl2br w:val="nil"/>
                    <w:tr2bl w:val="nil"/>
                  </w:tcBorders>
                  <w:shd w:val="clear" w:color="auto" w:fill="auto"/>
                  <w:vAlign w:val="center"/>
                </w:tcPr>
                <w:p w14:paraId="36FDCB80">
                  <w:pPr>
                    <w:pStyle w:val="41"/>
                    <w:bidi w:val="0"/>
                    <w:rPr>
                      <w:rFonts w:hint="eastAsia"/>
                      <w:b/>
                      <w:bCs/>
                    </w:rPr>
                  </w:pPr>
                  <w:r>
                    <w:rPr>
                      <w:rFonts w:hint="eastAsia"/>
                      <w:b/>
                      <w:bCs/>
                      <w:lang w:val="en-US" w:eastAsia="zh-CN"/>
                    </w:rPr>
                    <w:t>污染物种类</w:t>
                  </w:r>
                </w:p>
              </w:tc>
              <w:tc>
                <w:tcPr>
                  <w:tcW w:w="1391" w:type="pct"/>
                  <w:vMerge w:val="restart"/>
                  <w:tcBorders>
                    <w:tl2br w:val="nil"/>
                    <w:tr2bl w:val="nil"/>
                  </w:tcBorders>
                  <w:shd w:val="clear" w:color="auto" w:fill="auto"/>
                  <w:vAlign w:val="center"/>
                </w:tcPr>
                <w:p w14:paraId="08A2BDB4">
                  <w:pPr>
                    <w:pStyle w:val="41"/>
                    <w:bidi w:val="0"/>
                    <w:rPr>
                      <w:rFonts w:hint="eastAsia"/>
                      <w:b/>
                      <w:bCs/>
                    </w:rPr>
                  </w:pPr>
                  <w:r>
                    <w:rPr>
                      <w:rFonts w:hint="eastAsia"/>
                      <w:b/>
                      <w:bCs/>
                      <w:lang w:val="en-US" w:eastAsia="zh-CN"/>
                    </w:rPr>
                    <w:t>污染物名称</w:t>
                  </w:r>
                </w:p>
              </w:tc>
              <w:tc>
                <w:tcPr>
                  <w:tcW w:w="2941" w:type="pct"/>
                  <w:gridSpan w:val="5"/>
                  <w:tcBorders>
                    <w:tl2br w:val="nil"/>
                    <w:tr2bl w:val="nil"/>
                  </w:tcBorders>
                  <w:shd w:val="clear" w:color="auto" w:fill="auto"/>
                  <w:vAlign w:val="center"/>
                </w:tcPr>
                <w:p w14:paraId="298F6289">
                  <w:pPr>
                    <w:pStyle w:val="41"/>
                    <w:bidi w:val="0"/>
                    <w:rPr>
                      <w:rFonts w:hint="eastAsia"/>
                      <w:b/>
                      <w:bCs/>
                    </w:rPr>
                  </w:pPr>
                  <w:r>
                    <w:rPr>
                      <w:rFonts w:hint="eastAsia"/>
                      <w:b/>
                      <w:bCs/>
                      <w:lang w:val="en-US" w:eastAsia="zh-CN"/>
                    </w:rPr>
                    <w:t>排放量（</w:t>
                  </w:r>
                  <w:r>
                    <w:rPr>
                      <w:rFonts w:hint="default"/>
                      <w:b/>
                      <w:bCs/>
                      <w:lang w:val="en-US" w:eastAsia="zh-CN"/>
                    </w:rPr>
                    <w:t>t/a</w:t>
                  </w:r>
                  <w:r>
                    <w:rPr>
                      <w:rFonts w:hint="eastAsia"/>
                      <w:b/>
                      <w:bCs/>
                      <w:lang w:val="en-US" w:eastAsia="zh-CN"/>
                    </w:rPr>
                    <w:t>）</w:t>
                  </w:r>
                </w:p>
              </w:tc>
            </w:tr>
            <w:tr w14:paraId="6250281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32475F4A">
                  <w:pPr>
                    <w:pStyle w:val="41"/>
                    <w:bidi w:val="0"/>
                    <w:rPr>
                      <w:rFonts w:hint="eastAsia"/>
                      <w:b/>
                      <w:bCs/>
                    </w:rPr>
                  </w:pPr>
                </w:p>
              </w:tc>
              <w:tc>
                <w:tcPr>
                  <w:tcW w:w="1391" w:type="pct"/>
                  <w:vMerge w:val="continue"/>
                  <w:tcBorders>
                    <w:tl2br w:val="nil"/>
                    <w:tr2bl w:val="nil"/>
                  </w:tcBorders>
                  <w:shd w:val="clear" w:color="auto" w:fill="auto"/>
                  <w:vAlign w:val="center"/>
                </w:tcPr>
                <w:p w14:paraId="39F3E25C">
                  <w:pPr>
                    <w:pStyle w:val="41"/>
                    <w:bidi w:val="0"/>
                    <w:rPr>
                      <w:rFonts w:hint="eastAsia"/>
                      <w:b/>
                      <w:bCs/>
                    </w:rPr>
                  </w:pPr>
                </w:p>
              </w:tc>
              <w:tc>
                <w:tcPr>
                  <w:tcW w:w="591" w:type="pct"/>
                  <w:tcBorders>
                    <w:tl2br w:val="nil"/>
                    <w:tr2bl w:val="nil"/>
                  </w:tcBorders>
                  <w:shd w:val="clear" w:color="auto" w:fill="auto"/>
                  <w:vAlign w:val="center"/>
                </w:tcPr>
                <w:p w14:paraId="3C8185BE">
                  <w:pPr>
                    <w:pStyle w:val="41"/>
                    <w:bidi w:val="0"/>
                    <w:rPr>
                      <w:rFonts w:hint="default"/>
                      <w:b/>
                      <w:bCs/>
                    </w:rPr>
                  </w:pPr>
                  <w:r>
                    <w:rPr>
                      <w:rFonts w:hint="default"/>
                      <w:b/>
                      <w:bCs/>
                      <w:lang w:val="en-US" w:eastAsia="zh-CN"/>
                    </w:rPr>
                    <w:t>5</w:t>
                  </w:r>
                  <w:r>
                    <w:rPr>
                      <w:rFonts w:hint="eastAsia"/>
                      <w:b/>
                      <w:bCs/>
                      <w:lang w:val="en-US" w:eastAsia="zh-CN"/>
                    </w:rPr>
                    <w:t>号楼</w:t>
                  </w:r>
                </w:p>
              </w:tc>
              <w:tc>
                <w:tcPr>
                  <w:tcW w:w="617" w:type="pct"/>
                  <w:tcBorders>
                    <w:tl2br w:val="nil"/>
                    <w:tr2bl w:val="nil"/>
                  </w:tcBorders>
                  <w:shd w:val="clear" w:color="auto" w:fill="auto"/>
                  <w:vAlign w:val="center"/>
                </w:tcPr>
                <w:p w14:paraId="570623C9">
                  <w:pPr>
                    <w:pStyle w:val="41"/>
                    <w:bidi w:val="0"/>
                    <w:rPr>
                      <w:rFonts w:hint="default"/>
                      <w:b/>
                      <w:bCs/>
                    </w:rPr>
                  </w:pPr>
                  <w:r>
                    <w:rPr>
                      <w:rFonts w:hint="default"/>
                      <w:b/>
                      <w:bCs/>
                      <w:lang w:val="en-US" w:eastAsia="zh-CN"/>
                    </w:rPr>
                    <w:t>7</w:t>
                  </w:r>
                  <w:r>
                    <w:rPr>
                      <w:rFonts w:hint="eastAsia"/>
                      <w:b/>
                      <w:bCs/>
                      <w:lang w:val="en-US" w:eastAsia="zh-CN"/>
                    </w:rPr>
                    <w:t>号楼</w:t>
                  </w:r>
                </w:p>
              </w:tc>
              <w:tc>
                <w:tcPr>
                  <w:tcW w:w="557" w:type="pct"/>
                  <w:tcBorders>
                    <w:tl2br w:val="nil"/>
                    <w:tr2bl w:val="nil"/>
                  </w:tcBorders>
                  <w:shd w:val="clear" w:color="auto" w:fill="auto"/>
                  <w:vAlign w:val="center"/>
                </w:tcPr>
                <w:p w14:paraId="3EF95A36">
                  <w:pPr>
                    <w:pStyle w:val="41"/>
                    <w:bidi w:val="0"/>
                    <w:rPr>
                      <w:rFonts w:hint="default"/>
                      <w:b/>
                      <w:bCs/>
                    </w:rPr>
                  </w:pPr>
                  <w:r>
                    <w:rPr>
                      <w:rFonts w:hint="default"/>
                      <w:b/>
                      <w:bCs/>
                      <w:lang w:val="en-US" w:eastAsia="zh-CN"/>
                    </w:rPr>
                    <w:t>6</w:t>
                  </w:r>
                  <w:r>
                    <w:rPr>
                      <w:rFonts w:hint="eastAsia"/>
                      <w:b/>
                      <w:bCs/>
                      <w:lang w:val="en-US" w:eastAsia="zh-CN"/>
                    </w:rPr>
                    <w:t>号楼</w:t>
                  </w:r>
                </w:p>
              </w:tc>
              <w:tc>
                <w:tcPr>
                  <w:tcW w:w="550" w:type="pct"/>
                  <w:tcBorders>
                    <w:tl2br w:val="nil"/>
                    <w:tr2bl w:val="nil"/>
                  </w:tcBorders>
                  <w:shd w:val="clear" w:color="auto" w:fill="auto"/>
                  <w:vAlign w:val="center"/>
                </w:tcPr>
                <w:p w14:paraId="4986B382">
                  <w:pPr>
                    <w:pStyle w:val="41"/>
                    <w:bidi w:val="0"/>
                    <w:rPr>
                      <w:rFonts w:hint="default"/>
                      <w:b/>
                      <w:bCs/>
                    </w:rPr>
                  </w:pPr>
                  <w:r>
                    <w:rPr>
                      <w:rFonts w:hint="default"/>
                      <w:b/>
                      <w:bCs/>
                      <w:lang w:val="en-US" w:eastAsia="zh-CN"/>
                    </w:rPr>
                    <w:t>3</w:t>
                  </w:r>
                  <w:r>
                    <w:rPr>
                      <w:rFonts w:hint="eastAsia"/>
                      <w:b/>
                      <w:bCs/>
                      <w:lang w:val="en-US" w:eastAsia="zh-CN"/>
                    </w:rPr>
                    <w:t>号楼</w:t>
                  </w:r>
                </w:p>
              </w:tc>
              <w:tc>
                <w:tcPr>
                  <w:tcW w:w="624" w:type="pct"/>
                  <w:tcBorders>
                    <w:tl2br w:val="nil"/>
                    <w:tr2bl w:val="nil"/>
                  </w:tcBorders>
                  <w:shd w:val="clear" w:color="auto" w:fill="auto"/>
                  <w:vAlign w:val="center"/>
                </w:tcPr>
                <w:p w14:paraId="7D7F0529">
                  <w:pPr>
                    <w:pStyle w:val="41"/>
                    <w:bidi w:val="0"/>
                    <w:rPr>
                      <w:rFonts w:hint="eastAsia"/>
                      <w:b/>
                      <w:bCs/>
                    </w:rPr>
                  </w:pPr>
                  <w:r>
                    <w:rPr>
                      <w:rFonts w:hint="eastAsia"/>
                      <w:b/>
                      <w:bCs/>
                      <w:lang w:val="en-US" w:eastAsia="zh-CN"/>
                    </w:rPr>
                    <w:t>合计</w:t>
                  </w:r>
                </w:p>
              </w:tc>
            </w:tr>
            <w:tr w14:paraId="4931FC3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restart"/>
                  <w:tcBorders>
                    <w:tl2br w:val="nil"/>
                    <w:tr2bl w:val="nil"/>
                  </w:tcBorders>
                  <w:shd w:val="clear" w:color="auto" w:fill="auto"/>
                  <w:vAlign w:val="center"/>
                </w:tcPr>
                <w:p w14:paraId="262F061E">
                  <w:pPr>
                    <w:pStyle w:val="41"/>
                    <w:bidi w:val="0"/>
                    <w:rPr>
                      <w:rFonts w:hint="eastAsia"/>
                    </w:rPr>
                  </w:pPr>
                  <w:r>
                    <w:rPr>
                      <w:rFonts w:hint="eastAsia"/>
                      <w:lang w:val="en-US" w:eastAsia="zh-CN"/>
                    </w:rPr>
                    <w:t>废水</w:t>
                  </w:r>
                </w:p>
              </w:tc>
              <w:tc>
                <w:tcPr>
                  <w:tcW w:w="1391" w:type="pct"/>
                  <w:tcBorders>
                    <w:tl2br w:val="nil"/>
                    <w:tr2bl w:val="nil"/>
                  </w:tcBorders>
                  <w:shd w:val="clear" w:color="auto" w:fill="auto"/>
                  <w:vAlign w:val="center"/>
                </w:tcPr>
                <w:p w14:paraId="47FD9C84">
                  <w:pPr>
                    <w:pStyle w:val="41"/>
                    <w:bidi w:val="0"/>
                    <w:rPr>
                      <w:rFonts w:hint="eastAsia"/>
                    </w:rPr>
                  </w:pPr>
                  <w:r>
                    <w:rPr>
                      <w:rFonts w:hint="eastAsia"/>
                      <w:lang w:val="en-US" w:eastAsia="zh-CN"/>
                    </w:rPr>
                    <w:t>废水量</w:t>
                  </w:r>
                </w:p>
              </w:tc>
              <w:tc>
                <w:tcPr>
                  <w:tcW w:w="591" w:type="pct"/>
                  <w:tcBorders>
                    <w:tl2br w:val="nil"/>
                    <w:tr2bl w:val="nil"/>
                  </w:tcBorders>
                  <w:shd w:val="clear" w:color="auto" w:fill="auto"/>
                  <w:vAlign w:val="center"/>
                </w:tcPr>
                <w:p w14:paraId="4868A225">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52DAC2D9">
                  <w:pPr>
                    <w:pStyle w:val="41"/>
                    <w:bidi w:val="0"/>
                    <w:rPr>
                      <w:rFonts w:hint="default"/>
                    </w:rPr>
                  </w:pPr>
                  <w:r>
                    <w:rPr>
                      <w:rFonts w:hint="default"/>
                      <w:lang w:val="en-US" w:eastAsia="zh-CN"/>
                    </w:rPr>
                    <w:t>13875</w:t>
                  </w:r>
                </w:p>
              </w:tc>
              <w:tc>
                <w:tcPr>
                  <w:tcW w:w="557" w:type="pct"/>
                  <w:tcBorders>
                    <w:tl2br w:val="nil"/>
                    <w:tr2bl w:val="nil"/>
                  </w:tcBorders>
                  <w:shd w:val="clear" w:color="auto" w:fill="auto"/>
                  <w:vAlign w:val="center"/>
                </w:tcPr>
                <w:p w14:paraId="21D12431">
                  <w:pPr>
                    <w:pStyle w:val="41"/>
                    <w:bidi w:val="0"/>
                    <w:rPr>
                      <w:rFonts w:hint="default"/>
                    </w:rPr>
                  </w:pPr>
                  <w:r>
                    <w:rPr>
                      <w:rFonts w:hint="default"/>
                      <w:lang w:val="en-US" w:eastAsia="zh-CN"/>
                    </w:rPr>
                    <w:t>662.1</w:t>
                  </w:r>
                </w:p>
              </w:tc>
              <w:tc>
                <w:tcPr>
                  <w:tcW w:w="550" w:type="pct"/>
                  <w:tcBorders>
                    <w:tl2br w:val="nil"/>
                    <w:tr2bl w:val="nil"/>
                  </w:tcBorders>
                  <w:shd w:val="clear" w:color="auto" w:fill="auto"/>
                  <w:vAlign w:val="center"/>
                </w:tcPr>
                <w:p w14:paraId="3EAC4571">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5CC4FD61">
                  <w:pPr>
                    <w:pStyle w:val="41"/>
                    <w:bidi w:val="0"/>
                    <w:rPr>
                      <w:rFonts w:hint="eastAsia"/>
                    </w:rPr>
                  </w:pPr>
                  <w:r>
                    <w:rPr>
                      <w:rFonts w:hint="eastAsia"/>
                      <w:lang w:val="en-US" w:eastAsia="zh-CN"/>
                    </w:rPr>
                    <w:t>14537.1</w:t>
                  </w:r>
                </w:p>
              </w:tc>
            </w:tr>
            <w:tr w14:paraId="1C1380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73CB5A9E">
                  <w:pPr>
                    <w:pStyle w:val="41"/>
                    <w:bidi w:val="0"/>
                    <w:rPr>
                      <w:rFonts w:hint="eastAsia"/>
                    </w:rPr>
                  </w:pPr>
                </w:p>
              </w:tc>
              <w:tc>
                <w:tcPr>
                  <w:tcW w:w="1391" w:type="pct"/>
                  <w:tcBorders>
                    <w:tl2br w:val="nil"/>
                    <w:tr2bl w:val="nil"/>
                  </w:tcBorders>
                  <w:shd w:val="clear" w:color="auto" w:fill="auto"/>
                  <w:vAlign w:val="center"/>
                </w:tcPr>
                <w:p w14:paraId="0DC51C2D">
                  <w:pPr>
                    <w:pStyle w:val="41"/>
                    <w:bidi w:val="0"/>
                    <w:rPr>
                      <w:rFonts w:hint="default"/>
                    </w:rPr>
                  </w:pPr>
                  <w:r>
                    <w:rPr>
                      <w:rFonts w:hint="default"/>
                      <w:lang w:val="en-US" w:eastAsia="zh-CN"/>
                    </w:rPr>
                    <w:t>COD</w:t>
                  </w:r>
                </w:p>
              </w:tc>
              <w:tc>
                <w:tcPr>
                  <w:tcW w:w="591" w:type="pct"/>
                  <w:tcBorders>
                    <w:tl2br w:val="nil"/>
                    <w:tr2bl w:val="nil"/>
                  </w:tcBorders>
                  <w:shd w:val="clear" w:color="auto" w:fill="auto"/>
                  <w:vAlign w:val="center"/>
                </w:tcPr>
                <w:p w14:paraId="4748748D">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18660D95">
                  <w:pPr>
                    <w:pStyle w:val="41"/>
                    <w:bidi w:val="0"/>
                    <w:rPr>
                      <w:rFonts w:hint="default"/>
                    </w:rPr>
                  </w:pPr>
                  <w:r>
                    <w:rPr>
                      <w:rFonts w:hint="default"/>
                      <w:lang w:val="en-US" w:eastAsia="zh-CN"/>
                    </w:rPr>
                    <w:t>3.83</w:t>
                  </w:r>
                </w:p>
              </w:tc>
              <w:tc>
                <w:tcPr>
                  <w:tcW w:w="557" w:type="pct"/>
                  <w:tcBorders>
                    <w:tl2br w:val="nil"/>
                    <w:tr2bl w:val="nil"/>
                  </w:tcBorders>
                  <w:shd w:val="clear" w:color="auto" w:fill="auto"/>
                  <w:vAlign w:val="center"/>
                </w:tcPr>
                <w:p w14:paraId="4A52BE8B">
                  <w:pPr>
                    <w:pStyle w:val="41"/>
                    <w:bidi w:val="0"/>
                    <w:rPr>
                      <w:rFonts w:hint="default"/>
                    </w:rPr>
                  </w:pPr>
                  <w:r>
                    <w:rPr>
                      <w:rFonts w:hint="default"/>
                      <w:lang w:val="en-US" w:eastAsia="zh-CN"/>
                    </w:rPr>
                    <w:t>0.2422</w:t>
                  </w:r>
                </w:p>
              </w:tc>
              <w:tc>
                <w:tcPr>
                  <w:tcW w:w="550" w:type="pct"/>
                  <w:tcBorders>
                    <w:tl2br w:val="nil"/>
                    <w:tr2bl w:val="nil"/>
                  </w:tcBorders>
                  <w:shd w:val="clear" w:color="auto" w:fill="auto"/>
                  <w:vAlign w:val="center"/>
                </w:tcPr>
                <w:p w14:paraId="2A22085B">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29EB1F20">
                  <w:pPr>
                    <w:pStyle w:val="41"/>
                    <w:bidi w:val="0"/>
                    <w:rPr>
                      <w:rFonts w:hint="eastAsia"/>
                    </w:rPr>
                  </w:pPr>
                  <w:r>
                    <w:rPr>
                      <w:rFonts w:hint="eastAsia"/>
                      <w:lang w:val="en-US" w:eastAsia="zh-CN"/>
                    </w:rPr>
                    <w:t>4.0722</w:t>
                  </w:r>
                </w:p>
              </w:tc>
            </w:tr>
            <w:tr w14:paraId="4B47396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33E6FE52">
                  <w:pPr>
                    <w:pStyle w:val="41"/>
                    <w:bidi w:val="0"/>
                    <w:rPr>
                      <w:rFonts w:hint="eastAsia"/>
                    </w:rPr>
                  </w:pPr>
                </w:p>
              </w:tc>
              <w:tc>
                <w:tcPr>
                  <w:tcW w:w="1391" w:type="pct"/>
                  <w:tcBorders>
                    <w:tl2br w:val="nil"/>
                    <w:tr2bl w:val="nil"/>
                  </w:tcBorders>
                  <w:shd w:val="clear" w:color="auto" w:fill="auto"/>
                  <w:vAlign w:val="center"/>
                </w:tcPr>
                <w:p w14:paraId="0F2835BF">
                  <w:pPr>
                    <w:pStyle w:val="41"/>
                    <w:bidi w:val="0"/>
                    <w:rPr>
                      <w:rFonts w:hint="default"/>
                    </w:rPr>
                  </w:pPr>
                  <w:r>
                    <w:rPr>
                      <w:rFonts w:hint="default"/>
                      <w:lang w:val="en-US" w:eastAsia="zh-CN"/>
                    </w:rPr>
                    <w:t>SS</w:t>
                  </w:r>
                </w:p>
              </w:tc>
              <w:tc>
                <w:tcPr>
                  <w:tcW w:w="591" w:type="pct"/>
                  <w:tcBorders>
                    <w:tl2br w:val="nil"/>
                    <w:tr2bl w:val="nil"/>
                  </w:tcBorders>
                  <w:shd w:val="clear" w:color="auto" w:fill="auto"/>
                  <w:vAlign w:val="center"/>
                </w:tcPr>
                <w:p w14:paraId="00E6FF57">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1D95A03A">
                  <w:pPr>
                    <w:pStyle w:val="41"/>
                    <w:bidi w:val="0"/>
                    <w:rPr>
                      <w:rFonts w:hint="default"/>
                    </w:rPr>
                  </w:pPr>
                  <w:r>
                    <w:rPr>
                      <w:rFonts w:hint="default"/>
                      <w:lang w:val="en-US" w:eastAsia="zh-CN"/>
                    </w:rPr>
                    <w:t>3.115</w:t>
                  </w:r>
                </w:p>
              </w:tc>
              <w:tc>
                <w:tcPr>
                  <w:tcW w:w="557" w:type="pct"/>
                  <w:tcBorders>
                    <w:tl2br w:val="nil"/>
                    <w:tr2bl w:val="nil"/>
                  </w:tcBorders>
                  <w:shd w:val="clear" w:color="auto" w:fill="auto"/>
                  <w:vAlign w:val="center"/>
                </w:tcPr>
                <w:p w14:paraId="3F625144">
                  <w:pPr>
                    <w:pStyle w:val="41"/>
                    <w:bidi w:val="0"/>
                    <w:rPr>
                      <w:rFonts w:hint="default"/>
                    </w:rPr>
                  </w:pPr>
                  <w:r>
                    <w:rPr>
                      <w:rFonts w:hint="default"/>
                      <w:lang w:val="en-US" w:eastAsia="zh-CN"/>
                    </w:rPr>
                    <w:t>0.0926</w:t>
                  </w:r>
                </w:p>
              </w:tc>
              <w:tc>
                <w:tcPr>
                  <w:tcW w:w="550" w:type="pct"/>
                  <w:tcBorders>
                    <w:tl2br w:val="nil"/>
                    <w:tr2bl w:val="nil"/>
                  </w:tcBorders>
                  <w:shd w:val="clear" w:color="auto" w:fill="auto"/>
                  <w:vAlign w:val="center"/>
                </w:tcPr>
                <w:p w14:paraId="7EF3459C">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274F9692">
                  <w:pPr>
                    <w:pStyle w:val="41"/>
                    <w:bidi w:val="0"/>
                    <w:rPr>
                      <w:rFonts w:hint="eastAsia"/>
                    </w:rPr>
                  </w:pPr>
                  <w:r>
                    <w:rPr>
                      <w:rFonts w:hint="eastAsia"/>
                      <w:lang w:val="en-US" w:eastAsia="zh-CN"/>
                    </w:rPr>
                    <w:t>3.2076</w:t>
                  </w:r>
                </w:p>
              </w:tc>
            </w:tr>
            <w:tr w14:paraId="2EFA82A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1115C8BB">
                  <w:pPr>
                    <w:pStyle w:val="41"/>
                    <w:bidi w:val="0"/>
                    <w:rPr>
                      <w:rFonts w:hint="eastAsia"/>
                    </w:rPr>
                  </w:pPr>
                </w:p>
              </w:tc>
              <w:tc>
                <w:tcPr>
                  <w:tcW w:w="1391" w:type="pct"/>
                  <w:tcBorders>
                    <w:tl2br w:val="nil"/>
                    <w:tr2bl w:val="nil"/>
                  </w:tcBorders>
                  <w:shd w:val="clear" w:color="auto" w:fill="auto"/>
                  <w:vAlign w:val="center"/>
                </w:tcPr>
                <w:p w14:paraId="40FCABF7">
                  <w:pPr>
                    <w:pStyle w:val="41"/>
                    <w:bidi w:val="0"/>
                    <w:rPr>
                      <w:rFonts w:hint="default"/>
                    </w:rPr>
                  </w:pPr>
                  <w:r>
                    <w:rPr>
                      <w:rFonts w:hint="default"/>
                      <w:lang w:val="en-US" w:eastAsia="zh-CN"/>
                    </w:rPr>
                    <w:t>NH</w:t>
                  </w:r>
                  <w:r>
                    <w:rPr>
                      <w:rFonts w:hint="default"/>
                      <w:vertAlign w:val="subscript"/>
                      <w:lang w:val="en-US" w:eastAsia="zh-CN"/>
                    </w:rPr>
                    <w:t>3</w:t>
                  </w:r>
                  <w:r>
                    <w:rPr>
                      <w:rFonts w:hint="default"/>
                      <w:lang w:val="en-US" w:eastAsia="zh-CN"/>
                    </w:rPr>
                    <w:t>-N</w:t>
                  </w:r>
                </w:p>
              </w:tc>
              <w:tc>
                <w:tcPr>
                  <w:tcW w:w="591" w:type="pct"/>
                  <w:tcBorders>
                    <w:tl2br w:val="nil"/>
                    <w:tr2bl w:val="nil"/>
                  </w:tcBorders>
                  <w:shd w:val="clear" w:color="auto" w:fill="auto"/>
                  <w:vAlign w:val="center"/>
                </w:tcPr>
                <w:p w14:paraId="68C1E568">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7A76C5CB">
                  <w:pPr>
                    <w:pStyle w:val="41"/>
                    <w:bidi w:val="0"/>
                    <w:rPr>
                      <w:rFonts w:hint="default"/>
                    </w:rPr>
                  </w:pPr>
                  <w:r>
                    <w:rPr>
                      <w:rFonts w:hint="default"/>
                      <w:lang w:val="en-US" w:eastAsia="zh-CN"/>
                    </w:rPr>
                    <w:t>0.355</w:t>
                  </w:r>
                </w:p>
              </w:tc>
              <w:tc>
                <w:tcPr>
                  <w:tcW w:w="557" w:type="pct"/>
                  <w:tcBorders>
                    <w:tl2br w:val="nil"/>
                    <w:tr2bl w:val="nil"/>
                  </w:tcBorders>
                  <w:shd w:val="clear" w:color="auto" w:fill="auto"/>
                  <w:vAlign w:val="center"/>
                </w:tcPr>
                <w:p w14:paraId="2808F949">
                  <w:pPr>
                    <w:pStyle w:val="41"/>
                    <w:bidi w:val="0"/>
                    <w:rPr>
                      <w:rFonts w:hint="default"/>
                    </w:rPr>
                  </w:pPr>
                  <w:r>
                    <w:rPr>
                      <w:rFonts w:hint="default"/>
                      <w:lang w:val="en-US" w:eastAsia="zh-CN"/>
                    </w:rPr>
                    <w:t>0.0159</w:t>
                  </w:r>
                </w:p>
              </w:tc>
              <w:tc>
                <w:tcPr>
                  <w:tcW w:w="550" w:type="pct"/>
                  <w:tcBorders>
                    <w:tl2br w:val="nil"/>
                    <w:tr2bl w:val="nil"/>
                  </w:tcBorders>
                  <w:shd w:val="clear" w:color="auto" w:fill="auto"/>
                  <w:vAlign w:val="center"/>
                </w:tcPr>
                <w:p w14:paraId="1E18FA3F">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6189577B">
                  <w:pPr>
                    <w:pStyle w:val="41"/>
                    <w:bidi w:val="0"/>
                    <w:rPr>
                      <w:rFonts w:hint="eastAsia"/>
                    </w:rPr>
                  </w:pPr>
                  <w:r>
                    <w:rPr>
                      <w:rFonts w:hint="eastAsia"/>
                      <w:lang w:val="en-US" w:eastAsia="zh-CN"/>
                    </w:rPr>
                    <w:t>0.3709</w:t>
                  </w:r>
                </w:p>
              </w:tc>
            </w:tr>
            <w:tr w14:paraId="5F45A68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3" w:hRule="atLeast"/>
              </w:trPr>
              <w:tc>
                <w:tcPr>
                  <w:tcW w:w="667" w:type="pct"/>
                  <w:vMerge w:val="continue"/>
                  <w:tcBorders>
                    <w:tl2br w:val="nil"/>
                    <w:tr2bl w:val="nil"/>
                  </w:tcBorders>
                  <w:shd w:val="clear" w:color="auto" w:fill="auto"/>
                  <w:vAlign w:val="center"/>
                </w:tcPr>
                <w:p w14:paraId="5DA1C4D9">
                  <w:pPr>
                    <w:pStyle w:val="41"/>
                    <w:bidi w:val="0"/>
                    <w:rPr>
                      <w:rFonts w:hint="eastAsia"/>
                    </w:rPr>
                  </w:pPr>
                </w:p>
              </w:tc>
              <w:tc>
                <w:tcPr>
                  <w:tcW w:w="1391" w:type="pct"/>
                  <w:tcBorders>
                    <w:tl2br w:val="nil"/>
                    <w:tr2bl w:val="nil"/>
                  </w:tcBorders>
                  <w:shd w:val="clear" w:color="auto" w:fill="auto"/>
                  <w:vAlign w:val="center"/>
                </w:tcPr>
                <w:p w14:paraId="11C8387D">
                  <w:pPr>
                    <w:pStyle w:val="41"/>
                    <w:bidi w:val="0"/>
                    <w:rPr>
                      <w:rFonts w:hint="default"/>
                    </w:rPr>
                  </w:pPr>
                  <w:r>
                    <w:rPr>
                      <w:rFonts w:hint="default"/>
                      <w:lang w:val="en-US" w:eastAsia="zh-CN"/>
                    </w:rPr>
                    <w:t>TN</w:t>
                  </w:r>
                </w:p>
              </w:tc>
              <w:tc>
                <w:tcPr>
                  <w:tcW w:w="591" w:type="pct"/>
                  <w:tcBorders>
                    <w:tl2br w:val="nil"/>
                    <w:tr2bl w:val="nil"/>
                  </w:tcBorders>
                  <w:shd w:val="clear" w:color="auto" w:fill="auto"/>
                  <w:vAlign w:val="center"/>
                </w:tcPr>
                <w:p w14:paraId="41CEFA26">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66EF69FF">
                  <w:pPr>
                    <w:pStyle w:val="41"/>
                    <w:bidi w:val="0"/>
                    <w:rPr>
                      <w:rFonts w:hint="default"/>
                    </w:rPr>
                  </w:pPr>
                  <w:r>
                    <w:rPr>
                      <w:rFonts w:hint="default"/>
                      <w:lang w:val="en-US" w:eastAsia="zh-CN"/>
                    </w:rPr>
                    <w:t>0.07</w:t>
                  </w:r>
                </w:p>
              </w:tc>
              <w:tc>
                <w:tcPr>
                  <w:tcW w:w="557" w:type="pct"/>
                  <w:tcBorders>
                    <w:tl2br w:val="nil"/>
                    <w:tr2bl w:val="nil"/>
                  </w:tcBorders>
                  <w:shd w:val="clear" w:color="auto" w:fill="auto"/>
                  <w:vAlign w:val="center"/>
                </w:tcPr>
                <w:p w14:paraId="3DEC71F6">
                  <w:pPr>
                    <w:pStyle w:val="41"/>
                    <w:bidi w:val="0"/>
                    <w:rPr>
                      <w:rFonts w:hint="default"/>
                    </w:rPr>
                  </w:pPr>
                  <w:r>
                    <w:rPr>
                      <w:rFonts w:hint="default"/>
                      <w:lang w:val="en-US" w:eastAsia="zh-CN"/>
                    </w:rPr>
                    <w:t>0.013</w:t>
                  </w:r>
                </w:p>
              </w:tc>
              <w:tc>
                <w:tcPr>
                  <w:tcW w:w="550" w:type="pct"/>
                  <w:tcBorders>
                    <w:tl2br w:val="nil"/>
                    <w:tr2bl w:val="nil"/>
                  </w:tcBorders>
                  <w:shd w:val="clear" w:color="auto" w:fill="auto"/>
                  <w:vAlign w:val="center"/>
                </w:tcPr>
                <w:p w14:paraId="55F6DC05">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78FC0F8B">
                  <w:pPr>
                    <w:pStyle w:val="41"/>
                    <w:bidi w:val="0"/>
                    <w:rPr>
                      <w:rFonts w:hint="eastAsia"/>
                    </w:rPr>
                  </w:pPr>
                  <w:r>
                    <w:rPr>
                      <w:rFonts w:hint="eastAsia"/>
                      <w:lang w:val="en-US" w:eastAsia="zh-CN"/>
                    </w:rPr>
                    <w:t>0.083</w:t>
                  </w:r>
                </w:p>
              </w:tc>
            </w:tr>
            <w:tr w14:paraId="21DDE9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7BD8E292">
                  <w:pPr>
                    <w:pStyle w:val="41"/>
                    <w:bidi w:val="0"/>
                    <w:rPr>
                      <w:rFonts w:hint="eastAsia"/>
                    </w:rPr>
                  </w:pPr>
                </w:p>
              </w:tc>
              <w:tc>
                <w:tcPr>
                  <w:tcW w:w="1391" w:type="pct"/>
                  <w:tcBorders>
                    <w:tl2br w:val="nil"/>
                    <w:tr2bl w:val="nil"/>
                  </w:tcBorders>
                  <w:shd w:val="clear" w:color="auto" w:fill="auto"/>
                  <w:vAlign w:val="center"/>
                </w:tcPr>
                <w:p w14:paraId="0A137BFF">
                  <w:pPr>
                    <w:pStyle w:val="41"/>
                    <w:bidi w:val="0"/>
                    <w:rPr>
                      <w:rFonts w:hint="default"/>
                    </w:rPr>
                  </w:pPr>
                  <w:r>
                    <w:rPr>
                      <w:rFonts w:hint="default"/>
                      <w:lang w:val="en-US" w:eastAsia="zh-CN"/>
                    </w:rPr>
                    <w:t>TP</w:t>
                  </w:r>
                </w:p>
              </w:tc>
              <w:tc>
                <w:tcPr>
                  <w:tcW w:w="591" w:type="pct"/>
                  <w:tcBorders>
                    <w:tl2br w:val="nil"/>
                    <w:tr2bl w:val="nil"/>
                  </w:tcBorders>
                  <w:shd w:val="clear" w:color="auto" w:fill="auto"/>
                  <w:vAlign w:val="center"/>
                </w:tcPr>
                <w:p w14:paraId="7A7ACEBE">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5F24E358">
                  <w:pPr>
                    <w:pStyle w:val="41"/>
                    <w:bidi w:val="0"/>
                    <w:rPr>
                      <w:rFonts w:hint="default"/>
                    </w:rPr>
                  </w:pPr>
                  <w:r>
                    <w:rPr>
                      <w:rFonts w:hint="default"/>
                      <w:lang w:val="en-US" w:eastAsia="zh-CN"/>
                    </w:rPr>
                    <w:t>0.06</w:t>
                  </w:r>
                </w:p>
              </w:tc>
              <w:tc>
                <w:tcPr>
                  <w:tcW w:w="557" w:type="pct"/>
                  <w:tcBorders>
                    <w:tl2br w:val="nil"/>
                    <w:tr2bl w:val="nil"/>
                  </w:tcBorders>
                  <w:shd w:val="clear" w:color="auto" w:fill="auto"/>
                  <w:vAlign w:val="center"/>
                </w:tcPr>
                <w:p w14:paraId="57B6917F">
                  <w:pPr>
                    <w:pStyle w:val="41"/>
                    <w:bidi w:val="0"/>
                    <w:rPr>
                      <w:rFonts w:hint="default"/>
                    </w:rPr>
                  </w:pPr>
                  <w:r>
                    <w:rPr>
                      <w:rFonts w:hint="default"/>
                      <w:lang w:val="en-US" w:eastAsia="zh-CN"/>
                    </w:rPr>
                    <w:t>0.0024</w:t>
                  </w:r>
                </w:p>
              </w:tc>
              <w:tc>
                <w:tcPr>
                  <w:tcW w:w="550" w:type="pct"/>
                  <w:tcBorders>
                    <w:tl2br w:val="nil"/>
                    <w:tr2bl w:val="nil"/>
                  </w:tcBorders>
                  <w:shd w:val="clear" w:color="auto" w:fill="auto"/>
                  <w:vAlign w:val="center"/>
                </w:tcPr>
                <w:p w14:paraId="285F29B1">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2F62B276">
                  <w:pPr>
                    <w:pStyle w:val="41"/>
                    <w:bidi w:val="0"/>
                    <w:rPr>
                      <w:rFonts w:hint="eastAsia"/>
                    </w:rPr>
                  </w:pPr>
                  <w:r>
                    <w:rPr>
                      <w:rFonts w:hint="eastAsia"/>
                      <w:lang w:val="en-US" w:eastAsia="zh-CN"/>
                    </w:rPr>
                    <w:t>0.0624</w:t>
                  </w:r>
                </w:p>
              </w:tc>
            </w:tr>
            <w:tr w14:paraId="3AD1680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667" w:type="pct"/>
                  <w:vMerge w:val="restart"/>
                  <w:tcBorders>
                    <w:tl2br w:val="nil"/>
                    <w:tr2bl w:val="nil"/>
                  </w:tcBorders>
                  <w:shd w:val="clear" w:color="auto" w:fill="auto"/>
                  <w:vAlign w:val="center"/>
                </w:tcPr>
                <w:p w14:paraId="2090C98B">
                  <w:pPr>
                    <w:pStyle w:val="41"/>
                    <w:bidi w:val="0"/>
                    <w:rPr>
                      <w:rFonts w:hint="eastAsia"/>
                    </w:rPr>
                  </w:pPr>
                  <w:r>
                    <w:rPr>
                      <w:rFonts w:hint="eastAsia"/>
                      <w:lang w:val="en-US" w:eastAsia="zh-CN"/>
                    </w:rPr>
                    <w:t>有组织废气</w:t>
                  </w:r>
                </w:p>
              </w:tc>
              <w:tc>
                <w:tcPr>
                  <w:tcW w:w="1391" w:type="pct"/>
                  <w:tcBorders>
                    <w:tl2br w:val="nil"/>
                    <w:tr2bl w:val="nil"/>
                  </w:tcBorders>
                  <w:shd w:val="clear" w:color="auto" w:fill="auto"/>
                  <w:vAlign w:val="center"/>
                </w:tcPr>
                <w:p w14:paraId="02CE2B04">
                  <w:pPr>
                    <w:pStyle w:val="41"/>
                    <w:bidi w:val="0"/>
                    <w:rPr>
                      <w:rFonts w:hint="default"/>
                    </w:rPr>
                  </w:pPr>
                  <w:r>
                    <w:rPr>
                      <w:rFonts w:hint="default"/>
                      <w:lang w:val="en-US" w:eastAsia="zh-CN"/>
                    </w:rPr>
                    <w:t>NMHC</w:t>
                  </w:r>
                </w:p>
              </w:tc>
              <w:tc>
                <w:tcPr>
                  <w:tcW w:w="591" w:type="pct"/>
                  <w:tcBorders>
                    <w:tl2br w:val="nil"/>
                    <w:tr2bl w:val="nil"/>
                  </w:tcBorders>
                  <w:shd w:val="clear" w:color="auto" w:fill="auto"/>
                  <w:vAlign w:val="center"/>
                </w:tcPr>
                <w:p w14:paraId="06FA5F12">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2CF0AB8E">
                  <w:pPr>
                    <w:pStyle w:val="41"/>
                    <w:bidi w:val="0"/>
                    <w:rPr>
                      <w:rFonts w:hint="default"/>
                    </w:rPr>
                  </w:pPr>
                  <w:r>
                    <w:rPr>
                      <w:rFonts w:hint="default"/>
                      <w:lang w:val="en-US" w:eastAsia="zh-CN"/>
                    </w:rPr>
                    <w:t>0.1415</w:t>
                  </w:r>
                </w:p>
              </w:tc>
              <w:tc>
                <w:tcPr>
                  <w:tcW w:w="557" w:type="pct"/>
                  <w:tcBorders>
                    <w:tl2br w:val="nil"/>
                    <w:tr2bl w:val="nil"/>
                  </w:tcBorders>
                  <w:shd w:val="clear" w:color="auto" w:fill="auto"/>
                  <w:vAlign w:val="center"/>
                </w:tcPr>
                <w:p w14:paraId="0325D3E3">
                  <w:pPr>
                    <w:pStyle w:val="41"/>
                    <w:bidi w:val="0"/>
                    <w:rPr>
                      <w:rFonts w:hint="default"/>
                    </w:rPr>
                  </w:pPr>
                  <w:r>
                    <w:rPr>
                      <w:rFonts w:hint="default"/>
                      <w:lang w:val="en-US" w:eastAsia="zh-CN"/>
                    </w:rPr>
                    <w:t>0</w:t>
                  </w:r>
                </w:p>
              </w:tc>
              <w:tc>
                <w:tcPr>
                  <w:tcW w:w="550" w:type="pct"/>
                  <w:tcBorders>
                    <w:tl2br w:val="nil"/>
                    <w:tr2bl w:val="nil"/>
                  </w:tcBorders>
                  <w:shd w:val="clear" w:color="auto" w:fill="auto"/>
                  <w:vAlign w:val="center"/>
                </w:tcPr>
                <w:p w14:paraId="4F11B8E8">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39FB621C">
                  <w:pPr>
                    <w:pStyle w:val="41"/>
                    <w:bidi w:val="0"/>
                    <w:rPr>
                      <w:rFonts w:hint="eastAsia"/>
                    </w:rPr>
                  </w:pPr>
                  <w:r>
                    <w:rPr>
                      <w:rFonts w:hint="eastAsia"/>
                      <w:lang w:val="en-US" w:eastAsia="zh-CN"/>
                    </w:rPr>
                    <w:t>0.1415</w:t>
                  </w:r>
                </w:p>
              </w:tc>
            </w:tr>
            <w:tr w14:paraId="12B359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4CDD35E4">
                  <w:pPr>
                    <w:pStyle w:val="41"/>
                    <w:bidi w:val="0"/>
                    <w:rPr>
                      <w:rFonts w:hint="eastAsia"/>
                    </w:rPr>
                  </w:pPr>
                </w:p>
              </w:tc>
              <w:tc>
                <w:tcPr>
                  <w:tcW w:w="1391" w:type="pct"/>
                  <w:tcBorders>
                    <w:tl2br w:val="nil"/>
                    <w:tr2bl w:val="nil"/>
                  </w:tcBorders>
                  <w:shd w:val="clear" w:color="auto" w:fill="auto"/>
                  <w:vAlign w:val="center"/>
                </w:tcPr>
                <w:p w14:paraId="04FA16E7">
                  <w:pPr>
                    <w:pStyle w:val="41"/>
                    <w:bidi w:val="0"/>
                    <w:rPr>
                      <w:rFonts w:hint="default"/>
                    </w:rPr>
                  </w:pPr>
                  <w:r>
                    <w:rPr>
                      <w:rFonts w:hint="default"/>
                      <w:lang w:val="en-US" w:eastAsia="zh-CN"/>
                    </w:rPr>
                    <w:t>NH</w:t>
                  </w:r>
                  <w:r>
                    <w:rPr>
                      <w:rFonts w:hint="default"/>
                      <w:vertAlign w:val="subscript"/>
                      <w:lang w:val="en-US" w:eastAsia="zh-CN"/>
                    </w:rPr>
                    <w:t>3</w:t>
                  </w:r>
                </w:p>
              </w:tc>
              <w:tc>
                <w:tcPr>
                  <w:tcW w:w="591" w:type="pct"/>
                  <w:tcBorders>
                    <w:tl2br w:val="nil"/>
                    <w:tr2bl w:val="nil"/>
                  </w:tcBorders>
                  <w:shd w:val="clear" w:color="auto" w:fill="auto"/>
                  <w:vAlign w:val="center"/>
                </w:tcPr>
                <w:p w14:paraId="35DC4A34">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5E907AD8">
                  <w:pPr>
                    <w:pStyle w:val="41"/>
                    <w:bidi w:val="0"/>
                    <w:rPr>
                      <w:rFonts w:hint="default"/>
                    </w:rPr>
                  </w:pPr>
                  <w:r>
                    <w:rPr>
                      <w:rFonts w:hint="default"/>
                      <w:lang w:val="en-US" w:eastAsia="zh-CN"/>
                    </w:rPr>
                    <w:t>0.001</w:t>
                  </w:r>
                </w:p>
              </w:tc>
              <w:tc>
                <w:tcPr>
                  <w:tcW w:w="557" w:type="pct"/>
                  <w:tcBorders>
                    <w:tl2br w:val="nil"/>
                    <w:tr2bl w:val="nil"/>
                  </w:tcBorders>
                  <w:shd w:val="clear" w:color="auto" w:fill="auto"/>
                  <w:vAlign w:val="center"/>
                </w:tcPr>
                <w:p w14:paraId="3BE1E541">
                  <w:pPr>
                    <w:pStyle w:val="41"/>
                    <w:bidi w:val="0"/>
                    <w:rPr>
                      <w:rFonts w:hint="default"/>
                    </w:rPr>
                  </w:pPr>
                  <w:r>
                    <w:rPr>
                      <w:rFonts w:hint="default"/>
                      <w:lang w:val="en-US" w:eastAsia="zh-CN"/>
                    </w:rPr>
                    <w:t>0</w:t>
                  </w:r>
                </w:p>
              </w:tc>
              <w:tc>
                <w:tcPr>
                  <w:tcW w:w="550" w:type="pct"/>
                  <w:tcBorders>
                    <w:tl2br w:val="nil"/>
                    <w:tr2bl w:val="nil"/>
                  </w:tcBorders>
                  <w:shd w:val="clear" w:color="auto" w:fill="auto"/>
                  <w:vAlign w:val="center"/>
                </w:tcPr>
                <w:p w14:paraId="143A7F07">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418A2091">
                  <w:pPr>
                    <w:pStyle w:val="41"/>
                    <w:bidi w:val="0"/>
                    <w:rPr>
                      <w:rFonts w:hint="eastAsia"/>
                    </w:rPr>
                  </w:pPr>
                  <w:r>
                    <w:rPr>
                      <w:rFonts w:hint="eastAsia"/>
                      <w:lang w:val="en-US" w:eastAsia="zh-CN"/>
                    </w:rPr>
                    <w:t>0.001</w:t>
                  </w:r>
                </w:p>
              </w:tc>
            </w:tr>
            <w:tr w14:paraId="1B876C9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14E1A6F8">
                  <w:pPr>
                    <w:pStyle w:val="41"/>
                    <w:bidi w:val="0"/>
                    <w:rPr>
                      <w:rFonts w:hint="eastAsia"/>
                    </w:rPr>
                  </w:pPr>
                </w:p>
              </w:tc>
              <w:tc>
                <w:tcPr>
                  <w:tcW w:w="1391" w:type="pct"/>
                  <w:tcBorders>
                    <w:tl2br w:val="nil"/>
                    <w:tr2bl w:val="nil"/>
                  </w:tcBorders>
                  <w:shd w:val="clear" w:color="auto" w:fill="auto"/>
                  <w:vAlign w:val="center"/>
                </w:tcPr>
                <w:p w14:paraId="4780EC04">
                  <w:pPr>
                    <w:pStyle w:val="41"/>
                    <w:bidi w:val="0"/>
                    <w:rPr>
                      <w:rFonts w:hint="default"/>
                    </w:rPr>
                  </w:pPr>
                  <w:r>
                    <w:rPr>
                      <w:rFonts w:hint="default"/>
                      <w:lang w:val="en-US" w:eastAsia="zh-CN"/>
                    </w:rPr>
                    <w:t>SO</w:t>
                  </w:r>
                  <w:r>
                    <w:rPr>
                      <w:rFonts w:hint="default"/>
                      <w:vertAlign w:val="subscript"/>
                      <w:lang w:val="en-US" w:eastAsia="zh-CN"/>
                    </w:rPr>
                    <w:t>2</w:t>
                  </w:r>
                </w:p>
              </w:tc>
              <w:tc>
                <w:tcPr>
                  <w:tcW w:w="591" w:type="pct"/>
                  <w:tcBorders>
                    <w:tl2br w:val="nil"/>
                    <w:tr2bl w:val="nil"/>
                  </w:tcBorders>
                  <w:shd w:val="clear" w:color="auto" w:fill="auto"/>
                  <w:vAlign w:val="center"/>
                </w:tcPr>
                <w:p w14:paraId="4F17A9A2">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65EA38DB">
                  <w:pPr>
                    <w:pStyle w:val="41"/>
                    <w:bidi w:val="0"/>
                    <w:rPr>
                      <w:rFonts w:hint="default"/>
                    </w:rPr>
                  </w:pPr>
                  <w:r>
                    <w:rPr>
                      <w:rFonts w:hint="default"/>
                      <w:lang w:val="en-US" w:eastAsia="zh-CN"/>
                    </w:rPr>
                    <w:t>0.02</w:t>
                  </w:r>
                </w:p>
              </w:tc>
              <w:tc>
                <w:tcPr>
                  <w:tcW w:w="557" w:type="pct"/>
                  <w:tcBorders>
                    <w:tl2br w:val="nil"/>
                    <w:tr2bl w:val="nil"/>
                  </w:tcBorders>
                  <w:shd w:val="clear" w:color="auto" w:fill="auto"/>
                  <w:vAlign w:val="center"/>
                </w:tcPr>
                <w:p w14:paraId="5134D93A">
                  <w:pPr>
                    <w:pStyle w:val="41"/>
                    <w:bidi w:val="0"/>
                    <w:rPr>
                      <w:rFonts w:hint="default"/>
                    </w:rPr>
                  </w:pPr>
                  <w:r>
                    <w:rPr>
                      <w:rFonts w:hint="default"/>
                      <w:lang w:val="en-US" w:eastAsia="zh-CN"/>
                    </w:rPr>
                    <w:t>0</w:t>
                  </w:r>
                </w:p>
              </w:tc>
              <w:tc>
                <w:tcPr>
                  <w:tcW w:w="550" w:type="pct"/>
                  <w:tcBorders>
                    <w:tl2br w:val="nil"/>
                    <w:tr2bl w:val="nil"/>
                  </w:tcBorders>
                  <w:shd w:val="clear" w:color="auto" w:fill="auto"/>
                  <w:vAlign w:val="center"/>
                </w:tcPr>
                <w:p w14:paraId="78008376">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2E871F7B">
                  <w:pPr>
                    <w:pStyle w:val="41"/>
                    <w:bidi w:val="0"/>
                    <w:rPr>
                      <w:rFonts w:hint="eastAsia"/>
                    </w:rPr>
                  </w:pPr>
                  <w:r>
                    <w:rPr>
                      <w:rFonts w:hint="eastAsia"/>
                      <w:lang w:val="en-US" w:eastAsia="zh-CN"/>
                    </w:rPr>
                    <w:t>0.02</w:t>
                  </w:r>
                </w:p>
              </w:tc>
            </w:tr>
            <w:tr w14:paraId="2759373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072573E1">
                  <w:pPr>
                    <w:pStyle w:val="41"/>
                    <w:bidi w:val="0"/>
                    <w:rPr>
                      <w:rFonts w:hint="eastAsia"/>
                    </w:rPr>
                  </w:pPr>
                </w:p>
              </w:tc>
              <w:tc>
                <w:tcPr>
                  <w:tcW w:w="1391" w:type="pct"/>
                  <w:tcBorders>
                    <w:tl2br w:val="nil"/>
                    <w:tr2bl w:val="nil"/>
                  </w:tcBorders>
                  <w:shd w:val="clear" w:color="auto" w:fill="auto"/>
                  <w:vAlign w:val="center"/>
                </w:tcPr>
                <w:p w14:paraId="7671F4A7">
                  <w:pPr>
                    <w:pStyle w:val="41"/>
                    <w:bidi w:val="0"/>
                    <w:rPr>
                      <w:rFonts w:hint="default"/>
                    </w:rPr>
                  </w:pPr>
                  <w:r>
                    <w:rPr>
                      <w:rFonts w:hint="default"/>
                      <w:lang w:val="en-US" w:eastAsia="zh-CN"/>
                    </w:rPr>
                    <w:t>NO</w:t>
                  </w:r>
                  <w:r>
                    <w:rPr>
                      <w:rFonts w:hint="default"/>
                      <w:vertAlign w:val="subscript"/>
                      <w:lang w:val="en-US" w:eastAsia="zh-CN"/>
                    </w:rPr>
                    <w:t>X</w:t>
                  </w:r>
                </w:p>
              </w:tc>
              <w:tc>
                <w:tcPr>
                  <w:tcW w:w="591" w:type="pct"/>
                  <w:tcBorders>
                    <w:tl2br w:val="nil"/>
                    <w:tr2bl w:val="nil"/>
                  </w:tcBorders>
                  <w:shd w:val="clear" w:color="auto" w:fill="auto"/>
                  <w:vAlign w:val="center"/>
                </w:tcPr>
                <w:p w14:paraId="297F74A7">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4C6FB0C6">
                  <w:pPr>
                    <w:pStyle w:val="41"/>
                    <w:bidi w:val="0"/>
                    <w:rPr>
                      <w:rFonts w:hint="default"/>
                    </w:rPr>
                  </w:pPr>
                  <w:r>
                    <w:rPr>
                      <w:rFonts w:hint="default"/>
                      <w:lang w:val="en-US" w:eastAsia="zh-CN"/>
                    </w:rPr>
                    <w:t>0.38</w:t>
                  </w:r>
                </w:p>
              </w:tc>
              <w:tc>
                <w:tcPr>
                  <w:tcW w:w="557" w:type="pct"/>
                  <w:tcBorders>
                    <w:tl2br w:val="nil"/>
                    <w:tr2bl w:val="nil"/>
                  </w:tcBorders>
                  <w:shd w:val="clear" w:color="auto" w:fill="auto"/>
                  <w:vAlign w:val="center"/>
                </w:tcPr>
                <w:p w14:paraId="3BA6ED55">
                  <w:pPr>
                    <w:pStyle w:val="41"/>
                    <w:bidi w:val="0"/>
                    <w:rPr>
                      <w:rFonts w:hint="default"/>
                    </w:rPr>
                  </w:pPr>
                  <w:r>
                    <w:rPr>
                      <w:rFonts w:hint="default"/>
                      <w:lang w:val="en-US" w:eastAsia="zh-CN"/>
                    </w:rPr>
                    <w:t>0</w:t>
                  </w:r>
                </w:p>
              </w:tc>
              <w:tc>
                <w:tcPr>
                  <w:tcW w:w="550" w:type="pct"/>
                  <w:tcBorders>
                    <w:tl2br w:val="nil"/>
                    <w:tr2bl w:val="nil"/>
                  </w:tcBorders>
                  <w:shd w:val="clear" w:color="auto" w:fill="auto"/>
                  <w:vAlign w:val="center"/>
                </w:tcPr>
                <w:p w14:paraId="79493118">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3E5B8396">
                  <w:pPr>
                    <w:pStyle w:val="41"/>
                    <w:bidi w:val="0"/>
                    <w:rPr>
                      <w:rFonts w:hint="eastAsia"/>
                    </w:rPr>
                  </w:pPr>
                  <w:r>
                    <w:rPr>
                      <w:rFonts w:hint="eastAsia"/>
                      <w:lang w:val="en-US" w:eastAsia="zh-CN"/>
                    </w:rPr>
                    <w:t>0.38</w:t>
                  </w:r>
                </w:p>
              </w:tc>
            </w:tr>
            <w:tr w14:paraId="1AFC807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0B430B98">
                  <w:pPr>
                    <w:pStyle w:val="41"/>
                    <w:bidi w:val="0"/>
                    <w:rPr>
                      <w:rFonts w:hint="eastAsia"/>
                    </w:rPr>
                  </w:pPr>
                </w:p>
              </w:tc>
              <w:tc>
                <w:tcPr>
                  <w:tcW w:w="1391" w:type="pct"/>
                  <w:tcBorders>
                    <w:tl2br w:val="nil"/>
                    <w:tr2bl w:val="nil"/>
                  </w:tcBorders>
                  <w:shd w:val="clear" w:color="auto" w:fill="auto"/>
                  <w:vAlign w:val="center"/>
                </w:tcPr>
                <w:p w14:paraId="205A4DA0">
                  <w:pPr>
                    <w:pStyle w:val="41"/>
                    <w:bidi w:val="0"/>
                    <w:rPr>
                      <w:rFonts w:hint="eastAsia"/>
                    </w:rPr>
                  </w:pPr>
                  <w:r>
                    <w:rPr>
                      <w:rFonts w:hint="eastAsia"/>
                      <w:lang w:val="en-US" w:eastAsia="zh-CN"/>
                    </w:rPr>
                    <w:t>颗粒物</w:t>
                  </w:r>
                </w:p>
              </w:tc>
              <w:tc>
                <w:tcPr>
                  <w:tcW w:w="591" w:type="pct"/>
                  <w:tcBorders>
                    <w:tl2br w:val="nil"/>
                    <w:tr2bl w:val="nil"/>
                  </w:tcBorders>
                  <w:shd w:val="clear" w:color="auto" w:fill="auto"/>
                  <w:vAlign w:val="center"/>
                </w:tcPr>
                <w:p w14:paraId="3BF744E8">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13B356BF">
                  <w:pPr>
                    <w:pStyle w:val="41"/>
                    <w:bidi w:val="0"/>
                    <w:rPr>
                      <w:rFonts w:hint="default"/>
                    </w:rPr>
                  </w:pPr>
                  <w:r>
                    <w:rPr>
                      <w:rFonts w:hint="default"/>
                      <w:lang w:val="en-US" w:eastAsia="zh-CN"/>
                    </w:rPr>
                    <w:t>0.049</w:t>
                  </w:r>
                </w:p>
              </w:tc>
              <w:tc>
                <w:tcPr>
                  <w:tcW w:w="557" w:type="pct"/>
                  <w:tcBorders>
                    <w:tl2br w:val="nil"/>
                    <w:tr2bl w:val="nil"/>
                  </w:tcBorders>
                  <w:shd w:val="clear" w:color="auto" w:fill="auto"/>
                  <w:vAlign w:val="center"/>
                </w:tcPr>
                <w:p w14:paraId="3CE47363">
                  <w:pPr>
                    <w:pStyle w:val="41"/>
                    <w:bidi w:val="0"/>
                    <w:rPr>
                      <w:rFonts w:hint="default"/>
                    </w:rPr>
                  </w:pPr>
                  <w:r>
                    <w:rPr>
                      <w:rFonts w:hint="default"/>
                      <w:lang w:val="en-US" w:eastAsia="zh-CN"/>
                    </w:rPr>
                    <w:t>0</w:t>
                  </w:r>
                </w:p>
              </w:tc>
              <w:tc>
                <w:tcPr>
                  <w:tcW w:w="550" w:type="pct"/>
                  <w:tcBorders>
                    <w:tl2br w:val="nil"/>
                    <w:tr2bl w:val="nil"/>
                  </w:tcBorders>
                  <w:shd w:val="clear" w:color="auto" w:fill="auto"/>
                  <w:vAlign w:val="center"/>
                </w:tcPr>
                <w:p w14:paraId="6A727D46">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3316529D">
                  <w:pPr>
                    <w:pStyle w:val="41"/>
                    <w:bidi w:val="0"/>
                    <w:rPr>
                      <w:rFonts w:hint="eastAsia"/>
                    </w:rPr>
                  </w:pPr>
                  <w:r>
                    <w:rPr>
                      <w:rFonts w:hint="eastAsia"/>
                      <w:lang w:val="en-US" w:eastAsia="zh-CN"/>
                    </w:rPr>
                    <w:t>0.049</w:t>
                  </w:r>
                </w:p>
              </w:tc>
            </w:tr>
            <w:tr w14:paraId="7EA93C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restart"/>
                  <w:tcBorders>
                    <w:tl2br w:val="nil"/>
                    <w:tr2bl w:val="nil"/>
                  </w:tcBorders>
                  <w:shd w:val="clear" w:color="auto" w:fill="auto"/>
                  <w:vAlign w:val="center"/>
                </w:tcPr>
                <w:p w14:paraId="407778B5">
                  <w:pPr>
                    <w:pStyle w:val="41"/>
                    <w:bidi w:val="0"/>
                    <w:rPr>
                      <w:rFonts w:hint="eastAsia"/>
                    </w:rPr>
                  </w:pPr>
                  <w:r>
                    <w:rPr>
                      <w:rFonts w:hint="eastAsia"/>
                      <w:lang w:val="en-US" w:eastAsia="zh-CN"/>
                    </w:rPr>
                    <w:t>无组织废气</w:t>
                  </w:r>
                </w:p>
              </w:tc>
              <w:tc>
                <w:tcPr>
                  <w:tcW w:w="1391" w:type="pct"/>
                  <w:tcBorders>
                    <w:tl2br w:val="nil"/>
                    <w:tr2bl w:val="nil"/>
                  </w:tcBorders>
                  <w:shd w:val="clear" w:color="auto" w:fill="auto"/>
                  <w:vAlign w:val="center"/>
                </w:tcPr>
                <w:p w14:paraId="3C9DC4B0">
                  <w:pPr>
                    <w:pStyle w:val="41"/>
                    <w:bidi w:val="0"/>
                    <w:rPr>
                      <w:rFonts w:hint="default"/>
                    </w:rPr>
                  </w:pPr>
                  <w:r>
                    <w:rPr>
                      <w:rFonts w:hint="default"/>
                      <w:lang w:val="en-US" w:eastAsia="zh-CN"/>
                    </w:rPr>
                    <w:t>NMHC</w:t>
                  </w:r>
                </w:p>
              </w:tc>
              <w:tc>
                <w:tcPr>
                  <w:tcW w:w="591" w:type="pct"/>
                  <w:tcBorders>
                    <w:tl2br w:val="nil"/>
                    <w:tr2bl w:val="nil"/>
                  </w:tcBorders>
                  <w:shd w:val="clear" w:color="auto" w:fill="auto"/>
                  <w:vAlign w:val="center"/>
                </w:tcPr>
                <w:p w14:paraId="5EC49F0A">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7E3039A7">
                  <w:pPr>
                    <w:pStyle w:val="41"/>
                    <w:bidi w:val="0"/>
                    <w:rPr>
                      <w:rFonts w:hint="default"/>
                    </w:rPr>
                  </w:pPr>
                  <w:r>
                    <w:rPr>
                      <w:rFonts w:hint="default"/>
                      <w:lang w:val="en-US" w:eastAsia="zh-CN"/>
                    </w:rPr>
                    <w:t>0.075</w:t>
                  </w:r>
                </w:p>
              </w:tc>
              <w:tc>
                <w:tcPr>
                  <w:tcW w:w="557" w:type="pct"/>
                  <w:tcBorders>
                    <w:tl2br w:val="nil"/>
                    <w:tr2bl w:val="nil"/>
                  </w:tcBorders>
                  <w:shd w:val="clear" w:color="auto" w:fill="auto"/>
                  <w:vAlign w:val="center"/>
                </w:tcPr>
                <w:p w14:paraId="3AE262C7">
                  <w:pPr>
                    <w:pStyle w:val="41"/>
                    <w:bidi w:val="0"/>
                    <w:rPr>
                      <w:rFonts w:hint="default"/>
                    </w:rPr>
                  </w:pPr>
                  <w:r>
                    <w:rPr>
                      <w:rFonts w:hint="default"/>
                      <w:lang w:val="en-US" w:eastAsia="zh-CN"/>
                    </w:rPr>
                    <w:t>0</w:t>
                  </w:r>
                </w:p>
              </w:tc>
              <w:tc>
                <w:tcPr>
                  <w:tcW w:w="550" w:type="pct"/>
                  <w:tcBorders>
                    <w:tl2br w:val="nil"/>
                    <w:tr2bl w:val="nil"/>
                  </w:tcBorders>
                  <w:shd w:val="clear" w:color="auto" w:fill="auto"/>
                  <w:vAlign w:val="center"/>
                </w:tcPr>
                <w:p w14:paraId="0D2BB03B">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2815A295">
                  <w:pPr>
                    <w:pStyle w:val="41"/>
                    <w:bidi w:val="0"/>
                    <w:rPr>
                      <w:rFonts w:hint="eastAsia"/>
                    </w:rPr>
                  </w:pPr>
                  <w:r>
                    <w:rPr>
                      <w:rFonts w:hint="eastAsia"/>
                      <w:lang w:val="en-US" w:eastAsia="zh-CN"/>
                    </w:rPr>
                    <w:t>0.075</w:t>
                  </w:r>
                </w:p>
              </w:tc>
            </w:tr>
            <w:tr w14:paraId="6EDF2C3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3D387CF6">
                  <w:pPr>
                    <w:pStyle w:val="41"/>
                    <w:bidi w:val="0"/>
                    <w:rPr>
                      <w:rFonts w:hint="eastAsia"/>
                    </w:rPr>
                  </w:pPr>
                </w:p>
              </w:tc>
              <w:tc>
                <w:tcPr>
                  <w:tcW w:w="1391" w:type="pct"/>
                  <w:tcBorders>
                    <w:tl2br w:val="nil"/>
                    <w:tr2bl w:val="nil"/>
                  </w:tcBorders>
                  <w:shd w:val="clear" w:color="auto" w:fill="auto"/>
                  <w:vAlign w:val="center"/>
                </w:tcPr>
                <w:p w14:paraId="30B696B4">
                  <w:pPr>
                    <w:pStyle w:val="41"/>
                    <w:bidi w:val="0"/>
                    <w:rPr>
                      <w:rFonts w:hint="default"/>
                    </w:rPr>
                  </w:pPr>
                  <w:r>
                    <w:rPr>
                      <w:rFonts w:hint="default"/>
                      <w:lang w:val="en-US" w:eastAsia="zh-CN"/>
                    </w:rPr>
                    <w:t>NH</w:t>
                  </w:r>
                  <w:r>
                    <w:rPr>
                      <w:rFonts w:hint="default"/>
                      <w:vertAlign w:val="subscript"/>
                      <w:lang w:val="en-US" w:eastAsia="zh-CN"/>
                    </w:rPr>
                    <w:t>3</w:t>
                  </w:r>
                </w:p>
              </w:tc>
              <w:tc>
                <w:tcPr>
                  <w:tcW w:w="591" w:type="pct"/>
                  <w:tcBorders>
                    <w:tl2br w:val="nil"/>
                    <w:tr2bl w:val="nil"/>
                  </w:tcBorders>
                  <w:shd w:val="clear" w:color="auto" w:fill="auto"/>
                  <w:vAlign w:val="center"/>
                </w:tcPr>
                <w:p w14:paraId="508C39CB">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380D39AC">
                  <w:pPr>
                    <w:pStyle w:val="41"/>
                    <w:bidi w:val="0"/>
                    <w:rPr>
                      <w:rFonts w:hint="default"/>
                    </w:rPr>
                  </w:pPr>
                  <w:r>
                    <w:rPr>
                      <w:rFonts w:hint="default"/>
                      <w:lang w:val="en-US" w:eastAsia="zh-CN"/>
                    </w:rPr>
                    <w:t>0.0002</w:t>
                  </w:r>
                </w:p>
              </w:tc>
              <w:tc>
                <w:tcPr>
                  <w:tcW w:w="557" w:type="pct"/>
                  <w:tcBorders>
                    <w:tl2br w:val="nil"/>
                    <w:tr2bl w:val="nil"/>
                  </w:tcBorders>
                  <w:shd w:val="clear" w:color="auto" w:fill="auto"/>
                  <w:vAlign w:val="center"/>
                </w:tcPr>
                <w:p w14:paraId="60E2842F">
                  <w:pPr>
                    <w:pStyle w:val="41"/>
                    <w:bidi w:val="0"/>
                    <w:rPr>
                      <w:rFonts w:hint="default"/>
                      <w:lang w:val="en-US"/>
                    </w:rPr>
                  </w:pPr>
                  <w:r>
                    <w:rPr>
                      <w:rFonts w:hint="default"/>
                      <w:lang w:val="en-US" w:eastAsia="zh-CN"/>
                    </w:rPr>
                    <w:t>0</w:t>
                  </w:r>
                  <w:r>
                    <w:rPr>
                      <w:rFonts w:hint="eastAsia"/>
                      <w:lang w:val="en-US" w:eastAsia="zh-CN"/>
                    </w:rPr>
                    <w:t>.002</w:t>
                  </w:r>
                </w:p>
              </w:tc>
              <w:tc>
                <w:tcPr>
                  <w:tcW w:w="550" w:type="pct"/>
                  <w:tcBorders>
                    <w:tl2br w:val="nil"/>
                    <w:tr2bl w:val="nil"/>
                  </w:tcBorders>
                  <w:shd w:val="clear" w:color="auto" w:fill="auto"/>
                  <w:vAlign w:val="center"/>
                </w:tcPr>
                <w:p w14:paraId="4D2E8357">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62748F72">
                  <w:pPr>
                    <w:pStyle w:val="41"/>
                    <w:bidi w:val="0"/>
                    <w:rPr>
                      <w:rFonts w:hint="eastAsia"/>
                    </w:rPr>
                  </w:pPr>
                  <w:r>
                    <w:rPr>
                      <w:rFonts w:hint="eastAsia"/>
                      <w:lang w:val="en-US" w:eastAsia="zh-CN"/>
                    </w:rPr>
                    <w:t>0.0022</w:t>
                  </w:r>
                </w:p>
              </w:tc>
            </w:tr>
            <w:tr w14:paraId="799F16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restart"/>
                  <w:tcBorders>
                    <w:tl2br w:val="nil"/>
                    <w:tr2bl w:val="nil"/>
                  </w:tcBorders>
                  <w:shd w:val="clear" w:color="auto" w:fill="auto"/>
                  <w:vAlign w:val="center"/>
                </w:tcPr>
                <w:p w14:paraId="171F6AC3">
                  <w:pPr>
                    <w:pStyle w:val="41"/>
                    <w:bidi w:val="0"/>
                    <w:rPr>
                      <w:rFonts w:hint="eastAsia"/>
                    </w:rPr>
                  </w:pPr>
                  <w:r>
                    <w:rPr>
                      <w:rFonts w:hint="eastAsia"/>
                      <w:lang w:val="en-US" w:eastAsia="zh-CN"/>
                    </w:rPr>
                    <w:t>一般固体废物</w:t>
                  </w:r>
                </w:p>
              </w:tc>
              <w:tc>
                <w:tcPr>
                  <w:tcW w:w="1391" w:type="pct"/>
                  <w:tcBorders>
                    <w:tl2br w:val="nil"/>
                    <w:tr2bl w:val="nil"/>
                  </w:tcBorders>
                  <w:shd w:val="clear" w:color="auto" w:fill="auto"/>
                  <w:vAlign w:val="center"/>
                </w:tcPr>
                <w:p w14:paraId="355C51BB">
                  <w:pPr>
                    <w:pStyle w:val="41"/>
                    <w:bidi w:val="0"/>
                    <w:rPr>
                      <w:rFonts w:hint="eastAsia"/>
                    </w:rPr>
                  </w:pPr>
                  <w:r>
                    <w:rPr>
                      <w:rFonts w:hint="eastAsia"/>
                      <w:lang w:val="en-US" w:eastAsia="zh-CN"/>
                    </w:rPr>
                    <w:t>废药渣及中药材粉末</w:t>
                  </w:r>
                </w:p>
              </w:tc>
              <w:tc>
                <w:tcPr>
                  <w:tcW w:w="591" w:type="pct"/>
                  <w:tcBorders>
                    <w:tl2br w:val="nil"/>
                    <w:tr2bl w:val="nil"/>
                  </w:tcBorders>
                  <w:shd w:val="clear" w:color="auto" w:fill="auto"/>
                  <w:vAlign w:val="center"/>
                </w:tcPr>
                <w:p w14:paraId="6239609E">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7A55FE4A">
                  <w:pPr>
                    <w:pStyle w:val="41"/>
                    <w:bidi w:val="0"/>
                    <w:rPr>
                      <w:rFonts w:hint="default"/>
                    </w:rPr>
                  </w:pPr>
                  <w:r>
                    <w:rPr>
                      <w:rFonts w:hint="default"/>
                      <w:lang w:val="en-US" w:eastAsia="zh-CN"/>
                    </w:rPr>
                    <w:t>0.1</w:t>
                  </w:r>
                </w:p>
              </w:tc>
              <w:tc>
                <w:tcPr>
                  <w:tcW w:w="557" w:type="pct"/>
                  <w:tcBorders>
                    <w:tl2br w:val="nil"/>
                    <w:tr2bl w:val="nil"/>
                  </w:tcBorders>
                  <w:shd w:val="clear" w:color="auto" w:fill="auto"/>
                  <w:vAlign w:val="center"/>
                </w:tcPr>
                <w:p w14:paraId="54BD2B32">
                  <w:pPr>
                    <w:pStyle w:val="41"/>
                    <w:bidi w:val="0"/>
                    <w:rPr>
                      <w:rFonts w:hint="default"/>
                    </w:rPr>
                  </w:pPr>
                  <w:r>
                    <w:rPr>
                      <w:rFonts w:hint="default"/>
                      <w:lang w:val="en-US" w:eastAsia="zh-CN"/>
                    </w:rPr>
                    <w:t>0</w:t>
                  </w:r>
                </w:p>
              </w:tc>
              <w:tc>
                <w:tcPr>
                  <w:tcW w:w="550" w:type="pct"/>
                  <w:tcBorders>
                    <w:tl2br w:val="nil"/>
                    <w:tr2bl w:val="nil"/>
                  </w:tcBorders>
                  <w:shd w:val="clear" w:color="auto" w:fill="auto"/>
                  <w:vAlign w:val="center"/>
                </w:tcPr>
                <w:p w14:paraId="309593C2">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05BB2459">
                  <w:pPr>
                    <w:pStyle w:val="41"/>
                    <w:bidi w:val="0"/>
                    <w:rPr>
                      <w:rFonts w:hint="eastAsia"/>
                    </w:rPr>
                  </w:pPr>
                  <w:r>
                    <w:rPr>
                      <w:rFonts w:hint="eastAsia"/>
                      <w:lang w:val="en-US" w:eastAsia="zh-CN"/>
                    </w:rPr>
                    <w:t>0.1</w:t>
                  </w:r>
                </w:p>
              </w:tc>
            </w:tr>
            <w:tr w14:paraId="43E4316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751D0743">
                  <w:pPr>
                    <w:pStyle w:val="41"/>
                    <w:bidi w:val="0"/>
                    <w:rPr>
                      <w:rFonts w:hint="eastAsia"/>
                    </w:rPr>
                  </w:pPr>
                </w:p>
              </w:tc>
              <w:tc>
                <w:tcPr>
                  <w:tcW w:w="1391" w:type="pct"/>
                  <w:tcBorders>
                    <w:tl2br w:val="nil"/>
                    <w:tr2bl w:val="nil"/>
                  </w:tcBorders>
                  <w:shd w:val="clear" w:color="auto" w:fill="auto"/>
                  <w:vAlign w:val="center"/>
                </w:tcPr>
                <w:p w14:paraId="4C340242">
                  <w:pPr>
                    <w:pStyle w:val="41"/>
                    <w:bidi w:val="0"/>
                    <w:rPr>
                      <w:rFonts w:hint="eastAsia"/>
                    </w:rPr>
                  </w:pPr>
                  <w:r>
                    <w:rPr>
                      <w:rFonts w:hint="eastAsia"/>
                      <w:lang w:val="en-US" w:eastAsia="zh-CN"/>
                    </w:rPr>
                    <w:t>废滤芯</w:t>
                  </w:r>
                </w:p>
              </w:tc>
              <w:tc>
                <w:tcPr>
                  <w:tcW w:w="591" w:type="pct"/>
                  <w:tcBorders>
                    <w:tl2br w:val="nil"/>
                    <w:tr2bl w:val="nil"/>
                  </w:tcBorders>
                  <w:shd w:val="clear" w:color="auto" w:fill="auto"/>
                  <w:vAlign w:val="center"/>
                </w:tcPr>
                <w:p w14:paraId="270E1E44">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6A19FE24">
                  <w:pPr>
                    <w:pStyle w:val="41"/>
                    <w:bidi w:val="0"/>
                    <w:rPr>
                      <w:rFonts w:hint="default"/>
                    </w:rPr>
                  </w:pPr>
                  <w:r>
                    <w:rPr>
                      <w:rFonts w:hint="default"/>
                      <w:lang w:val="en-US" w:eastAsia="zh-CN"/>
                    </w:rPr>
                    <w:t>0</w:t>
                  </w:r>
                </w:p>
              </w:tc>
              <w:tc>
                <w:tcPr>
                  <w:tcW w:w="557" w:type="pct"/>
                  <w:tcBorders>
                    <w:tl2br w:val="nil"/>
                    <w:tr2bl w:val="nil"/>
                  </w:tcBorders>
                  <w:shd w:val="clear" w:color="auto" w:fill="auto"/>
                  <w:vAlign w:val="center"/>
                </w:tcPr>
                <w:p w14:paraId="7CCABA8D">
                  <w:pPr>
                    <w:pStyle w:val="41"/>
                    <w:bidi w:val="0"/>
                    <w:rPr>
                      <w:rFonts w:hint="default"/>
                    </w:rPr>
                  </w:pPr>
                  <w:r>
                    <w:rPr>
                      <w:rFonts w:hint="default"/>
                      <w:lang w:val="en-US" w:eastAsia="zh-CN"/>
                    </w:rPr>
                    <w:t>0</w:t>
                  </w:r>
                </w:p>
              </w:tc>
              <w:tc>
                <w:tcPr>
                  <w:tcW w:w="550" w:type="pct"/>
                  <w:tcBorders>
                    <w:tl2br w:val="nil"/>
                    <w:tr2bl w:val="nil"/>
                  </w:tcBorders>
                  <w:shd w:val="clear" w:color="auto" w:fill="auto"/>
                  <w:vAlign w:val="center"/>
                </w:tcPr>
                <w:p w14:paraId="25D79B62">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3BE56AF6">
                  <w:pPr>
                    <w:pStyle w:val="41"/>
                    <w:bidi w:val="0"/>
                    <w:rPr>
                      <w:rFonts w:hint="eastAsia"/>
                    </w:rPr>
                  </w:pPr>
                  <w:r>
                    <w:rPr>
                      <w:rFonts w:hint="eastAsia"/>
                      <w:lang w:val="en-US" w:eastAsia="zh-CN"/>
                    </w:rPr>
                    <w:t>0</w:t>
                  </w:r>
                </w:p>
              </w:tc>
            </w:tr>
            <w:tr w14:paraId="4D68DE8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4983B361">
                  <w:pPr>
                    <w:pStyle w:val="41"/>
                    <w:bidi w:val="0"/>
                    <w:rPr>
                      <w:rFonts w:hint="eastAsia"/>
                    </w:rPr>
                  </w:pPr>
                </w:p>
              </w:tc>
              <w:tc>
                <w:tcPr>
                  <w:tcW w:w="1391" w:type="pct"/>
                  <w:tcBorders>
                    <w:tl2br w:val="nil"/>
                    <w:tr2bl w:val="nil"/>
                  </w:tcBorders>
                  <w:shd w:val="clear" w:color="auto" w:fill="auto"/>
                  <w:vAlign w:val="center"/>
                </w:tcPr>
                <w:p w14:paraId="4AD46348">
                  <w:pPr>
                    <w:pStyle w:val="41"/>
                    <w:bidi w:val="0"/>
                    <w:rPr>
                      <w:rFonts w:hint="eastAsia"/>
                    </w:rPr>
                  </w:pPr>
                  <w:r>
                    <w:rPr>
                      <w:rFonts w:hint="eastAsia"/>
                      <w:lang w:val="en-US" w:eastAsia="zh-CN"/>
                    </w:rPr>
                    <w:t>废包装材料</w:t>
                  </w:r>
                </w:p>
              </w:tc>
              <w:tc>
                <w:tcPr>
                  <w:tcW w:w="591" w:type="pct"/>
                  <w:tcBorders>
                    <w:tl2br w:val="nil"/>
                    <w:tr2bl w:val="nil"/>
                  </w:tcBorders>
                  <w:shd w:val="clear" w:color="auto" w:fill="auto"/>
                  <w:vAlign w:val="center"/>
                </w:tcPr>
                <w:p w14:paraId="28D683DE">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48CEB5EB">
                  <w:pPr>
                    <w:pStyle w:val="41"/>
                    <w:bidi w:val="0"/>
                    <w:rPr>
                      <w:rFonts w:hint="default"/>
                    </w:rPr>
                  </w:pPr>
                  <w:r>
                    <w:rPr>
                      <w:rFonts w:hint="default"/>
                      <w:lang w:val="en-US" w:eastAsia="zh-CN"/>
                    </w:rPr>
                    <w:t>0</w:t>
                  </w:r>
                </w:p>
              </w:tc>
              <w:tc>
                <w:tcPr>
                  <w:tcW w:w="557" w:type="pct"/>
                  <w:tcBorders>
                    <w:tl2br w:val="nil"/>
                    <w:tr2bl w:val="nil"/>
                  </w:tcBorders>
                  <w:shd w:val="clear" w:color="auto" w:fill="auto"/>
                  <w:vAlign w:val="center"/>
                </w:tcPr>
                <w:p w14:paraId="2D983090">
                  <w:pPr>
                    <w:pStyle w:val="41"/>
                    <w:bidi w:val="0"/>
                    <w:rPr>
                      <w:rFonts w:hint="default"/>
                    </w:rPr>
                  </w:pPr>
                  <w:r>
                    <w:rPr>
                      <w:rFonts w:hint="default"/>
                      <w:lang w:val="en-US" w:eastAsia="zh-CN"/>
                    </w:rPr>
                    <w:t>0</w:t>
                  </w:r>
                </w:p>
              </w:tc>
              <w:tc>
                <w:tcPr>
                  <w:tcW w:w="550" w:type="pct"/>
                  <w:tcBorders>
                    <w:tl2br w:val="nil"/>
                    <w:tr2bl w:val="nil"/>
                  </w:tcBorders>
                  <w:shd w:val="clear" w:color="auto" w:fill="auto"/>
                  <w:vAlign w:val="center"/>
                </w:tcPr>
                <w:p w14:paraId="3000B222">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7E3392D8">
                  <w:pPr>
                    <w:pStyle w:val="41"/>
                    <w:bidi w:val="0"/>
                    <w:rPr>
                      <w:rFonts w:hint="eastAsia"/>
                    </w:rPr>
                  </w:pPr>
                  <w:r>
                    <w:rPr>
                      <w:rFonts w:hint="eastAsia"/>
                      <w:lang w:val="en-US" w:eastAsia="zh-CN"/>
                    </w:rPr>
                    <w:t>0</w:t>
                  </w:r>
                </w:p>
              </w:tc>
            </w:tr>
            <w:tr w14:paraId="1D2E17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restart"/>
                  <w:tcBorders>
                    <w:tl2br w:val="nil"/>
                    <w:tr2bl w:val="nil"/>
                  </w:tcBorders>
                  <w:shd w:val="clear" w:color="auto" w:fill="auto"/>
                  <w:vAlign w:val="center"/>
                </w:tcPr>
                <w:p w14:paraId="168FED6B">
                  <w:pPr>
                    <w:pStyle w:val="41"/>
                    <w:bidi w:val="0"/>
                    <w:rPr>
                      <w:rFonts w:hint="eastAsia"/>
                    </w:rPr>
                  </w:pPr>
                  <w:r>
                    <w:rPr>
                      <w:rFonts w:hint="eastAsia"/>
                      <w:lang w:val="en-US" w:eastAsia="zh-CN"/>
                    </w:rPr>
                    <w:t>危险废物</w:t>
                  </w:r>
                </w:p>
              </w:tc>
              <w:tc>
                <w:tcPr>
                  <w:tcW w:w="1391" w:type="pct"/>
                  <w:tcBorders>
                    <w:tl2br w:val="nil"/>
                    <w:tr2bl w:val="nil"/>
                  </w:tcBorders>
                  <w:shd w:val="clear" w:color="auto" w:fill="auto"/>
                  <w:vAlign w:val="center"/>
                </w:tcPr>
                <w:p w14:paraId="0B0C0141">
                  <w:pPr>
                    <w:pStyle w:val="41"/>
                    <w:bidi w:val="0"/>
                    <w:rPr>
                      <w:rFonts w:hint="eastAsia"/>
                    </w:rPr>
                  </w:pPr>
                  <w:r>
                    <w:rPr>
                      <w:rFonts w:hint="eastAsia"/>
                      <w:lang w:val="en-US" w:eastAsia="zh-CN"/>
                    </w:rPr>
                    <w:t>废液及废料</w:t>
                  </w:r>
                </w:p>
              </w:tc>
              <w:tc>
                <w:tcPr>
                  <w:tcW w:w="591" w:type="pct"/>
                  <w:tcBorders>
                    <w:tl2br w:val="nil"/>
                    <w:tr2bl w:val="nil"/>
                  </w:tcBorders>
                  <w:shd w:val="clear" w:color="auto" w:fill="auto"/>
                  <w:vAlign w:val="center"/>
                </w:tcPr>
                <w:p w14:paraId="21E53FEA">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0F936226">
                  <w:pPr>
                    <w:pStyle w:val="41"/>
                    <w:bidi w:val="0"/>
                    <w:rPr>
                      <w:rFonts w:hint="default"/>
                    </w:rPr>
                  </w:pPr>
                  <w:r>
                    <w:rPr>
                      <w:rFonts w:hint="default"/>
                      <w:lang w:val="en-US" w:eastAsia="zh-CN"/>
                    </w:rPr>
                    <w:t>17.25</w:t>
                  </w:r>
                </w:p>
              </w:tc>
              <w:tc>
                <w:tcPr>
                  <w:tcW w:w="557" w:type="pct"/>
                  <w:tcBorders>
                    <w:tl2br w:val="nil"/>
                    <w:tr2bl w:val="nil"/>
                  </w:tcBorders>
                  <w:shd w:val="clear" w:color="auto" w:fill="auto"/>
                  <w:vAlign w:val="center"/>
                </w:tcPr>
                <w:p w14:paraId="0987D33E">
                  <w:pPr>
                    <w:pStyle w:val="41"/>
                    <w:bidi w:val="0"/>
                    <w:rPr>
                      <w:rFonts w:hint="default"/>
                    </w:rPr>
                  </w:pPr>
                  <w:r>
                    <w:rPr>
                      <w:rFonts w:hint="default"/>
                      <w:lang w:val="en-US" w:eastAsia="zh-CN"/>
                    </w:rPr>
                    <w:t>11</w:t>
                  </w:r>
                </w:p>
              </w:tc>
              <w:tc>
                <w:tcPr>
                  <w:tcW w:w="550" w:type="pct"/>
                  <w:tcBorders>
                    <w:tl2br w:val="nil"/>
                    <w:tr2bl w:val="nil"/>
                  </w:tcBorders>
                  <w:shd w:val="clear" w:color="auto" w:fill="auto"/>
                  <w:vAlign w:val="center"/>
                </w:tcPr>
                <w:p w14:paraId="25C857A7">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038CADAB">
                  <w:pPr>
                    <w:pStyle w:val="41"/>
                    <w:bidi w:val="0"/>
                    <w:rPr>
                      <w:rFonts w:hint="eastAsia"/>
                    </w:rPr>
                  </w:pPr>
                  <w:r>
                    <w:rPr>
                      <w:rFonts w:hint="eastAsia"/>
                      <w:lang w:val="en-US" w:eastAsia="zh-CN"/>
                    </w:rPr>
                    <w:t>28.25</w:t>
                  </w:r>
                </w:p>
              </w:tc>
            </w:tr>
            <w:tr w14:paraId="53A580E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3E430755">
                  <w:pPr>
                    <w:pStyle w:val="41"/>
                    <w:bidi w:val="0"/>
                    <w:rPr>
                      <w:rFonts w:hint="eastAsia"/>
                    </w:rPr>
                  </w:pPr>
                </w:p>
              </w:tc>
              <w:tc>
                <w:tcPr>
                  <w:tcW w:w="1391" w:type="pct"/>
                  <w:tcBorders>
                    <w:tl2br w:val="nil"/>
                    <w:tr2bl w:val="nil"/>
                  </w:tcBorders>
                  <w:shd w:val="clear" w:color="auto" w:fill="auto"/>
                  <w:vAlign w:val="center"/>
                </w:tcPr>
                <w:p w14:paraId="441D59D4">
                  <w:pPr>
                    <w:pStyle w:val="41"/>
                    <w:bidi w:val="0"/>
                    <w:rPr>
                      <w:rFonts w:hint="eastAsia"/>
                    </w:rPr>
                  </w:pPr>
                  <w:r>
                    <w:rPr>
                      <w:rFonts w:hint="eastAsia"/>
                      <w:lang w:val="en-US" w:eastAsia="zh-CN"/>
                    </w:rPr>
                    <w:t>报废药品及过期原辅料</w:t>
                  </w:r>
                </w:p>
              </w:tc>
              <w:tc>
                <w:tcPr>
                  <w:tcW w:w="591" w:type="pct"/>
                  <w:tcBorders>
                    <w:tl2br w:val="nil"/>
                    <w:tr2bl w:val="nil"/>
                  </w:tcBorders>
                  <w:shd w:val="clear" w:color="auto" w:fill="auto"/>
                  <w:vAlign w:val="center"/>
                </w:tcPr>
                <w:p w14:paraId="729B8C22">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39B0486F">
                  <w:pPr>
                    <w:pStyle w:val="41"/>
                    <w:bidi w:val="0"/>
                    <w:rPr>
                      <w:rFonts w:hint="default"/>
                    </w:rPr>
                  </w:pPr>
                  <w:r>
                    <w:rPr>
                      <w:rFonts w:hint="default"/>
                      <w:lang w:val="en-US" w:eastAsia="zh-CN"/>
                    </w:rPr>
                    <w:t>0.55</w:t>
                  </w:r>
                </w:p>
              </w:tc>
              <w:tc>
                <w:tcPr>
                  <w:tcW w:w="557" w:type="pct"/>
                  <w:tcBorders>
                    <w:tl2br w:val="nil"/>
                    <w:tr2bl w:val="nil"/>
                  </w:tcBorders>
                  <w:shd w:val="clear" w:color="auto" w:fill="auto"/>
                  <w:vAlign w:val="center"/>
                </w:tcPr>
                <w:p w14:paraId="18411BA0">
                  <w:pPr>
                    <w:pStyle w:val="41"/>
                    <w:bidi w:val="0"/>
                    <w:rPr>
                      <w:rFonts w:hint="default"/>
                    </w:rPr>
                  </w:pPr>
                  <w:r>
                    <w:rPr>
                      <w:rFonts w:hint="default"/>
                      <w:lang w:val="en-US" w:eastAsia="zh-CN"/>
                    </w:rPr>
                    <w:t>0.005</w:t>
                  </w:r>
                </w:p>
              </w:tc>
              <w:tc>
                <w:tcPr>
                  <w:tcW w:w="550" w:type="pct"/>
                  <w:tcBorders>
                    <w:tl2br w:val="nil"/>
                    <w:tr2bl w:val="nil"/>
                  </w:tcBorders>
                  <w:shd w:val="clear" w:color="auto" w:fill="auto"/>
                  <w:vAlign w:val="center"/>
                </w:tcPr>
                <w:p w14:paraId="7B283973">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14B434C5">
                  <w:pPr>
                    <w:pStyle w:val="41"/>
                    <w:bidi w:val="0"/>
                    <w:rPr>
                      <w:rFonts w:hint="eastAsia"/>
                    </w:rPr>
                  </w:pPr>
                  <w:r>
                    <w:rPr>
                      <w:rFonts w:hint="eastAsia"/>
                      <w:lang w:val="en-US" w:eastAsia="zh-CN"/>
                    </w:rPr>
                    <w:t>0.555</w:t>
                  </w:r>
                </w:p>
              </w:tc>
            </w:tr>
            <w:tr w14:paraId="2B174E7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36B45FE4">
                  <w:pPr>
                    <w:pStyle w:val="41"/>
                    <w:bidi w:val="0"/>
                    <w:rPr>
                      <w:rFonts w:hint="eastAsia"/>
                    </w:rPr>
                  </w:pPr>
                </w:p>
              </w:tc>
              <w:tc>
                <w:tcPr>
                  <w:tcW w:w="1391" w:type="pct"/>
                  <w:tcBorders>
                    <w:tl2br w:val="nil"/>
                    <w:tr2bl w:val="nil"/>
                  </w:tcBorders>
                  <w:shd w:val="clear" w:color="auto" w:fill="auto"/>
                  <w:vAlign w:val="center"/>
                </w:tcPr>
                <w:p w14:paraId="20DF9EED">
                  <w:pPr>
                    <w:pStyle w:val="41"/>
                    <w:bidi w:val="0"/>
                    <w:rPr>
                      <w:rFonts w:hint="eastAsia"/>
                    </w:rPr>
                  </w:pPr>
                  <w:r>
                    <w:rPr>
                      <w:rFonts w:hint="eastAsia"/>
                      <w:lang w:val="en-US" w:eastAsia="zh-CN"/>
                    </w:rPr>
                    <w:t>废实验用品</w:t>
                  </w:r>
                </w:p>
              </w:tc>
              <w:tc>
                <w:tcPr>
                  <w:tcW w:w="591" w:type="pct"/>
                  <w:tcBorders>
                    <w:tl2br w:val="nil"/>
                    <w:tr2bl w:val="nil"/>
                  </w:tcBorders>
                  <w:shd w:val="clear" w:color="auto" w:fill="auto"/>
                  <w:vAlign w:val="center"/>
                </w:tcPr>
                <w:p w14:paraId="0B901A29">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74087287">
                  <w:pPr>
                    <w:pStyle w:val="41"/>
                    <w:bidi w:val="0"/>
                    <w:rPr>
                      <w:rFonts w:hint="default"/>
                    </w:rPr>
                  </w:pPr>
                  <w:r>
                    <w:rPr>
                      <w:rFonts w:hint="default"/>
                      <w:lang w:val="en-US" w:eastAsia="zh-CN"/>
                    </w:rPr>
                    <w:t>5</w:t>
                  </w:r>
                </w:p>
              </w:tc>
              <w:tc>
                <w:tcPr>
                  <w:tcW w:w="557" w:type="pct"/>
                  <w:tcBorders>
                    <w:tl2br w:val="nil"/>
                    <w:tr2bl w:val="nil"/>
                  </w:tcBorders>
                  <w:shd w:val="clear" w:color="auto" w:fill="auto"/>
                  <w:vAlign w:val="center"/>
                </w:tcPr>
                <w:p w14:paraId="4BCDD3C9">
                  <w:pPr>
                    <w:pStyle w:val="41"/>
                    <w:bidi w:val="0"/>
                    <w:rPr>
                      <w:rFonts w:hint="default"/>
                    </w:rPr>
                  </w:pPr>
                  <w:r>
                    <w:rPr>
                      <w:rFonts w:hint="default"/>
                      <w:lang w:val="en-US" w:eastAsia="zh-CN"/>
                    </w:rPr>
                    <w:t>0.115</w:t>
                  </w:r>
                </w:p>
              </w:tc>
              <w:tc>
                <w:tcPr>
                  <w:tcW w:w="550" w:type="pct"/>
                  <w:tcBorders>
                    <w:tl2br w:val="nil"/>
                    <w:tr2bl w:val="nil"/>
                  </w:tcBorders>
                  <w:shd w:val="clear" w:color="auto" w:fill="auto"/>
                  <w:vAlign w:val="center"/>
                </w:tcPr>
                <w:p w14:paraId="71213A82">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7806C74E">
                  <w:pPr>
                    <w:pStyle w:val="41"/>
                    <w:bidi w:val="0"/>
                    <w:rPr>
                      <w:rFonts w:hint="eastAsia"/>
                    </w:rPr>
                  </w:pPr>
                  <w:r>
                    <w:rPr>
                      <w:rFonts w:hint="eastAsia"/>
                      <w:lang w:val="en-US" w:eastAsia="zh-CN"/>
                    </w:rPr>
                    <w:t>5.115</w:t>
                  </w:r>
                </w:p>
              </w:tc>
            </w:tr>
            <w:tr w14:paraId="4F977DA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6781B145">
                  <w:pPr>
                    <w:pStyle w:val="41"/>
                    <w:bidi w:val="0"/>
                    <w:rPr>
                      <w:rFonts w:hint="eastAsia"/>
                    </w:rPr>
                  </w:pPr>
                </w:p>
              </w:tc>
              <w:tc>
                <w:tcPr>
                  <w:tcW w:w="1391" w:type="pct"/>
                  <w:tcBorders>
                    <w:tl2br w:val="nil"/>
                    <w:tr2bl w:val="nil"/>
                  </w:tcBorders>
                  <w:shd w:val="clear" w:color="auto" w:fill="auto"/>
                  <w:vAlign w:val="center"/>
                </w:tcPr>
                <w:p w14:paraId="41CCB912">
                  <w:pPr>
                    <w:pStyle w:val="41"/>
                    <w:bidi w:val="0"/>
                    <w:rPr>
                      <w:rFonts w:hint="eastAsia"/>
                    </w:rPr>
                  </w:pPr>
                  <w:r>
                    <w:rPr>
                      <w:rFonts w:hint="eastAsia"/>
                      <w:lang w:val="en-US" w:eastAsia="zh-CN"/>
                    </w:rPr>
                    <w:t>废试剂包装</w:t>
                  </w:r>
                </w:p>
              </w:tc>
              <w:tc>
                <w:tcPr>
                  <w:tcW w:w="591" w:type="pct"/>
                  <w:tcBorders>
                    <w:tl2br w:val="nil"/>
                    <w:tr2bl w:val="nil"/>
                  </w:tcBorders>
                  <w:shd w:val="clear" w:color="auto" w:fill="auto"/>
                  <w:vAlign w:val="center"/>
                </w:tcPr>
                <w:p w14:paraId="7DF5A69A">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5964A60A">
                  <w:pPr>
                    <w:pStyle w:val="41"/>
                    <w:bidi w:val="0"/>
                    <w:rPr>
                      <w:rFonts w:hint="default"/>
                    </w:rPr>
                  </w:pPr>
                  <w:r>
                    <w:rPr>
                      <w:rFonts w:hint="default"/>
                      <w:lang w:val="en-US" w:eastAsia="zh-CN"/>
                    </w:rPr>
                    <w:t>5.25</w:t>
                  </w:r>
                </w:p>
              </w:tc>
              <w:tc>
                <w:tcPr>
                  <w:tcW w:w="557" w:type="pct"/>
                  <w:tcBorders>
                    <w:tl2br w:val="nil"/>
                    <w:tr2bl w:val="nil"/>
                  </w:tcBorders>
                  <w:shd w:val="clear" w:color="auto" w:fill="auto"/>
                  <w:vAlign w:val="center"/>
                </w:tcPr>
                <w:p w14:paraId="0F626710">
                  <w:pPr>
                    <w:pStyle w:val="41"/>
                    <w:bidi w:val="0"/>
                    <w:rPr>
                      <w:rFonts w:hint="default"/>
                    </w:rPr>
                  </w:pPr>
                  <w:r>
                    <w:rPr>
                      <w:rFonts w:hint="default"/>
                      <w:lang w:val="en-US" w:eastAsia="zh-CN"/>
                    </w:rPr>
                    <w:t>0.05</w:t>
                  </w:r>
                </w:p>
              </w:tc>
              <w:tc>
                <w:tcPr>
                  <w:tcW w:w="550" w:type="pct"/>
                  <w:tcBorders>
                    <w:tl2br w:val="nil"/>
                    <w:tr2bl w:val="nil"/>
                  </w:tcBorders>
                  <w:shd w:val="clear" w:color="auto" w:fill="auto"/>
                  <w:vAlign w:val="center"/>
                </w:tcPr>
                <w:p w14:paraId="131268A2">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74F294C1">
                  <w:pPr>
                    <w:pStyle w:val="41"/>
                    <w:bidi w:val="0"/>
                    <w:rPr>
                      <w:rFonts w:hint="eastAsia"/>
                    </w:rPr>
                  </w:pPr>
                  <w:r>
                    <w:rPr>
                      <w:rFonts w:hint="eastAsia"/>
                      <w:lang w:val="en-US" w:eastAsia="zh-CN"/>
                    </w:rPr>
                    <w:t>5.3</w:t>
                  </w:r>
                </w:p>
              </w:tc>
            </w:tr>
            <w:tr w14:paraId="1C5F119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55839325">
                  <w:pPr>
                    <w:pStyle w:val="41"/>
                    <w:bidi w:val="0"/>
                    <w:rPr>
                      <w:rFonts w:hint="eastAsia"/>
                    </w:rPr>
                  </w:pPr>
                </w:p>
              </w:tc>
              <w:tc>
                <w:tcPr>
                  <w:tcW w:w="1391" w:type="pct"/>
                  <w:tcBorders>
                    <w:tl2br w:val="nil"/>
                    <w:tr2bl w:val="nil"/>
                  </w:tcBorders>
                  <w:shd w:val="clear" w:color="auto" w:fill="auto"/>
                  <w:vAlign w:val="center"/>
                </w:tcPr>
                <w:p w14:paraId="4FA7CC3F">
                  <w:pPr>
                    <w:pStyle w:val="41"/>
                    <w:bidi w:val="0"/>
                    <w:rPr>
                      <w:rFonts w:hint="eastAsia"/>
                    </w:rPr>
                  </w:pPr>
                  <w:r>
                    <w:rPr>
                      <w:rFonts w:hint="eastAsia"/>
                      <w:lang w:val="en-US" w:eastAsia="zh-CN"/>
                    </w:rPr>
                    <w:t>废过滤器</w:t>
                  </w:r>
                </w:p>
              </w:tc>
              <w:tc>
                <w:tcPr>
                  <w:tcW w:w="591" w:type="pct"/>
                  <w:tcBorders>
                    <w:tl2br w:val="nil"/>
                    <w:tr2bl w:val="nil"/>
                  </w:tcBorders>
                  <w:shd w:val="clear" w:color="auto" w:fill="auto"/>
                  <w:vAlign w:val="center"/>
                </w:tcPr>
                <w:p w14:paraId="33557477">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696944AB">
                  <w:pPr>
                    <w:pStyle w:val="41"/>
                    <w:bidi w:val="0"/>
                    <w:rPr>
                      <w:rFonts w:hint="default"/>
                    </w:rPr>
                  </w:pPr>
                  <w:r>
                    <w:rPr>
                      <w:rFonts w:hint="default"/>
                      <w:lang w:val="en-US" w:eastAsia="zh-CN"/>
                    </w:rPr>
                    <w:t>0</w:t>
                  </w:r>
                </w:p>
              </w:tc>
              <w:tc>
                <w:tcPr>
                  <w:tcW w:w="557" w:type="pct"/>
                  <w:tcBorders>
                    <w:tl2br w:val="nil"/>
                    <w:tr2bl w:val="nil"/>
                  </w:tcBorders>
                  <w:shd w:val="clear" w:color="auto" w:fill="auto"/>
                  <w:vAlign w:val="center"/>
                </w:tcPr>
                <w:p w14:paraId="38C5E2E4">
                  <w:pPr>
                    <w:pStyle w:val="41"/>
                    <w:bidi w:val="0"/>
                    <w:rPr>
                      <w:rFonts w:hint="default"/>
                    </w:rPr>
                  </w:pPr>
                  <w:r>
                    <w:rPr>
                      <w:rFonts w:hint="default"/>
                      <w:lang w:val="en-US" w:eastAsia="zh-CN"/>
                    </w:rPr>
                    <w:t>0</w:t>
                  </w:r>
                </w:p>
              </w:tc>
              <w:tc>
                <w:tcPr>
                  <w:tcW w:w="550" w:type="pct"/>
                  <w:tcBorders>
                    <w:tl2br w:val="nil"/>
                    <w:tr2bl w:val="nil"/>
                  </w:tcBorders>
                  <w:shd w:val="clear" w:color="auto" w:fill="auto"/>
                  <w:vAlign w:val="center"/>
                </w:tcPr>
                <w:p w14:paraId="58E9A361">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671F800A">
                  <w:pPr>
                    <w:pStyle w:val="41"/>
                    <w:bidi w:val="0"/>
                    <w:rPr>
                      <w:rFonts w:hint="eastAsia"/>
                    </w:rPr>
                  </w:pPr>
                  <w:r>
                    <w:rPr>
                      <w:rFonts w:hint="eastAsia"/>
                      <w:lang w:val="en-US" w:eastAsia="zh-CN"/>
                    </w:rPr>
                    <w:t>0</w:t>
                  </w:r>
                </w:p>
              </w:tc>
            </w:tr>
            <w:tr w14:paraId="7C62BFD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1307E1E2">
                  <w:pPr>
                    <w:pStyle w:val="41"/>
                    <w:bidi w:val="0"/>
                    <w:rPr>
                      <w:rFonts w:hint="eastAsia"/>
                    </w:rPr>
                  </w:pPr>
                </w:p>
              </w:tc>
              <w:tc>
                <w:tcPr>
                  <w:tcW w:w="1391" w:type="pct"/>
                  <w:tcBorders>
                    <w:tl2br w:val="nil"/>
                    <w:tr2bl w:val="nil"/>
                  </w:tcBorders>
                  <w:shd w:val="clear" w:color="auto" w:fill="auto"/>
                  <w:vAlign w:val="center"/>
                </w:tcPr>
                <w:p w14:paraId="33CCBAA0">
                  <w:pPr>
                    <w:pStyle w:val="41"/>
                    <w:bidi w:val="0"/>
                    <w:rPr>
                      <w:rFonts w:hint="eastAsia"/>
                    </w:rPr>
                  </w:pPr>
                  <w:r>
                    <w:rPr>
                      <w:rFonts w:hint="eastAsia"/>
                      <w:lang w:val="en-US" w:eastAsia="zh-CN"/>
                    </w:rPr>
                    <w:t>污水处理站污泥</w:t>
                  </w:r>
                </w:p>
              </w:tc>
              <w:tc>
                <w:tcPr>
                  <w:tcW w:w="591" w:type="pct"/>
                  <w:tcBorders>
                    <w:tl2br w:val="nil"/>
                    <w:tr2bl w:val="nil"/>
                  </w:tcBorders>
                  <w:shd w:val="clear" w:color="auto" w:fill="auto"/>
                  <w:vAlign w:val="center"/>
                </w:tcPr>
                <w:p w14:paraId="619BCF74">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0DCA92EF">
                  <w:pPr>
                    <w:pStyle w:val="41"/>
                    <w:bidi w:val="0"/>
                    <w:rPr>
                      <w:rFonts w:hint="default"/>
                    </w:rPr>
                  </w:pPr>
                  <w:r>
                    <w:rPr>
                      <w:rFonts w:hint="default"/>
                      <w:lang w:val="en-US" w:eastAsia="zh-CN"/>
                    </w:rPr>
                    <w:t>0.5</w:t>
                  </w:r>
                </w:p>
              </w:tc>
              <w:tc>
                <w:tcPr>
                  <w:tcW w:w="557" w:type="pct"/>
                  <w:tcBorders>
                    <w:tl2br w:val="nil"/>
                    <w:tr2bl w:val="nil"/>
                  </w:tcBorders>
                  <w:shd w:val="clear" w:color="auto" w:fill="auto"/>
                  <w:vAlign w:val="center"/>
                </w:tcPr>
                <w:p w14:paraId="7A72F27E">
                  <w:pPr>
                    <w:pStyle w:val="41"/>
                    <w:bidi w:val="0"/>
                    <w:rPr>
                      <w:rFonts w:hint="default"/>
                    </w:rPr>
                  </w:pPr>
                  <w:r>
                    <w:rPr>
                      <w:rFonts w:hint="default"/>
                      <w:lang w:val="en-US" w:eastAsia="zh-CN"/>
                    </w:rPr>
                    <w:t>0.2</w:t>
                  </w:r>
                </w:p>
              </w:tc>
              <w:tc>
                <w:tcPr>
                  <w:tcW w:w="550" w:type="pct"/>
                  <w:tcBorders>
                    <w:tl2br w:val="nil"/>
                    <w:tr2bl w:val="nil"/>
                  </w:tcBorders>
                  <w:shd w:val="clear" w:color="auto" w:fill="auto"/>
                  <w:vAlign w:val="center"/>
                </w:tcPr>
                <w:p w14:paraId="6E173B44">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0E69D0F6">
                  <w:pPr>
                    <w:pStyle w:val="41"/>
                    <w:bidi w:val="0"/>
                    <w:rPr>
                      <w:rFonts w:hint="eastAsia"/>
                    </w:rPr>
                  </w:pPr>
                  <w:r>
                    <w:rPr>
                      <w:rFonts w:hint="eastAsia"/>
                      <w:lang w:val="en-US" w:eastAsia="zh-CN"/>
                    </w:rPr>
                    <w:t>0.7</w:t>
                  </w:r>
                </w:p>
              </w:tc>
            </w:tr>
            <w:tr w14:paraId="54F35B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vMerge w:val="continue"/>
                  <w:tcBorders>
                    <w:tl2br w:val="nil"/>
                    <w:tr2bl w:val="nil"/>
                  </w:tcBorders>
                  <w:shd w:val="clear" w:color="auto" w:fill="auto"/>
                  <w:vAlign w:val="center"/>
                </w:tcPr>
                <w:p w14:paraId="59472EB2">
                  <w:pPr>
                    <w:pStyle w:val="41"/>
                    <w:bidi w:val="0"/>
                    <w:rPr>
                      <w:rFonts w:hint="eastAsia"/>
                    </w:rPr>
                  </w:pPr>
                </w:p>
              </w:tc>
              <w:tc>
                <w:tcPr>
                  <w:tcW w:w="1391" w:type="pct"/>
                  <w:tcBorders>
                    <w:tl2br w:val="nil"/>
                    <w:tr2bl w:val="nil"/>
                  </w:tcBorders>
                  <w:shd w:val="clear" w:color="auto" w:fill="auto"/>
                  <w:vAlign w:val="center"/>
                </w:tcPr>
                <w:p w14:paraId="0E51E665">
                  <w:pPr>
                    <w:pStyle w:val="41"/>
                    <w:bidi w:val="0"/>
                    <w:rPr>
                      <w:rFonts w:hint="eastAsia"/>
                    </w:rPr>
                  </w:pPr>
                  <w:r>
                    <w:rPr>
                      <w:rFonts w:hint="eastAsia"/>
                      <w:lang w:val="en-US" w:eastAsia="zh-CN"/>
                    </w:rPr>
                    <w:t>废活性炭</w:t>
                  </w:r>
                </w:p>
              </w:tc>
              <w:tc>
                <w:tcPr>
                  <w:tcW w:w="591" w:type="pct"/>
                  <w:tcBorders>
                    <w:tl2br w:val="nil"/>
                    <w:tr2bl w:val="nil"/>
                  </w:tcBorders>
                  <w:shd w:val="clear" w:color="auto" w:fill="auto"/>
                  <w:vAlign w:val="center"/>
                </w:tcPr>
                <w:p w14:paraId="652B9AF6">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4C166735">
                  <w:pPr>
                    <w:pStyle w:val="41"/>
                    <w:bidi w:val="0"/>
                    <w:rPr>
                      <w:rFonts w:hint="default"/>
                    </w:rPr>
                  </w:pPr>
                  <w:r>
                    <w:rPr>
                      <w:rFonts w:hint="default"/>
                      <w:lang w:val="en-US" w:eastAsia="zh-CN"/>
                    </w:rPr>
                    <w:t>1.5</w:t>
                  </w:r>
                </w:p>
              </w:tc>
              <w:tc>
                <w:tcPr>
                  <w:tcW w:w="557" w:type="pct"/>
                  <w:tcBorders>
                    <w:tl2br w:val="nil"/>
                    <w:tr2bl w:val="nil"/>
                  </w:tcBorders>
                  <w:shd w:val="clear" w:color="auto" w:fill="auto"/>
                  <w:vAlign w:val="center"/>
                </w:tcPr>
                <w:p w14:paraId="56DED99A">
                  <w:pPr>
                    <w:pStyle w:val="41"/>
                    <w:bidi w:val="0"/>
                    <w:rPr>
                      <w:rFonts w:hint="default"/>
                    </w:rPr>
                  </w:pPr>
                  <w:r>
                    <w:rPr>
                      <w:rFonts w:hint="default"/>
                      <w:lang w:val="en-US" w:eastAsia="zh-CN"/>
                    </w:rPr>
                    <w:t>0</w:t>
                  </w:r>
                </w:p>
              </w:tc>
              <w:tc>
                <w:tcPr>
                  <w:tcW w:w="550" w:type="pct"/>
                  <w:tcBorders>
                    <w:tl2br w:val="nil"/>
                    <w:tr2bl w:val="nil"/>
                  </w:tcBorders>
                  <w:shd w:val="clear" w:color="auto" w:fill="auto"/>
                  <w:vAlign w:val="center"/>
                </w:tcPr>
                <w:p w14:paraId="69D3FA6A">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257D4640">
                  <w:pPr>
                    <w:pStyle w:val="41"/>
                    <w:bidi w:val="0"/>
                    <w:rPr>
                      <w:rFonts w:hint="eastAsia"/>
                    </w:rPr>
                  </w:pPr>
                  <w:r>
                    <w:rPr>
                      <w:rFonts w:hint="eastAsia"/>
                      <w:lang w:val="en-US" w:eastAsia="zh-CN"/>
                    </w:rPr>
                    <w:t>1.5</w:t>
                  </w:r>
                </w:p>
              </w:tc>
            </w:tr>
            <w:tr w14:paraId="51A201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667" w:type="pct"/>
                  <w:tcBorders>
                    <w:tl2br w:val="nil"/>
                    <w:tr2bl w:val="nil"/>
                  </w:tcBorders>
                  <w:shd w:val="clear" w:color="auto" w:fill="auto"/>
                  <w:vAlign w:val="center"/>
                </w:tcPr>
                <w:p w14:paraId="60DC0B2B">
                  <w:pPr>
                    <w:pStyle w:val="41"/>
                    <w:bidi w:val="0"/>
                    <w:rPr>
                      <w:rFonts w:hint="default"/>
                    </w:rPr>
                  </w:pPr>
                  <w:r>
                    <w:rPr>
                      <w:rFonts w:hint="default"/>
                      <w:lang w:val="en-US" w:eastAsia="zh-CN"/>
                    </w:rPr>
                    <w:t>/</w:t>
                  </w:r>
                </w:p>
              </w:tc>
              <w:tc>
                <w:tcPr>
                  <w:tcW w:w="1391" w:type="pct"/>
                  <w:tcBorders>
                    <w:tl2br w:val="nil"/>
                    <w:tr2bl w:val="nil"/>
                  </w:tcBorders>
                  <w:shd w:val="clear" w:color="auto" w:fill="auto"/>
                  <w:vAlign w:val="center"/>
                </w:tcPr>
                <w:p w14:paraId="750C0C0E">
                  <w:pPr>
                    <w:pStyle w:val="41"/>
                    <w:bidi w:val="0"/>
                    <w:rPr>
                      <w:rFonts w:hint="eastAsia"/>
                    </w:rPr>
                  </w:pPr>
                  <w:r>
                    <w:rPr>
                      <w:rFonts w:hint="eastAsia"/>
                      <w:lang w:val="en-US" w:eastAsia="zh-CN"/>
                    </w:rPr>
                    <w:t>生活垃圾</w:t>
                  </w:r>
                </w:p>
              </w:tc>
              <w:tc>
                <w:tcPr>
                  <w:tcW w:w="591" w:type="pct"/>
                  <w:tcBorders>
                    <w:tl2br w:val="nil"/>
                    <w:tr2bl w:val="nil"/>
                  </w:tcBorders>
                  <w:shd w:val="clear" w:color="auto" w:fill="auto"/>
                  <w:vAlign w:val="center"/>
                </w:tcPr>
                <w:p w14:paraId="63BE705B">
                  <w:pPr>
                    <w:pStyle w:val="41"/>
                    <w:bidi w:val="0"/>
                    <w:rPr>
                      <w:rFonts w:hint="default"/>
                    </w:rPr>
                  </w:pPr>
                  <w:r>
                    <w:rPr>
                      <w:rFonts w:hint="default"/>
                      <w:lang w:val="en-US" w:eastAsia="zh-CN"/>
                    </w:rPr>
                    <w:t>0</w:t>
                  </w:r>
                </w:p>
              </w:tc>
              <w:tc>
                <w:tcPr>
                  <w:tcW w:w="617" w:type="pct"/>
                  <w:tcBorders>
                    <w:tl2br w:val="nil"/>
                    <w:tr2bl w:val="nil"/>
                  </w:tcBorders>
                  <w:shd w:val="clear" w:color="auto" w:fill="auto"/>
                  <w:vAlign w:val="center"/>
                </w:tcPr>
                <w:p w14:paraId="77AF61CA">
                  <w:pPr>
                    <w:pStyle w:val="41"/>
                    <w:bidi w:val="0"/>
                    <w:rPr>
                      <w:rFonts w:hint="default"/>
                    </w:rPr>
                  </w:pPr>
                  <w:r>
                    <w:rPr>
                      <w:rFonts w:hint="default"/>
                      <w:lang w:val="en-US" w:eastAsia="zh-CN"/>
                    </w:rPr>
                    <w:t>75</w:t>
                  </w:r>
                </w:p>
              </w:tc>
              <w:tc>
                <w:tcPr>
                  <w:tcW w:w="557" w:type="pct"/>
                  <w:tcBorders>
                    <w:tl2br w:val="nil"/>
                    <w:tr2bl w:val="nil"/>
                  </w:tcBorders>
                  <w:shd w:val="clear" w:color="auto" w:fill="auto"/>
                  <w:vAlign w:val="center"/>
                </w:tcPr>
                <w:p w14:paraId="6DC2B614">
                  <w:pPr>
                    <w:pStyle w:val="41"/>
                    <w:bidi w:val="0"/>
                    <w:rPr>
                      <w:rFonts w:hint="default"/>
                    </w:rPr>
                  </w:pPr>
                  <w:r>
                    <w:rPr>
                      <w:rFonts w:hint="default"/>
                      <w:lang w:val="en-US" w:eastAsia="zh-CN"/>
                    </w:rPr>
                    <w:t>7.5</w:t>
                  </w:r>
                </w:p>
              </w:tc>
              <w:tc>
                <w:tcPr>
                  <w:tcW w:w="550" w:type="pct"/>
                  <w:tcBorders>
                    <w:tl2br w:val="nil"/>
                    <w:tr2bl w:val="nil"/>
                  </w:tcBorders>
                  <w:shd w:val="clear" w:color="auto" w:fill="auto"/>
                  <w:vAlign w:val="center"/>
                </w:tcPr>
                <w:p w14:paraId="506F5334">
                  <w:pPr>
                    <w:pStyle w:val="41"/>
                    <w:bidi w:val="0"/>
                    <w:rPr>
                      <w:rFonts w:hint="default"/>
                    </w:rPr>
                  </w:pPr>
                  <w:r>
                    <w:rPr>
                      <w:rFonts w:hint="default"/>
                      <w:lang w:val="en-US" w:eastAsia="zh-CN"/>
                    </w:rPr>
                    <w:t>0</w:t>
                  </w:r>
                </w:p>
              </w:tc>
              <w:tc>
                <w:tcPr>
                  <w:tcW w:w="624" w:type="pct"/>
                  <w:tcBorders>
                    <w:tl2br w:val="nil"/>
                    <w:tr2bl w:val="nil"/>
                  </w:tcBorders>
                  <w:shd w:val="clear" w:color="auto" w:fill="auto"/>
                  <w:noWrap/>
                  <w:vAlign w:val="center"/>
                </w:tcPr>
                <w:p w14:paraId="57333A0B">
                  <w:pPr>
                    <w:pStyle w:val="41"/>
                    <w:bidi w:val="0"/>
                    <w:rPr>
                      <w:rFonts w:hint="eastAsia"/>
                    </w:rPr>
                  </w:pPr>
                  <w:r>
                    <w:rPr>
                      <w:rFonts w:hint="eastAsia"/>
                      <w:lang w:val="en-US" w:eastAsia="zh-CN"/>
                    </w:rPr>
                    <w:t>82.5</w:t>
                  </w:r>
                </w:p>
              </w:tc>
            </w:tr>
          </w:tbl>
          <w:p w14:paraId="39430433">
            <w:pPr>
              <w:pStyle w:val="41"/>
              <w:bidi w:val="0"/>
              <w:rPr>
                <w:rFonts w:hint="eastAsia"/>
              </w:rPr>
            </w:pPr>
          </w:p>
          <w:p w14:paraId="42E1A8E1">
            <w:pPr>
              <w:pStyle w:val="44"/>
              <w:bidi w:val="0"/>
              <w:rPr>
                <w:rFonts w:hint="eastAsia"/>
              </w:rPr>
            </w:pPr>
            <w:r>
              <w:rPr>
                <w:rFonts w:hint="eastAsia"/>
                <w:lang w:val="en-US" w:eastAsia="zh-CN"/>
              </w:rPr>
              <w:t>搬迁后现有建筑污染物削减量汇总表</w:t>
            </w:r>
          </w:p>
          <w:tbl>
            <w:tblPr>
              <w:tblStyle w:val="32"/>
              <w:tblW w:w="4912"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1754"/>
              <w:gridCol w:w="2630"/>
              <w:gridCol w:w="3286"/>
            </w:tblGrid>
            <w:tr w14:paraId="265A140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1143" w:type="pct"/>
                  <w:tcBorders>
                    <w:tl2br w:val="nil"/>
                    <w:tr2bl w:val="nil"/>
                  </w:tcBorders>
                  <w:shd w:val="clear" w:color="auto" w:fill="auto"/>
                  <w:vAlign w:val="center"/>
                </w:tcPr>
                <w:p w14:paraId="0118F96C">
                  <w:pPr>
                    <w:pStyle w:val="41"/>
                    <w:bidi w:val="0"/>
                    <w:rPr>
                      <w:rFonts w:hint="eastAsia"/>
                      <w:b/>
                      <w:bCs/>
                    </w:rPr>
                  </w:pPr>
                  <w:r>
                    <w:rPr>
                      <w:rFonts w:hint="eastAsia"/>
                      <w:b/>
                      <w:bCs/>
                      <w:lang w:val="en-US" w:eastAsia="zh-CN"/>
                    </w:rPr>
                    <w:t>污染物种类</w:t>
                  </w:r>
                </w:p>
              </w:tc>
              <w:tc>
                <w:tcPr>
                  <w:tcW w:w="1714" w:type="pct"/>
                  <w:tcBorders>
                    <w:tl2br w:val="nil"/>
                    <w:tr2bl w:val="nil"/>
                  </w:tcBorders>
                  <w:shd w:val="clear" w:color="auto" w:fill="auto"/>
                  <w:vAlign w:val="center"/>
                </w:tcPr>
                <w:p w14:paraId="2061BBF5">
                  <w:pPr>
                    <w:pStyle w:val="41"/>
                    <w:bidi w:val="0"/>
                    <w:rPr>
                      <w:rFonts w:hint="eastAsia"/>
                      <w:b/>
                      <w:bCs/>
                    </w:rPr>
                  </w:pPr>
                  <w:r>
                    <w:rPr>
                      <w:rFonts w:hint="eastAsia"/>
                      <w:b/>
                      <w:bCs/>
                      <w:lang w:val="en-US" w:eastAsia="zh-CN"/>
                    </w:rPr>
                    <w:t>污染物名称</w:t>
                  </w:r>
                </w:p>
              </w:tc>
              <w:tc>
                <w:tcPr>
                  <w:tcW w:w="2141" w:type="pct"/>
                  <w:tcBorders>
                    <w:tl2br w:val="nil"/>
                    <w:tr2bl w:val="nil"/>
                  </w:tcBorders>
                  <w:shd w:val="clear" w:color="auto" w:fill="auto"/>
                  <w:vAlign w:val="center"/>
                </w:tcPr>
                <w:p w14:paraId="5A929D2B">
                  <w:pPr>
                    <w:pStyle w:val="41"/>
                    <w:bidi w:val="0"/>
                    <w:rPr>
                      <w:rFonts w:hint="eastAsia" w:eastAsia="宋体"/>
                      <w:b/>
                      <w:bCs/>
                      <w:lang w:val="en-US" w:eastAsia="zh-CN"/>
                    </w:rPr>
                  </w:pPr>
                  <w:r>
                    <w:rPr>
                      <w:rFonts w:hint="eastAsia"/>
                      <w:b/>
                      <w:bCs/>
                      <w:lang w:val="en-US" w:eastAsia="zh-CN"/>
                    </w:rPr>
                    <w:t>削减量（</w:t>
                  </w:r>
                  <w:r>
                    <w:rPr>
                      <w:rFonts w:hint="default"/>
                      <w:b/>
                      <w:bCs/>
                      <w:lang w:val="en-US" w:eastAsia="zh-CN"/>
                    </w:rPr>
                    <w:t>t/a</w:t>
                  </w:r>
                  <w:r>
                    <w:rPr>
                      <w:rFonts w:hint="eastAsia"/>
                      <w:b/>
                      <w:bCs/>
                      <w:lang w:val="en-US" w:eastAsia="zh-CN"/>
                    </w:rPr>
                    <w:t>）</w:t>
                  </w:r>
                </w:p>
              </w:tc>
            </w:tr>
            <w:tr w14:paraId="683BA08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1143" w:type="pct"/>
                  <w:vMerge w:val="restart"/>
                  <w:tcBorders>
                    <w:tl2br w:val="nil"/>
                    <w:tr2bl w:val="nil"/>
                  </w:tcBorders>
                  <w:shd w:val="clear" w:color="auto" w:fill="auto"/>
                  <w:vAlign w:val="center"/>
                </w:tcPr>
                <w:p w14:paraId="45A4416B">
                  <w:pPr>
                    <w:pStyle w:val="41"/>
                    <w:bidi w:val="0"/>
                    <w:rPr>
                      <w:rFonts w:hint="eastAsia"/>
                    </w:rPr>
                  </w:pPr>
                  <w:r>
                    <w:rPr>
                      <w:rFonts w:hint="eastAsia"/>
                      <w:lang w:val="en-US" w:eastAsia="zh-CN"/>
                    </w:rPr>
                    <w:t>废水</w:t>
                  </w:r>
                </w:p>
              </w:tc>
              <w:tc>
                <w:tcPr>
                  <w:tcW w:w="1714" w:type="pct"/>
                  <w:tcBorders>
                    <w:tl2br w:val="nil"/>
                    <w:tr2bl w:val="nil"/>
                  </w:tcBorders>
                  <w:shd w:val="clear" w:color="auto" w:fill="auto"/>
                  <w:vAlign w:val="center"/>
                </w:tcPr>
                <w:p w14:paraId="703DD162">
                  <w:pPr>
                    <w:pStyle w:val="41"/>
                    <w:bidi w:val="0"/>
                    <w:rPr>
                      <w:rFonts w:hint="eastAsia"/>
                    </w:rPr>
                  </w:pPr>
                  <w:r>
                    <w:rPr>
                      <w:rFonts w:hint="eastAsia"/>
                      <w:lang w:val="en-US" w:eastAsia="zh-CN"/>
                    </w:rPr>
                    <w:t>废水量</w:t>
                  </w:r>
                </w:p>
              </w:tc>
              <w:tc>
                <w:tcPr>
                  <w:tcW w:w="2141" w:type="pct"/>
                  <w:tcBorders>
                    <w:tl2br w:val="nil"/>
                    <w:tr2bl w:val="nil"/>
                  </w:tcBorders>
                  <w:shd w:val="clear" w:color="auto" w:fill="auto"/>
                  <w:vAlign w:val="center"/>
                </w:tcPr>
                <w:p w14:paraId="1DFA4005">
                  <w:pPr>
                    <w:pStyle w:val="41"/>
                    <w:bidi w:val="0"/>
                    <w:jc w:val="center"/>
                    <w:rPr>
                      <w:rFonts w:hint="eastAsia"/>
                      <w:lang w:val="en-US" w:eastAsia="zh-CN"/>
                    </w:rPr>
                  </w:pPr>
                  <w:r>
                    <w:rPr>
                      <w:rFonts w:hint="eastAsia"/>
                    </w:rPr>
                    <w:t>14687.95</w:t>
                  </w:r>
                </w:p>
              </w:tc>
            </w:tr>
            <w:tr w14:paraId="5DD5A5F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5EB4FA84">
                  <w:pPr>
                    <w:pStyle w:val="41"/>
                    <w:bidi w:val="0"/>
                    <w:rPr>
                      <w:rFonts w:hint="eastAsia"/>
                    </w:rPr>
                  </w:pPr>
                </w:p>
              </w:tc>
              <w:tc>
                <w:tcPr>
                  <w:tcW w:w="1714" w:type="pct"/>
                  <w:tcBorders>
                    <w:tl2br w:val="nil"/>
                    <w:tr2bl w:val="nil"/>
                  </w:tcBorders>
                  <w:shd w:val="clear" w:color="auto" w:fill="auto"/>
                  <w:vAlign w:val="center"/>
                </w:tcPr>
                <w:p w14:paraId="02439428">
                  <w:pPr>
                    <w:pStyle w:val="41"/>
                    <w:bidi w:val="0"/>
                    <w:rPr>
                      <w:rFonts w:hint="default"/>
                    </w:rPr>
                  </w:pPr>
                  <w:r>
                    <w:rPr>
                      <w:rFonts w:hint="default"/>
                      <w:lang w:val="en-US" w:eastAsia="zh-CN"/>
                    </w:rPr>
                    <w:t>COD</w:t>
                  </w:r>
                </w:p>
              </w:tc>
              <w:tc>
                <w:tcPr>
                  <w:tcW w:w="2141" w:type="pct"/>
                  <w:tcBorders>
                    <w:tl2br w:val="nil"/>
                    <w:tr2bl w:val="nil"/>
                  </w:tcBorders>
                  <w:shd w:val="clear" w:color="auto" w:fill="auto"/>
                  <w:vAlign w:val="center"/>
                </w:tcPr>
                <w:p w14:paraId="30C26EF6">
                  <w:pPr>
                    <w:pStyle w:val="41"/>
                    <w:bidi w:val="0"/>
                    <w:jc w:val="center"/>
                    <w:rPr>
                      <w:rFonts w:hint="default"/>
                      <w:lang w:val="en-US" w:eastAsia="zh-CN"/>
                    </w:rPr>
                  </w:pPr>
                  <w:r>
                    <w:rPr>
                      <w:rFonts w:hint="eastAsia"/>
                    </w:rPr>
                    <w:t>3.876</w:t>
                  </w:r>
                </w:p>
              </w:tc>
            </w:tr>
            <w:tr w14:paraId="503FA9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30FECDBA">
                  <w:pPr>
                    <w:pStyle w:val="41"/>
                    <w:bidi w:val="0"/>
                    <w:rPr>
                      <w:rFonts w:hint="eastAsia"/>
                    </w:rPr>
                  </w:pPr>
                </w:p>
              </w:tc>
              <w:tc>
                <w:tcPr>
                  <w:tcW w:w="1714" w:type="pct"/>
                  <w:tcBorders>
                    <w:tl2br w:val="nil"/>
                    <w:tr2bl w:val="nil"/>
                  </w:tcBorders>
                  <w:shd w:val="clear" w:color="auto" w:fill="auto"/>
                  <w:vAlign w:val="center"/>
                </w:tcPr>
                <w:p w14:paraId="01577974">
                  <w:pPr>
                    <w:pStyle w:val="41"/>
                    <w:bidi w:val="0"/>
                    <w:rPr>
                      <w:rFonts w:hint="default"/>
                    </w:rPr>
                  </w:pPr>
                  <w:r>
                    <w:rPr>
                      <w:rFonts w:hint="default"/>
                      <w:lang w:val="en-US" w:eastAsia="zh-CN"/>
                    </w:rPr>
                    <w:t>SS</w:t>
                  </w:r>
                </w:p>
              </w:tc>
              <w:tc>
                <w:tcPr>
                  <w:tcW w:w="2141" w:type="pct"/>
                  <w:tcBorders>
                    <w:tl2br w:val="nil"/>
                    <w:tr2bl w:val="nil"/>
                  </w:tcBorders>
                  <w:shd w:val="clear" w:color="auto" w:fill="auto"/>
                  <w:vAlign w:val="center"/>
                </w:tcPr>
                <w:p w14:paraId="74ACF89D">
                  <w:pPr>
                    <w:pStyle w:val="41"/>
                    <w:bidi w:val="0"/>
                    <w:jc w:val="center"/>
                    <w:rPr>
                      <w:rFonts w:hint="default"/>
                      <w:lang w:val="en-US" w:eastAsia="zh-CN"/>
                    </w:rPr>
                  </w:pPr>
                  <w:r>
                    <w:rPr>
                      <w:rFonts w:hint="eastAsia"/>
                    </w:rPr>
                    <w:t>3.152</w:t>
                  </w:r>
                </w:p>
              </w:tc>
            </w:tr>
            <w:tr w14:paraId="1AF33EC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4DCCE191">
                  <w:pPr>
                    <w:pStyle w:val="41"/>
                    <w:bidi w:val="0"/>
                    <w:rPr>
                      <w:rFonts w:hint="eastAsia"/>
                    </w:rPr>
                  </w:pPr>
                </w:p>
              </w:tc>
              <w:tc>
                <w:tcPr>
                  <w:tcW w:w="1714" w:type="pct"/>
                  <w:tcBorders>
                    <w:tl2br w:val="nil"/>
                    <w:tr2bl w:val="nil"/>
                  </w:tcBorders>
                  <w:shd w:val="clear" w:color="auto" w:fill="auto"/>
                  <w:vAlign w:val="center"/>
                </w:tcPr>
                <w:p w14:paraId="4B7C4429">
                  <w:pPr>
                    <w:pStyle w:val="41"/>
                    <w:bidi w:val="0"/>
                    <w:rPr>
                      <w:rFonts w:hint="default"/>
                    </w:rPr>
                  </w:pPr>
                  <w:r>
                    <w:rPr>
                      <w:rFonts w:hint="default"/>
                      <w:lang w:val="en-US" w:eastAsia="zh-CN"/>
                    </w:rPr>
                    <w:t>NH</w:t>
                  </w:r>
                  <w:r>
                    <w:rPr>
                      <w:rFonts w:hint="default"/>
                      <w:vertAlign w:val="subscript"/>
                      <w:lang w:val="en-US" w:eastAsia="zh-CN"/>
                    </w:rPr>
                    <w:t>3</w:t>
                  </w:r>
                  <w:r>
                    <w:rPr>
                      <w:rFonts w:hint="default"/>
                      <w:lang w:val="en-US" w:eastAsia="zh-CN"/>
                    </w:rPr>
                    <w:t>-N</w:t>
                  </w:r>
                </w:p>
              </w:tc>
              <w:tc>
                <w:tcPr>
                  <w:tcW w:w="2141" w:type="pct"/>
                  <w:tcBorders>
                    <w:tl2br w:val="nil"/>
                    <w:tr2bl w:val="nil"/>
                  </w:tcBorders>
                  <w:shd w:val="clear" w:color="auto" w:fill="auto"/>
                  <w:vAlign w:val="center"/>
                </w:tcPr>
                <w:p w14:paraId="6E1BFE9C">
                  <w:pPr>
                    <w:pStyle w:val="41"/>
                    <w:bidi w:val="0"/>
                    <w:jc w:val="center"/>
                    <w:rPr>
                      <w:rFonts w:hint="default"/>
                      <w:lang w:val="en-US" w:eastAsia="zh-CN"/>
                    </w:rPr>
                  </w:pPr>
                  <w:r>
                    <w:rPr>
                      <w:rFonts w:hint="eastAsia"/>
                    </w:rPr>
                    <w:t>0.3607</w:t>
                  </w:r>
                </w:p>
              </w:tc>
            </w:tr>
            <w:tr w14:paraId="3D27784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653678D0">
                  <w:pPr>
                    <w:pStyle w:val="41"/>
                    <w:bidi w:val="0"/>
                    <w:rPr>
                      <w:rFonts w:hint="eastAsia"/>
                    </w:rPr>
                  </w:pPr>
                </w:p>
              </w:tc>
              <w:tc>
                <w:tcPr>
                  <w:tcW w:w="1714" w:type="pct"/>
                  <w:tcBorders>
                    <w:tl2br w:val="nil"/>
                    <w:tr2bl w:val="nil"/>
                  </w:tcBorders>
                  <w:shd w:val="clear" w:color="auto" w:fill="auto"/>
                  <w:vAlign w:val="center"/>
                </w:tcPr>
                <w:p w14:paraId="3B7BB19E">
                  <w:pPr>
                    <w:pStyle w:val="41"/>
                    <w:bidi w:val="0"/>
                    <w:rPr>
                      <w:rFonts w:hint="default"/>
                    </w:rPr>
                  </w:pPr>
                  <w:r>
                    <w:rPr>
                      <w:rFonts w:hint="default"/>
                      <w:lang w:val="en-US" w:eastAsia="zh-CN"/>
                    </w:rPr>
                    <w:t>TN</w:t>
                  </w:r>
                </w:p>
              </w:tc>
              <w:tc>
                <w:tcPr>
                  <w:tcW w:w="2141" w:type="pct"/>
                  <w:tcBorders>
                    <w:tl2br w:val="nil"/>
                    <w:tr2bl w:val="nil"/>
                  </w:tcBorders>
                  <w:shd w:val="clear" w:color="auto" w:fill="auto"/>
                  <w:vAlign w:val="center"/>
                </w:tcPr>
                <w:p w14:paraId="5682C309">
                  <w:pPr>
                    <w:pStyle w:val="41"/>
                    <w:bidi w:val="0"/>
                    <w:jc w:val="center"/>
                    <w:rPr>
                      <w:rFonts w:hint="default"/>
                      <w:lang w:val="en-US" w:eastAsia="zh-CN"/>
                    </w:rPr>
                  </w:pPr>
                  <w:r>
                    <w:rPr>
                      <w:rFonts w:hint="eastAsia"/>
                    </w:rPr>
                    <w:t>0.084</w:t>
                  </w:r>
                </w:p>
              </w:tc>
            </w:tr>
            <w:tr w14:paraId="73489C7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3A47C8EA">
                  <w:pPr>
                    <w:pStyle w:val="41"/>
                    <w:bidi w:val="0"/>
                    <w:rPr>
                      <w:rFonts w:hint="eastAsia"/>
                    </w:rPr>
                  </w:pPr>
                </w:p>
              </w:tc>
              <w:tc>
                <w:tcPr>
                  <w:tcW w:w="1714" w:type="pct"/>
                  <w:tcBorders>
                    <w:tl2br w:val="nil"/>
                    <w:tr2bl w:val="nil"/>
                  </w:tcBorders>
                  <w:shd w:val="clear" w:color="auto" w:fill="auto"/>
                  <w:vAlign w:val="center"/>
                </w:tcPr>
                <w:p w14:paraId="6EAD3121">
                  <w:pPr>
                    <w:pStyle w:val="41"/>
                    <w:bidi w:val="0"/>
                    <w:rPr>
                      <w:rFonts w:hint="default"/>
                    </w:rPr>
                  </w:pPr>
                  <w:r>
                    <w:rPr>
                      <w:rFonts w:hint="default"/>
                      <w:lang w:val="en-US" w:eastAsia="zh-CN"/>
                    </w:rPr>
                    <w:t>TP</w:t>
                  </w:r>
                </w:p>
              </w:tc>
              <w:tc>
                <w:tcPr>
                  <w:tcW w:w="2141" w:type="pct"/>
                  <w:tcBorders>
                    <w:tl2br w:val="nil"/>
                    <w:tr2bl w:val="nil"/>
                  </w:tcBorders>
                  <w:shd w:val="clear" w:color="auto" w:fill="auto"/>
                  <w:vAlign w:val="center"/>
                </w:tcPr>
                <w:p w14:paraId="1DB0BFDC">
                  <w:pPr>
                    <w:pStyle w:val="41"/>
                    <w:bidi w:val="0"/>
                    <w:jc w:val="center"/>
                    <w:rPr>
                      <w:rFonts w:hint="default"/>
                      <w:lang w:val="en-US" w:eastAsia="zh-CN"/>
                    </w:rPr>
                  </w:pPr>
                  <w:r>
                    <w:rPr>
                      <w:rFonts w:hint="eastAsia"/>
                    </w:rPr>
                    <w:t>0.06037</w:t>
                  </w:r>
                </w:p>
              </w:tc>
            </w:tr>
            <w:tr w14:paraId="73DB070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1143" w:type="pct"/>
                  <w:vMerge w:val="restart"/>
                  <w:tcBorders>
                    <w:tl2br w:val="nil"/>
                    <w:tr2bl w:val="nil"/>
                  </w:tcBorders>
                  <w:shd w:val="clear" w:color="auto" w:fill="auto"/>
                  <w:vAlign w:val="center"/>
                </w:tcPr>
                <w:p w14:paraId="7E5C4176">
                  <w:pPr>
                    <w:pStyle w:val="41"/>
                    <w:bidi w:val="0"/>
                    <w:rPr>
                      <w:rFonts w:hint="eastAsia"/>
                    </w:rPr>
                  </w:pPr>
                  <w:r>
                    <w:rPr>
                      <w:rFonts w:hint="eastAsia"/>
                      <w:lang w:val="en-US" w:eastAsia="zh-CN"/>
                    </w:rPr>
                    <w:t>有组织废气</w:t>
                  </w:r>
                </w:p>
              </w:tc>
              <w:tc>
                <w:tcPr>
                  <w:tcW w:w="1714" w:type="pct"/>
                  <w:tcBorders>
                    <w:tl2br w:val="nil"/>
                    <w:tr2bl w:val="nil"/>
                  </w:tcBorders>
                  <w:shd w:val="clear" w:color="auto" w:fill="auto"/>
                  <w:vAlign w:val="center"/>
                </w:tcPr>
                <w:p w14:paraId="3F3D6989">
                  <w:pPr>
                    <w:pStyle w:val="41"/>
                    <w:bidi w:val="0"/>
                    <w:rPr>
                      <w:rFonts w:hint="default"/>
                    </w:rPr>
                  </w:pPr>
                  <w:r>
                    <w:rPr>
                      <w:rFonts w:hint="default"/>
                      <w:lang w:val="en-US" w:eastAsia="zh-CN"/>
                    </w:rPr>
                    <w:t>NMHC</w:t>
                  </w:r>
                </w:p>
              </w:tc>
              <w:tc>
                <w:tcPr>
                  <w:tcW w:w="2141" w:type="pct"/>
                  <w:tcBorders>
                    <w:tl2br w:val="nil"/>
                    <w:tr2bl w:val="nil"/>
                  </w:tcBorders>
                  <w:shd w:val="clear" w:color="auto" w:fill="auto"/>
                  <w:vAlign w:val="center"/>
                </w:tcPr>
                <w:p w14:paraId="1DCAEE6F">
                  <w:pPr>
                    <w:pStyle w:val="41"/>
                    <w:bidi w:val="0"/>
                    <w:jc w:val="center"/>
                    <w:rPr>
                      <w:rFonts w:hint="default"/>
                      <w:lang w:val="en-US" w:eastAsia="zh-CN"/>
                    </w:rPr>
                  </w:pPr>
                  <w:r>
                    <w:rPr>
                      <w:rFonts w:hint="eastAsia"/>
                    </w:rPr>
                    <w:t>0.1415</w:t>
                  </w:r>
                </w:p>
              </w:tc>
            </w:tr>
            <w:tr w14:paraId="564BE5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53510769">
                  <w:pPr>
                    <w:pStyle w:val="41"/>
                    <w:bidi w:val="0"/>
                    <w:rPr>
                      <w:rFonts w:hint="eastAsia"/>
                    </w:rPr>
                  </w:pPr>
                </w:p>
              </w:tc>
              <w:tc>
                <w:tcPr>
                  <w:tcW w:w="1714" w:type="pct"/>
                  <w:tcBorders>
                    <w:tl2br w:val="nil"/>
                    <w:tr2bl w:val="nil"/>
                  </w:tcBorders>
                  <w:shd w:val="clear" w:color="auto" w:fill="auto"/>
                  <w:vAlign w:val="center"/>
                </w:tcPr>
                <w:p w14:paraId="330779EB">
                  <w:pPr>
                    <w:pStyle w:val="41"/>
                    <w:bidi w:val="0"/>
                    <w:rPr>
                      <w:rFonts w:hint="default"/>
                    </w:rPr>
                  </w:pPr>
                  <w:r>
                    <w:rPr>
                      <w:rFonts w:hint="default"/>
                      <w:lang w:val="en-US" w:eastAsia="zh-CN"/>
                    </w:rPr>
                    <w:t>NH</w:t>
                  </w:r>
                  <w:r>
                    <w:rPr>
                      <w:rFonts w:hint="default"/>
                      <w:vertAlign w:val="subscript"/>
                      <w:lang w:val="en-US" w:eastAsia="zh-CN"/>
                    </w:rPr>
                    <w:t>3</w:t>
                  </w:r>
                </w:p>
              </w:tc>
              <w:tc>
                <w:tcPr>
                  <w:tcW w:w="2141" w:type="pct"/>
                  <w:tcBorders>
                    <w:tl2br w:val="nil"/>
                    <w:tr2bl w:val="nil"/>
                  </w:tcBorders>
                  <w:shd w:val="clear" w:color="auto" w:fill="auto"/>
                  <w:vAlign w:val="center"/>
                </w:tcPr>
                <w:p w14:paraId="5AB4C061">
                  <w:pPr>
                    <w:pStyle w:val="41"/>
                    <w:bidi w:val="0"/>
                    <w:jc w:val="center"/>
                    <w:rPr>
                      <w:rFonts w:hint="default"/>
                      <w:lang w:val="en-US" w:eastAsia="zh-CN"/>
                    </w:rPr>
                  </w:pPr>
                  <w:r>
                    <w:rPr>
                      <w:rFonts w:hint="eastAsia"/>
                    </w:rPr>
                    <w:t>0.001</w:t>
                  </w:r>
                </w:p>
              </w:tc>
            </w:tr>
            <w:tr w14:paraId="40FF0E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12BF6AE5">
                  <w:pPr>
                    <w:pStyle w:val="41"/>
                    <w:bidi w:val="0"/>
                    <w:rPr>
                      <w:rFonts w:hint="eastAsia"/>
                    </w:rPr>
                  </w:pPr>
                </w:p>
              </w:tc>
              <w:tc>
                <w:tcPr>
                  <w:tcW w:w="1714" w:type="pct"/>
                  <w:tcBorders>
                    <w:tl2br w:val="nil"/>
                    <w:tr2bl w:val="nil"/>
                  </w:tcBorders>
                  <w:shd w:val="clear" w:color="auto" w:fill="auto"/>
                  <w:vAlign w:val="center"/>
                </w:tcPr>
                <w:p w14:paraId="1B19C054">
                  <w:pPr>
                    <w:pStyle w:val="41"/>
                    <w:bidi w:val="0"/>
                    <w:rPr>
                      <w:rFonts w:hint="default"/>
                    </w:rPr>
                  </w:pPr>
                  <w:r>
                    <w:rPr>
                      <w:rFonts w:hint="default"/>
                      <w:lang w:val="en-US" w:eastAsia="zh-CN"/>
                    </w:rPr>
                    <w:t>SO</w:t>
                  </w:r>
                  <w:r>
                    <w:rPr>
                      <w:rFonts w:hint="default"/>
                      <w:vertAlign w:val="subscript"/>
                      <w:lang w:val="en-US" w:eastAsia="zh-CN"/>
                    </w:rPr>
                    <w:t>2</w:t>
                  </w:r>
                </w:p>
              </w:tc>
              <w:tc>
                <w:tcPr>
                  <w:tcW w:w="2141" w:type="pct"/>
                  <w:tcBorders>
                    <w:tl2br w:val="nil"/>
                    <w:tr2bl w:val="nil"/>
                  </w:tcBorders>
                  <w:shd w:val="clear" w:color="auto" w:fill="auto"/>
                  <w:vAlign w:val="center"/>
                </w:tcPr>
                <w:p w14:paraId="17F7CD42">
                  <w:pPr>
                    <w:pStyle w:val="41"/>
                    <w:bidi w:val="0"/>
                    <w:jc w:val="center"/>
                    <w:rPr>
                      <w:rFonts w:hint="default"/>
                      <w:lang w:val="en-US" w:eastAsia="zh-CN"/>
                    </w:rPr>
                  </w:pPr>
                  <w:r>
                    <w:rPr>
                      <w:rFonts w:hint="eastAsia"/>
                    </w:rPr>
                    <w:t>0.02</w:t>
                  </w:r>
                </w:p>
              </w:tc>
            </w:tr>
            <w:tr w14:paraId="4C9B9A6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026F6CBC">
                  <w:pPr>
                    <w:pStyle w:val="41"/>
                    <w:bidi w:val="0"/>
                    <w:rPr>
                      <w:rFonts w:hint="eastAsia"/>
                    </w:rPr>
                  </w:pPr>
                </w:p>
              </w:tc>
              <w:tc>
                <w:tcPr>
                  <w:tcW w:w="1714" w:type="pct"/>
                  <w:tcBorders>
                    <w:tl2br w:val="nil"/>
                    <w:tr2bl w:val="nil"/>
                  </w:tcBorders>
                  <w:shd w:val="clear" w:color="auto" w:fill="auto"/>
                  <w:vAlign w:val="center"/>
                </w:tcPr>
                <w:p w14:paraId="53F61A2B">
                  <w:pPr>
                    <w:pStyle w:val="41"/>
                    <w:bidi w:val="0"/>
                    <w:rPr>
                      <w:rFonts w:hint="default"/>
                    </w:rPr>
                  </w:pPr>
                  <w:r>
                    <w:rPr>
                      <w:rFonts w:hint="default"/>
                      <w:lang w:val="en-US" w:eastAsia="zh-CN"/>
                    </w:rPr>
                    <w:t>NO</w:t>
                  </w:r>
                  <w:r>
                    <w:rPr>
                      <w:rFonts w:hint="default"/>
                      <w:vertAlign w:val="subscript"/>
                      <w:lang w:val="en-US" w:eastAsia="zh-CN"/>
                    </w:rPr>
                    <w:t>X</w:t>
                  </w:r>
                </w:p>
              </w:tc>
              <w:tc>
                <w:tcPr>
                  <w:tcW w:w="2141" w:type="pct"/>
                  <w:tcBorders>
                    <w:tl2br w:val="nil"/>
                    <w:tr2bl w:val="nil"/>
                  </w:tcBorders>
                  <w:shd w:val="clear" w:color="auto" w:fill="auto"/>
                  <w:vAlign w:val="center"/>
                </w:tcPr>
                <w:p w14:paraId="4E3FC68D">
                  <w:pPr>
                    <w:pStyle w:val="41"/>
                    <w:bidi w:val="0"/>
                    <w:jc w:val="center"/>
                    <w:rPr>
                      <w:rFonts w:hint="default"/>
                      <w:lang w:val="en-US" w:eastAsia="zh-CN"/>
                    </w:rPr>
                  </w:pPr>
                  <w:r>
                    <w:rPr>
                      <w:rFonts w:hint="eastAsia"/>
                    </w:rPr>
                    <w:t>0.38</w:t>
                  </w:r>
                </w:p>
              </w:tc>
            </w:tr>
            <w:tr w14:paraId="4B7D053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01A197F6">
                  <w:pPr>
                    <w:pStyle w:val="41"/>
                    <w:bidi w:val="0"/>
                    <w:rPr>
                      <w:rFonts w:hint="eastAsia"/>
                    </w:rPr>
                  </w:pPr>
                </w:p>
              </w:tc>
              <w:tc>
                <w:tcPr>
                  <w:tcW w:w="1714" w:type="pct"/>
                  <w:tcBorders>
                    <w:tl2br w:val="nil"/>
                    <w:tr2bl w:val="nil"/>
                  </w:tcBorders>
                  <w:shd w:val="clear" w:color="auto" w:fill="auto"/>
                  <w:vAlign w:val="center"/>
                </w:tcPr>
                <w:p w14:paraId="07100C68">
                  <w:pPr>
                    <w:pStyle w:val="41"/>
                    <w:bidi w:val="0"/>
                    <w:rPr>
                      <w:rFonts w:hint="eastAsia"/>
                    </w:rPr>
                  </w:pPr>
                  <w:r>
                    <w:rPr>
                      <w:rFonts w:hint="eastAsia"/>
                      <w:lang w:val="en-US" w:eastAsia="zh-CN"/>
                    </w:rPr>
                    <w:t>颗粒物</w:t>
                  </w:r>
                </w:p>
              </w:tc>
              <w:tc>
                <w:tcPr>
                  <w:tcW w:w="2141" w:type="pct"/>
                  <w:tcBorders>
                    <w:tl2br w:val="nil"/>
                    <w:tr2bl w:val="nil"/>
                  </w:tcBorders>
                  <w:shd w:val="clear" w:color="auto" w:fill="auto"/>
                  <w:vAlign w:val="center"/>
                </w:tcPr>
                <w:p w14:paraId="6231F6FE">
                  <w:pPr>
                    <w:pStyle w:val="41"/>
                    <w:bidi w:val="0"/>
                    <w:jc w:val="center"/>
                    <w:rPr>
                      <w:rFonts w:hint="eastAsia"/>
                      <w:lang w:val="en-US" w:eastAsia="zh-CN"/>
                    </w:rPr>
                  </w:pPr>
                  <w:r>
                    <w:rPr>
                      <w:rFonts w:hint="eastAsia"/>
                    </w:rPr>
                    <w:t>0.049</w:t>
                  </w:r>
                </w:p>
              </w:tc>
            </w:tr>
            <w:tr w14:paraId="51CB725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143" w:type="pct"/>
                  <w:vMerge w:val="restart"/>
                  <w:tcBorders>
                    <w:tl2br w:val="nil"/>
                    <w:tr2bl w:val="nil"/>
                  </w:tcBorders>
                  <w:shd w:val="clear" w:color="auto" w:fill="auto"/>
                  <w:vAlign w:val="center"/>
                </w:tcPr>
                <w:p w14:paraId="3031268B">
                  <w:pPr>
                    <w:pStyle w:val="41"/>
                    <w:bidi w:val="0"/>
                    <w:rPr>
                      <w:rFonts w:hint="eastAsia"/>
                    </w:rPr>
                  </w:pPr>
                  <w:r>
                    <w:rPr>
                      <w:rFonts w:hint="eastAsia"/>
                      <w:lang w:val="en-US" w:eastAsia="zh-CN"/>
                    </w:rPr>
                    <w:t>无组织废气</w:t>
                  </w:r>
                </w:p>
              </w:tc>
              <w:tc>
                <w:tcPr>
                  <w:tcW w:w="1714" w:type="pct"/>
                  <w:tcBorders>
                    <w:tl2br w:val="nil"/>
                    <w:tr2bl w:val="nil"/>
                  </w:tcBorders>
                  <w:shd w:val="clear" w:color="auto" w:fill="auto"/>
                  <w:vAlign w:val="center"/>
                </w:tcPr>
                <w:p w14:paraId="762BD731">
                  <w:pPr>
                    <w:pStyle w:val="41"/>
                    <w:bidi w:val="0"/>
                    <w:rPr>
                      <w:rFonts w:hint="default"/>
                    </w:rPr>
                  </w:pPr>
                  <w:r>
                    <w:rPr>
                      <w:rFonts w:hint="default"/>
                      <w:lang w:val="en-US" w:eastAsia="zh-CN"/>
                    </w:rPr>
                    <w:t>NMHC</w:t>
                  </w:r>
                </w:p>
              </w:tc>
              <w:tc>
                <w:tcPr>
                  <w:tcW w:w="2141" w:type="pct"/>
                  <w:tcBorders>
                    <w:tl2br w:val="nil"/>
                    <w:tr2bl w:val="nil"/>
                  </w:tcBorders>
                  <w:shd w:val="clear" w:color="auto" w:fill="auto"/>
                  <w:vAlign w:val="center"/>
                </w:tcPr>
                <w:p w14:paraId="69A8C8C6">
                  <w:pPr>
                    <w:pStyle w:val="41"/>
                    <w:bidi w:val="0"/>
                    <w:jc w:val="center"/>
                    <w:rPr>
                      <w:rFonts w:hint="default"/>
                      <w:lang w:val="en-US" w:eastAsia="zh-CN"/>
                    </w:rPr>
                  </w:pPr>
                  <w:r>
                    <w:rPr>
                      <w:rFonts w:hint="eastAsia"/>
                    </w:rPr>
                    <w:t>0.075</w:t>
                  </w:r>
                </w:p>
              </w:tc>
            </w:tr>
            <w:tr w14:paraId="2DF5CE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6FA4B5C7">
                  <w:pPr>
                    <w:pStyle w:val="41"/>
                    <w:bidi w:val="0"/>
                    <w:rPr>
                      <w:rFonts w:hint="eastAsia"/>
                    </w:rPr>
                  </w:pPr>
                </w:p>
              </w:tc>
              <w:tc>
                <w:tcPr>
                  <w:tcW w:w="1714" w:type="pct"/>
                  <w:tcBorders>
                    <w:tl2br w:val="nil"/>
                    <w:tr2bl w:val="nil"/>
                  </w:tcBorders>
                  <w:shd w:val="clear" w:color="auto" w:fill="auto"/>
                  <w:vAlign w:val="center"/>
                </w:tcPr>
                <w:p w14:paraId="21C365B1">
                  <w:pPr>
                    <w:pStyle w:val="41"/>
                    <w:bidi w:val="0"/>
                    <w:rPr>
                      <w:rFonts w:hint="default"/>
                    </w:rPr>
                  </w:pPr>
                  <w:r>
                    <w:rPr>
                      <w:rFonts w:hint="default"/>
                      <w:lang w:val="en-US" w:eastAsia="zh-CN"/>
                    </w:rPr>
                    <w:t>NH</w:t>
                  </w:r>
                  <w:r>
                    <w:rPr>
                      <w:rFonts w:hint="default"/>
                      <w:vertAlign w:val="subscript"/>
                      <w:lang w:val="en-US" w:eastAsia="zh-CN"/>
                    </w:rPr>
                    <w:t>3</w:t>
                  </w:r>
                </w:p>
              </w:tc>
              <w:tc>
                <w:tcPr>
                  <w:tcW w:w="2141" w:type="pct"/>
                  <w:tcBorders>
                    <w:tl2br w:val="nil"/>
                    <w:tr2bl w:val="nil"/>
                  </w:tcBorders>
                  <w:shd w:val="clear" w:color="auto" w:fill="auto"/>
                  <w:vAlign w:val="center"/>
                </w:tcPr>
                <w:p w14:paraId="16B10B36">
                  <w:pPr>
                    <w:pStyle w:val="41"/>
                    <w:bidi w:val="0"/>
                    <w:jc w:val="center"/>
                    <w:rPr>
                      <w:rFonts w:hint="default"/>
                      <w:lang w:val="en-US" w:eastAsia="zh-CN"/>
                    </w:rPr>
                  </w:pPr>
                  <w:r>
                    <w:rPr>
                      <w:rFonts w:hint="eastAsia"/>
                    </w:rPr>
                    <w:t>0.0002</w:t>
                  </w:r>
                </w:p>
              </w:tc>
            </w:tr>
            <w:tr w14:paraId="105CC75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1143" w:type="pct"/>
                  <w:vMerge w:val="restart"/>
                  <w:tcBorders>
                    <w:tl2br w:val="nil"/>
                    <w:tr2bl w:val="nil"/>
                  </w:tcBorders>
                  <w:shd w:val="clear" w:color="auto" w:fill="auto"/>
                  <w:vAlign w:val="center"/>
                </w:tcPr>
                <w:p w14:paraId="3DCD0FED">
                  <w:pPr>
                    <w:pStyle w:val="41"/>
                    <w:bidi w:val="0"/>
                    <w:rPr>
                      <w:rFonts w:hint="eastAsia"/>
                    </w:rPr>
                  </w:pPr>
                  <w:r>
                    <w:rPr>
                      <w:rFonts w:hint="eastAsia"/>
                      <w:lang w:val="en-US" w:eastAsia="zh-CN"/>
                    </w:rPr>
                    <w:t>一般固体废物</w:t>
                  </w:r>
                </w:p>
              </w:tc>
              <w:tc>
                <w:tcPr>
                  <w:tcW w:w="1714" w:type="pct"/>
                  <w:tcBorders>
                    <w:tl2br w:val="nil"/>
                    <w:tr2bl w:val="nil"/>
                  </w:tcBorders>
                  <w:shd w:val="clear" w:color="auto" w:fill="auto"/>
                  <w:vAlign w:val="center"/>
                </w:tcPr>
                <w:p w14:paraId="2237313F">
                  <w:pPr>
                    <w:pStyle w:val="41"/>
                    <w:bidi w:val="0"/>
                    <w:rPr>
                      <w:rFonts w:hint="eastAsia"/>
                    </w:rPr>
                  </w:pPr>
                  <w:r>
                    <w:rPr>
                      <w:rFonts w:hint="eastAsia"/>
                      <w:lang w:val="en-US" w:eastAsia="zh-CN"/>
                    </w:rPr>
                    <w:t>废药渣及中药材粉末</w:t>
                  </w:r>
                </w:p>
              </w:tc>
              <w:tc>
                <w:tcPr>
                  <w:tcW w:w="2141" w:type="pct"/>
                  <w:tcBorders>
                    <w:tl2br w:val="nil"/>
                    <w:tr2bl w:val="nil"/>
                  </w:tcBorders>
                  <w:shd w:val="clear" w:color="auto" w:fill="auto"/>
                  <w:vAlign w:val="center"/>
                </w:tcPr>
                <w:p w14:paraId="36B534B9">
                  <w:pPr>
                    <w:pStyle w:val="41"/>
                    <w:bidi w:val="0"/>
                    <w:jc w:val="center"/>
                    <w:rPr>
                      <w:rFonts w:hint="eastAsia"/>
                      <w:lang w:val="en-US" w:eastAsia="zh-CN"/>
                    </w:rPr>
                  </w:pPr>
                  <w:r>
                    <w:rPr>
                      <w:rFonts w:hint="eastAsia"/>
                    </w:rPr>
                    <w:t>0.1</w:t>
                  </w:r>
                </w:p>
              </w:tc>
            </w:tr>
            <w:tr w14:paraId="53B751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788E7F69">
                  <w:pPr>
                    <w:pStyle w:val="41"/>
                    <w:bidi w:val="0"/>
                    <w:rPr>
                      <w:rFonts w:hint="eastAsia"/>
                    </w:rPr>
                  </w:pPr>
                </w:p>
              </w:tc>
              <w:tc>
                <w:tcPr>
                  <w:tcW w:w="1714" w:type="pct"/>
                  <w:tcBorders>
                    <w:tl2br w:val="nil"/>
                    <w:tr2bl w:val="nil"/>
                  </w:tcBorders>
                  <w:shd w:val="clear" w:color="auto" w:fill="auto"/>
                  <w:vAlign w:val="center"/>
                </w:tcPr>
                <w:p w14:paraId="5722A095">
                  <w:pPr>
                    <w:pStyle w:val="41"/>
                    <w:bidi w:val="0"/>
                    <w:rPr>
                      <w:rFonts w:hint="eastAsia"/>
                    </w:rPr>
                  </w:pPr>
                  <w:r>
                    <w:rPr>
                      <w:rFonts w:hint="eastAsia"/>
                      <w:lang w:val="en-US" w:eastAsia="zh-CN"/>
                    </w:rPr>
                    <w:t>废滤芯</w:t>
                  </w:r>
                </w:p>
              </w:tc>
              <w:tc>
                <w:tcPr>
                  <w:tcW w:w="2141" w:type="pct"/>
                  <w:tcBorders>
                    <w:tl2br w:val="nil"/>
                    <w:tr2bl w:val="nil"/>
                  </w:tcBorders>
                  <w:shd w:val="clear" w:color="auto" w:fill="auto"/>
                  <w:vAlign w:val="center"/>
                </w:tcPr>
                <w:p w14:paraId="1FF9F810">
                  <w:pPr>
                    <w:pStyle w:val="41"/>
                    <w:bidi w:val="0"/>
                    <w:jc w:val="center"/>
                    <w:rPr>
                      <w:rFonts w:hint="eastAsia"/>
                      <w:lang w:val="en-US" w:eastAsia="zh-CN"/>
                    </w:rPr>
                  </w:pPr>
                  <w:r>
                    <w:rPr>
                      <w:rFonts w:hint="eastAsia"/>
                    </w:rPr>
                    <w:t>0.02</w:t>
                  </w:r>
                </w:p>
              </w:tc>
            </w:tr>
            <w:tr w14:paraId="2D9E5B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39510660">
                  <w:pPr>
                    <w:pStyle w:val="41"/>
                    <w:bidi w:val="0"/>
                    <w:rPr>
                      <w:rFonts w:hint="eastAsia"/>
                    </w:rPr>
                  </w:pPr>
                </w:p>
              </w:tc>
              <w:tc>
                <w:tcPr>
                  <w:tcW w:w="1714" w:type="pct"/>
                  <w:tcBorders>
                    <w:tl2br w:val="nil"/>
                    <w:tr2bl w:val="nil"/>
                  </w:tcBorders>
                  <w:shd w:val="clear" w:color="auto" w:fill="auto"/>
                  <w:vAlign w:val="center"/>
                </w:tcPr>
                <w:p w14:paraId="2319D09C">
                  <w:pPr>
                    <w:pStyle w:val="41"/>
                    <w:bidi w:val="0"/>
                    <w:rPr>
                      <w:rFonts w:hint="eastAsia"/>
                    </w:rPr>
                  </w:pPr>
                  <w:r>
                    <w:rPr>
                      <w:rFonts w:hint="eastAsia"/>
                      <w:lang w:val="en-US" w:eastAsia="zh-CN"/>
                    </w:rPr>
                    <w:t>废包装材料</w:t>
                  </w:r>
                </w:p>
              </w:tc>
              <w:tc>
                <w:tcPr>
                  <w:tcW w:w="2141" w:type="pct"/>
                  <w:tcBorders>
                    <w:tl2br w:val="nil"/>
                    <w:tr2bl w:val="nil"/>
                  </w:tcBorders>
                  <w:shd w:val="clear" w:color="auto" w:fill="auto"/>
                  <w:vAlign w:val="center"/>
                </w:tcPr>
                <w:p w14:paraId="4D6A0477">
                  <w:pPr>
                    <w:pStyle w:val="41"/>
                    <w:bidi w:val="0"/>
                    <w:jc w:val="center"/>
                    <w:rPr>
                      <w:rFonts w:hint="eastAsia"/>
                      <w:lang w:val="en-US" w:eastAsia="zh-CN"/>
                    </w:rPr>
                  </w:pPr>
                  <w:r>
                    <w:rPr>
                      <w:rFonts w:hint="eastAsia"/>
                    </w:rPr>
                    <w:t>0.5</w:t>
                  </w:r>
                </w:p>
              </w:tc>
            </w:tr>
            <w:tr w14:paraId="3CF872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143" w:type="pct"/>
                  <w:vMerge w:val="restart"/>
                  <w:tcBorders>
                    <w:tl2br w:val="nil"/>
                    <w:tr2bl w:val="nil"/>
                  </w:tcBorders>
                  <w:shd w:val="clear" w:color="auto" w:fill="auto"/>
                  <w:vAlign w:val="center"/>
                </w:tcPr>
                <w:p w14:paraId="565B2612">
                  <w:pPr>
                    <w:pStyle w:val="41"/>
                    <w:bidi w:val="0"/>
                    <w:rPr>
                      <w:rFonts w:hint="eastAsia"/>
                    </w:rPr>
                  </w:pPr>
                  <w:r>
                    <w:rPr>
                      <w:rFonts w:hint="eastAsia"/>
                      <w:lang w:val="en-US" w:eastAsia="zh-CN"/>
                    </w:rPr>
                    <w:t>危险废物</w:t>
                  </w:r>
                </w:p>
              </w:tc>
              <w:tc>
                <w:tcPr>
                  <w:tcW w:w="1714" w:type="pct"/>
                  <w:tcBorders>
                    <w:tl2br w:val="nil"/>
                    <w:tr2bl w:val="nil"/>
                  </w:tcBorders>
                  <w:shd w:val="clear" w:color="auto" w:fill="auto"/>
                  <w:vAlign w:val="center"/>
                </w:tcPr>
                <w:p w14:paraId="597527E9">
                  <w:pPr>
                    <w:pStyle w:val="41"/>
                    <w:bidi w:val="0"/>
                    <w:rPr>
                      <w:rFonts w:hint="eastAsia"/>
                    </w:rPr>
                  </w:pPr>
                  <w:r>
                    <w:rPr>
                      <w:rFonts w:hint="eastAsia"/>
                      <w:lang w:val="en-US" w:eastAsia="zh-CN"/>
                    </w:rPr>
                    <w:t>废液及废料</w:t>
                  </w:r>
                </w:p>
              </w:tc>
              <w:tc>
                <w:tcPr>
                  <w:tcW w:w="2141" w:type="pct"/>
                  <w:tcBorders>
                    <w:tl2br w:val="nil"/>
                    <w:tr2bl w:val="nil"/>
                  </w:tcBorders>
                  <w:shd w:val="clear" w:color="auto" w:fill="auto"/>
                  <w:vAlign w:val="center"/>
                </w:tcPr>
                <w:p w14:paraId="7103A421">
                  <w:pPr>
                    <w:pStyle w:val="41"/>
                    <w:bidi w:val="0"/>
                    <w:jc w:val="center"/>
                    <w:rPr>
                      <w:rFonts w:hint="eastAsia"/>
                      <w:lang w:val="en-US" w:eastAsia="zh-CN"/>
                    </w:rPr>
                  </w:pPr>
                  <w:r>
                    <w:rPr>
                      <w:rFonts w:hint="eastAsia"/>
                    </w:rPr>
                    <w:t>19.87</w:t>
                  </w:r>
                </w:p>
              </w:tc>
            </w:tr>
            <w:tr w14:paraId="5FDA03D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37566AB5">
                  <w:pPr>
                    <w:pStyle w:val="41"/>
                    <w:bidi w:val="0"/>
                    <w:rPr>
                      <w:rFonts w:hint="eastAsia"/>
                    </w:rPr>
                  </w:pPr>
                </w:p>
              </w:tc>
              <w:tc>
                <w:tcPr>
                  <w:tcW w:w="1714" w:type="pct"/>
                  <w:tcBorders>
                    <w:tl2br w:val="nil"/>
                    <w:tr2bl w:val="nil"/>
                  </w:tcBorders>
                  <w:shd w:val="clear" w:color="auto" w:fill="auto"/>
                  <w:vAlign w:val="center"/>
                </w:tcPr>
                <w:p w14:paraId="0C71C015">
                  <w:pPr>
                    <w:pStyle w:val="41"/>
                    <w:bidi w:val="0"/>
                    <w:rPr>
                      <w:rFonts w:hint="eastAsia"/>
                    </w:rPr>
                  </w:pPr>
                  <w:r>
                    <w:rPr>
                      <w:rFonts w:hint="eastAsia"/>
                      <w:lang w:val="en-US" w:eastAsia="zh-CN"/>
                    </w:rPr>
                    <w:t>报废药品及过期原辅料</w:t>
                  </w:r>
                </w:p>
              </w:tc>
              <w:tc>
                <w:tcPr>
                  <w:tcW w:w="2141" w:type="pct"/>
                  <w:tcBorders>
                    <w:tl2br w:val="nil"/>
                    <w:tr2bl w:val="nil"/>
                  </w:tcBorders>
                  <w:shd w:val="clear" w:color="auto" w:fill="auto"/>
                  <w:vAlign w:val="center"/>
                </w:tcPr>
                <w:p w14:paraId="6A68B928">
                  <w:pPr>
                    <w:pStyle w:val="41"/>
                    <w:bidi w:val="0"/>
                    <w:jc w:val="center"/>
                    <w:rPr>
                      <w:rFonts w:hint="eastAsia"/>
                      <w:lang w:val="en-US" w:eastAsia="zh-CN"/>
                    </w:rPr>
                  </w:pPr>
                  <w:r>
                    <w:rPr>
                      <w:rFonts w:hint="eastAsia"/>
                    </w:rPr>
                    <w:t>0.55</w:t>
                  </w:r>
                </w:p>
              </w:tc>
            </w:tr>
            <w:tr w14:paraId="1B701DE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1540548E">
                  <w:pPr>
                    <w:pStyle w:val="41"/>
                    <w:bidi w:val="0"/>
                    <w:rPr>
                      <w:rFonts w:hint="eastAsia"/>
                    </w:rPr>
                  </w:pPr>
                </w:p>
              </w:tc>
              <w:tc>
                <w:tcPr>
                  <w:tcW w:w="1714" w:type="pct"/>
                  <w:tcBorders>
                    <w:tl2br w:val="nil"/>
                    <w:tr2bl w:val="nil"/>
                  </w:tcBorders>
                  <w:shd w:val="clear" w:color="auto" w:fill="auto"/>
                  <w:vAlign w:val="center"/>
                </w:tcPr>
                <w:p w14:paraId="2EF49704">
                  <w:pPr>
                    <w:pStyle w:val="41"/>
                    <w:bidi w:val="0"/>
                    <w:rPr>
                      <w:rFonts w:hint="eastAsia"/>
                    </w:rPr>
                  </w:pPr>
                  <w:r>
                    <w:rPr>
                      <w:rFonts w:hint="eastAsia"/>
                      <w:lang w:val="en-US" w:eastAsia="zh-CN"/>
                    </w:rPr>
                    <w:t>废实验用品</w:t>
                  </w:r>
                </w:p>
              </w:tc>
              <w:tc>
                <w:tcPr>
                  <w:tcW w:w="2141" w:type="pct"/>
                  <w:tcBorders>
                    <w:tl2br w:val="nil"/>
                    <w:tr2bl w:val="nil"/>
                  </w:tcBorders>
                  <w:shd w:val="clear" w:color="auto" w:fill="auto"/>
                  <w:vAlign w:val="center"/>
                </w:tcPr>
                <w:p w14:paraId="4568E1EA">
                  <w:pPr>
                    <w:pStyle w:val="41"/>
                    <w:bidi w:val="0"/>
                    <w:jc w:val="center"/>
                    <w:rPr>
                      <w:rFonts w:hint="eastAsia"/>
                      <w:lang w:val="en-US" w:eastAsia="zh-CN"/>
                    </w:rPr>
                  </w:pPr>
                  <w:r>
                    <w:rPr>
                      <w:rFonts w:hint="eastAsia"/>
                    </w:rPr>
                    <w:t>5.2</w:t>
                  </w:r>
                </w:p>
              </w:tc>
            </w:tr>
            <w:tr w14:paraId="3AF58C6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07FBE832">
                  <w:pPr>
                    <w:pStyle w:val="41"/>
                    <w:bidi w:val="0"/>
                    <w:rPr>
                      <w:rFonts w:hint="eastAsia"/>
                    </w:rPr>
                  </w:pPr>
                </w:p>
              </w:tc>
              <w:tc>
                <w:tcPr>
                  <w:tcW w:w="1714" w:type="pct"/>
                  <w:tcBorders>
                    <w:tl2br w:val="nil"/>
                    <w:tr2bl w:val="nil"/>
                  </w:tcBorders>
                  <w:shd w:val="clear" w:color="auto" w:fill="auto"/>
                  <w:vAlign w:val="center"/>
                </w:tcPr>
                <w:p w14:paraId="3F4EA18E">
                  <w:pPr>
                    <w:pStyle w:val="41"/>
                    <w:bidi w:val="0"/>
                    <w:rPr>
                      <w:rFonts w:hint="eastAsia"/>
                    </w:rPr>
                  </w:pPr>
                  <w:r>
                    <w:rPr>
                      <w:rFonts w:hint="eastAsia"/>
                      <w:lang w:val="en-US" w:eastAsia="zh-CN"/>
                    </w:rPr>
                    <w:t>废试剂包装</w:t>
                  </w:r>
                </w:p>
              </w:tc>
              <w:tc>
                <w:tcPr>
                  <w:tcW w:w="2141" w:type="pct"/>
                  <w:tcBorders>
                    <w:tl2br w:val="nil"/>
                    <w:tr2bl w:val="nil"/>
                  </w:tcBorders>
                  <w:shd w:val="clear" w:color="auto" w:fill="auto"/>
                  <w:vAlign w:val="center"/>
                </w:tcPr>
                <w:p w14:paraId="4067B920">
                  <w:pPr>
                    <w:pStyle w:val="41"/>
                    <w:bidi w:val="0"/>
                    <w:jc w:val="center"/>
                    <w:rPr>
                      <w:rFonts w:hint="eastAsia"/>
                      <w:lang w:val="en-US" w:eastAsia="zh-CN"/>
                    </w:rPr>
                  </w:pPr>
                  <w:r>
                    <w:rPr>
                      <w:rFonts w:hint="eastAsia"/>
                    </w:rPr>
                    <w:t>5.25</w:t>
                  </w:r>
                </w:p>
              </w:tc>
            </w:tr>
            <w:tr w14:paraId="2DEE6A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54266D6F">
                  <w:pPr>
                    <w:pStyle w:val="41"/>
                    <w:bidi w:val="0"/>
                    <w:rPr>
                      <w:rFonts w:hint="eastAsia"/>
                    </w:rPr>
                  </w:pPr>
                </w:p>
              </w:tc>
              <w:tc>
                <w:tcPr>
                  <w:tcW w:w="1714" w:type="pct"/>
                  <w:tcBorders>
                    <w:tl2br w:val="nil"/>
                    <w:tr2bl w:val="nil"/>
                  </w:tcBorders>
                  <w:shd w:val="clear" w:color="auto" w:fill="auto"/>
                  <w:vAlign w:val="center"/>
                </w:tcPr>
                <w:p w14:paraId="2AD53076">
                  <w:pPr>
                    <w:pStyle w:val="41"/>
                    <w:bidi w:val="0"/>
                    <w:rPr>
                      <w:rFonts w:hint="eastAsia"/>
                    </w:rPr>
                  </w:pPr>
                  <w:r>
                    <w:rPr>
                      <w:rFonts w:hint="eastAsia"/>
                      <w:lang w:val="en-US" w:eastAsia="zh-CN"/>
                    </w:rPr>
                    <w:t>废过滤器</w:t>
                  </w:r>
                </w:p>
              </w:tc>
              <w:tc>
                <w:tcPr>
                  <w:tcW w:w="2141" w:type="pct"/>
                  <w:tcBorders>
                    <w:tl2br w:val="nil"/>
                    <w:tr2bl w:val="nil"/>
                  </w:tcBorders>
                  <w:shd w:val="clear" w:color="auto" w:fill="auto"/>
                  <w:vAlign w:val="center"/>
                </w:tcPr>
                <w:p w14:paraId="58B31C3B">
                  <w:pPr>
                    <w:pStyle w:val="41"/>
                    <w:bidi w:val="0"/>
                    <w:jc w:val="center"/>
                    <w:rPr>
                      <w:rFonts w:hint="eastAsia"/>
                      <w:lang w:val="en-US" w:eastAsia="zh-CN"/>
                    </w:rPr>
                  </w:pPr>
                  <w:r>
                    <w:rPr>
                      <w:rFonts w:hint="eastAsia"/>
                    </w:rPr>
                    <w:t>0.07</w:t>
                  </w:r>
                </w:p>
              </w:tc>
            </w:tr>
            <w:tr w14:paraId="1BC9728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3FF2A2DE">
                  <w:pPr>
                    <w:pStyle w:val="41"/>
                    <w:bidi w:val="0"/>
                    <w:rPr>
                      <w:rFonts w:hint="eastAsia"/>
                    </w:rPr>
                  </w:pPr>
                </w:p>
              </w:tc>
              <w:tc>
                <w:tcPr>
                  <w:tcW w:w="1714" w:type="pct"/>
                  <w:tcBorders>
                    <w:tl2br w:val="nil"/>
                    <w:tr2bl w:val="nil"/>
                  </w:tcBorders>
                  <w:shd w:val="clear" w:color="auto" w:fill="auto"/>
                  <w:vAlign w:val="center"/>
                </w:tcPr>
                <w:p w14:paraId="2AC739CA">
                  <w:pPr>
                    <w:pStyle w:val="41"/>
                    <w:bidi w:val="0"/>
                    <w:rPr>
                      <w:rFonts w:hint="eastAsia"/>
                    </w:rPr>
                  </w:pPr>
                  <w:r>
                    <w:rPr>
                      <w:rFonts w:hint="eastAsia"/>
                      <w:lang w:val="en-US" w:eastAsia="zh-CN"/>
                    </w:rPr>
                    <w:t>污水处理站污泥</w:t>
                  </w:r>
                </w:p>
              </w:tc>
              <w:tc>
                <w:tcPr>
                  <w:tcW w:w="2141" w:type="pct"/>
                  <w:tcBorders>
                    <w:tl2br w:val="nil"/>
                    <w:tr2bl w:val="nil"/>
                  </w:tcBorders>
                  <w:shd w:val="clear" w:color="auto" w:fill="auto"/>
                  <w:vAlign w:val="center"/>
                </w:tcPr>
                <w:p w14:paraId="641BC727">
                  <w:pPr>
                    <w:pStyle w:val="41"/>
                    <w:bidi w:val="0"/>
                    <w:jc w:val="center"/>
                    <w:rPr>
                      <w:rFonts w:hint="eastAsia"/>
                      <w:lang w:val="en-US" w:eastAsia="zh-CN"/>
                    </w:rPr>
                  </w:pPr>
                  <w:r>
                    <w:rPr>
                      <w:rFonts w:hint="eastAsia"/>
                    </w:rPr>
                    <w:t>0.5</w:t>
                  </w:r>
                </w:p>
              </w:tc>
            </w:tr>
            <w:tr w14:paraId="37A4466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143" w:type="pct"/>
                  <w:vMerge w:val="continue"/>
                  <w:tcBorders>
                    <w:tl2br w:val="nil"/>
                    <w:tr2bl w:val="nil"/>
                  </w:tcBorders>
                  <w:shd w:val="clear" w:color="auto" w:fill="auto"/>
                  <w:vAlign w:val="center"/>
                </w:tcPr>
                <w:p w14:paraId="160CFAC3">
                  <w:pPr>
                    <w:pStyle w:val="41"/>
                    <w:bidi w:val="0"/>
                    <w:rPr>
                      <w:rFonts w:hint="eastAsia"/>
                    </w:rPr>
                  </w:pPr>
                </w:p>
              </w:tc>
              <w:tc>
                <w:tcPr>
                  <w:tcW w:w="1714" w:type="pct"/>
                  <w:tcBorders>
                    <w:tl2br w:val="nil"/>
                    <w:tr2bl w:val="nil"/>
                  </w:tcBorders>
                  <w:shd w:val="clear" w:color="auto" w:fill="auto"/>
                  <w:vAlign w:val="center"/>
                </w:tcPr>
                <w:p w14:paraId="30BAEB5B">
                  <w:pPr>
                    <w:pStyle w:val="41"/>
                    <w:bidi w:val="0"/>
                    <w:rPr>
                      <w:rFonts w:hint="eastAsia"/>
                    </w:rPr>
                  </w:pPr>
                  <w:r>
                    <w:rPr>
                      <w:rFonts w:hint="eastAsia"/>
                      <w:lang w:val="en-US" w:eastAsia="zh-CN"/>
                    </w:rPr>
                    <w:t>废活性炭</w:t>
                  </w:r>
                </w:p>
              </w:tc>
              <w:tc>
                <w:tcPr>
                  <w:tcW w:w="2141" w:type="pct"/>
                  <w:tcBorders>
                    <w:tl2br w:val="nil"/>
                    <w:tr2bl w:val="nil"/>
                  </w:tcBorders>
                  <w:shd w:val="clear" w:color="auto" w:fill="auto"/>
                  <w:vAlign w:val="center"/>
                </w:tcPr>
                <w:p w14:paraId="1FD1BEF2">
                  <w:pPr>
                    <w:pStyle w:val="41"/>
                    <w:bidi w:val="0"/>
                    <w:jc w:val="center"/>
                    <w:rPr>
                      <w:rFonts w:hint="eastAsia"/>
                      <w:lang w:val="en-US" w:eastAsia="zh-CN"/>
                    </w:rPr>
                  </w:pPr>
                  <w:r>
                    <w:rPr>
                      <w:rFonts w:hint="eastAsia"/>
                    </w:rPr>
                    <w:t>1.5</w:t>
                  </w:r>
                </w:p>
              </w:tc>
            </w:tr>
            <w:tr w14:paraId="413AE77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 w:hRule="atLeast"/>
              </w:trPr>
              <w:tc>
                <w:tcPr>
                  <w:tcW w:w="1143" w:type="pct"/>
                  <w:tcBorders>
                    <w:tl2br w:val="nil"/>
                    <w:tr2bl w:val="nil"/>
                  </w:tcBorders>
                  <w:shd w:val="clear" w:color="auto" w:fill="auto"/>
                  <w:vAlign w:val="center"/>
                </w:tcPr>
                <w:p w14:paraId="0C43A860">
                  <w:pPr>
                    <w:pStyle w:val="41"/>
                    <w:bidi w:val="0"/>
                    <w:rPr>
                      <w:rFonts w:hint="default"/>
                    </w:rPr>
                  </w:pPr>
                  <w:r>
                    <w:rPr>
                      <w:rFonts w:hint="default"/>
                      <w:lang w:val="en-US" w:eastAsia="zh-CN"/>
                    </w:rPr>
                    <w:t>/</w:t>
                  </w:r>
                </w:p>
              </w:tc>
              <w:tc>
                <w:tcPr>
                  <w:tcW w:w="1714" w:type="pct"/>
                  <w:tcBorders>
                    <w:tl2br w:val="nil"/>
                    <w:tr2bl w:val="nil"/>
                  </w:tcBorders>
                  <w:shd w:val="clear" w:color="auto" w:fill="auto"/>
                  <w:vAlign w:val="center"/>
                </w:tcPr>
                <w:p w14:paraId="7999B094">
                  <w:pPr>
                    <w:pStyle w:val="41"/>
                    <w:bidi w:val="0"/>
                    <w:rPr>
                      <w:rFonts w:hint="eastAsia"/>
                    </w:rPr>
                  </w:pPr>
                  <w:r>
                    <w:rPr>
                      <w:rFonts w:hint="eastAsia"/>
                      <w:lang w:val="en-US" w:eastAsia="zh-CN"/>
                    </w:rPr>
                    <w:t>生活垃圾</w:t>
                  </w:r>
                </w:p>
              </w:tc>
              <w:tc>
                <w:tcPr>
                  <w:tcW w:w="2141" w:type="pct"/>
                  <w:tcBorders>
                    <w:tl2br w:val="nil"/>
                    <w:tr2bl w:val="nil"/>
                  </w:tcBorders>
                  <w:shd w:val="clear" w:color="auto" w:fill="auto"/>
                  <w:vAlign w:val="center"/>
                </w:tcPr>
                <w:p w14:paraId="0D80F61B">
                  <w:pPr>
                    <w:pStyle w:val="41"/>
                    <w:bidi w:val="0"/>
                    <w:jc w:val="center"/>
                    <w:rPr>
                      <w:rFonts w:hint="eastAsia"/>
                      <w:lang w:val="en-US" w:eastAsia="zh-CN"/>
                    </w:rPr>
                  </w:pPr>
                  <w:r>
                    <w:rPr>
                      <w:rFonts w:hint="eastAsia"/>
                    </w:rPr>
                    <w:t>83.82</w:t>
                  </w:r>
                </w:p>
              </w:tc>
            </w:tr>
          </w:tbl>
          <w:p w14:paraId="1AB60D84">
            <w:pPr>
              <w:spacing w:line="360" w:lineRule="auto"/>
              <w:ind w:firstLine="480" w:firstLineChars="200"/>
              <w:jc w:val="left"/>
              <w:rPr>
                <w:rFonts w:hint="eastAsia"/>
                <w:color w:val="auto"/>
                <w:highlight w:val="none"/>
                <w:lang w:val="en-US" w:eastAsia="zh-CN"/>
              </w:rPr>
            </w:pPr>
          </w:p>
        </w:tc>
      </w:tr>
    </w:tbl>
    <w:p w14:paraId="357562F3">
      <w:pPr>
        <w:spacing w:line="360" w:lineRule="auto"/>
        <w:outlineLvl w:val="0"/>
        <w:rPr>
          <w:rFonts w:eastAsia="黑体"/>
          <w:color w:val="auto"/>
          <w:sz w:val="30"/>
          <w:highlight w:val="none"/>
        </w:rPr>
        <w:sectPr>
          <w:footerReference r:id="rId8" w:type="default"/>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14:paraId="10F169A8">
      <w:pPr>
        <w:pStyle w:val="27"/>
        <w:keepNext w:val="0"/>
        <w:keepLines w:val="0"/>
        <w:pageBreakBefore/>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三、区域环境质量现状、环境保护目标及评价标准</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6"/>
        <w:gridCol w:w="8554"/>
      </w:tblGrid>
      <w:tr w14:paraId="69288A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79" w:hRule="atLeast"/>
          <w:jc w:val="center"/>
        </w:trPr>
        <w:tc>
          <w:tcPr>
            <w:tcW w:w="436" w:type="dxa"/>
            <w:vAlign w:val="center"/>
          </w:tcPr>
          <w:p w14:paraId="477027CE">
            <w:pPr>
              <w:adjustRightInd w:val="0"/>
              <w:snapToGrid w:val="0"/>
              <w:spacing w:line="240" w:lineRule="auto"/>
              <w:jc w:val="center"/>
              <w:rPr>
                <w:color w:val="auto"/>
                <w:kern w:val="0"/>
                <w:szCs w:val="21"/>
                <w:highlight w:val="none"/>
              </w:rPr>
            </w:pPr>
            <w:r>
              <w:rPr>
                <w:b/>
                <w:bCs/>
                <w:color w:val="auto"/>
                <w:kern w:val="0"/>
                <w:sz w:val="24"/>
                <w:highlight w:val="none"/>
              </w:rPr>
              <w:t>区域环境质量现状</w:t>
            </w:r>
          </w:p>
        </w:tc>
        <w:tc>
          <w:tcPr>
            <w:tcW w:w="8554" w:type="dxa"/>
            <w:vAlign w:val="center"/>
          </w:tcPr>
          <w:p w14:paraId="1CD8A00C">
            <w:pPr>
              <w:ind w:firstLine="482"/>
              <w:rPr>
                <w:b/>
                <w:bCs/>
                <w:color w:val="auto"/>
                <w:highlight w:val="none"/>
              </w:rPr>
            </w:pPr>
            <w:bookmarkStart w:id="33" w:name="_Toc256153127"/>
            <w:bookmarkStart w:id="34" w:name="_Toc289849777"/>
            <w:bookmarkStart w:id="35" w:name="_Toc283219813"/>
            <w:bookmarkStart w:id="36" w:name="_Toc256153126"/>
            <w:bookmarkStart w:id="37" w:name="_Toc406300007"/>
            <w:bookmarkStart w:id="38" w:name="_Toc290294172"/>
            <w:r>
              <w:rPr>
                <w:rFonts w:hint="eastAsia"/>
                <w:b/>
                <w:bCs/>
                <w:color w:val="auto"/>
                <w:highlight w:val="none"/>
              </w:rPr>
              <w:t>1、</w:t>
            </w:r>
            <w:r>
              <w:rPr>
                <w:b/>
                <w:bCs/>
                <w:color w:val="auto"/>
                <w:highlight w:val="none"/>
              </w:rPr>
              <w:t>大气环境质量现状</w:t>
            </w:r>
          </w:p>
          <w:p w14:paraId="6FCB7326">
            <w:pPr>
              <w:ind w:firstLine="482"/>
              <w:rPr>
                <w:b/>
                <w:bCs/>
                <w:color w:val="auto"/>
                <w:highlight w:val="none"/>
              </w:rPr>
            </w:pPr>
            <w:r>
              <w:rPr>
                <w:rFonts w:hint="eastAsia"/>
                <w:b w:val="0"/>
                <w:bCs w:val="0"/>
                <w:color w:val="auto"/>
                <w:highlight w:val="none"/>
                <w:lang w:val="en-US" w:eastAsia="zh-CN"/>
              </w:rPr>
              <w:t>本项目设置大气专项评价，根据《环境影响评价技术导则 大气环境》（HJ 2.2—2018）</w:t>
            </w:r>
            <w:r>
              <w:rPr>
                <w:rFonts w:hint="eastAsia"/>
                <w:b w:val="0"/>
                <w:bCs w:val="0"/>
                <w:color w:val="auto"/>
                <w:highlight w:val="none"/>
              </w:rPr>
              <w:t>6.1.3</w:t>
            </w:r>
            <w:r>
              <w:rPr>
                <w:rFonts w:hint="eastAsia"/>
                <w:b w:val="0"/>
                <w:bCs w:val="0"/>
                <w:color w:val="auto"/>
                <w:highlight w:val="none"/>
                <w:lang w:val="en-US" w:eastAsia="zh-CN"/>
              </w:rPr>
              <w:t>内容：</w:t>
            </w:r>
            <w:r>
              <w:rPr>
                <w:rFonts w:hint="eastAsia"/>
                <w:b w:val="0"/>
                <w:bCs w:val="0"/>
                <w:color w:val="auto"/>
                <w:highlight w:val="none"/>
              </w:rPr>
              <w:t>三级评价项目只调查项目所在区域环境质量达标情况。</w:t>
            </w:r>
          </w:p>
          <w:p w14:paraId="230A99A7">
            <w:pPr>
              <w:keepNext w:val="0"/>
              <w:keepLines w:val="0"/>
              <w:widowControl/>
              <w:suppressLineNumbers w:val="0"/>
              <w:ind w:firstLine="48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rPr>
              <w:t>建设项目所在地环境空气质量功能区划为二类，根据《202</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年南京市</w:t>
            </w:r>
            <w:r>
              <w:rPr>
                <w:rFonts w:hint="eastAsia" w:cs="Times New Roman"/>
                <w:color w:val="auto"/>
                <w:sz w:val="24"/>
                <w:highlight w:val="none"/>
                <w:lang w:val="en-US" w:eastAsia="zh-CN"/>
              </w:rPr>
              <w:t>生态</w:t>
            </w:r>
            <w:r>
              <w:rPr>
                <w:rFonts w:hint="default" w:ascii="Times New Roman" w:hAnsi="Times New Roman" w:eastAsia="宋体" w:cs="Times New Roman"/>
                <w:color w:val="auto"/>
                <w:sz w:val="24"/>
                <w:highlight w:val="none"/>
              </w:rPr>
              <w:t>环境状况公</w:t>
            </w:r>
            <w:r>
              <w:rPr>
                <w:rFonts w:hint="default" w:ascii="Times New Roman" w:hAnsi="Times New Roman" w:eastAsia="宋体" w:cs="Times New Roman"/>
                <w:bCs/>
                <w:color w:val="auto"/>
                <w:sz w:val="24"/>
                <w:highlight w:val="none"/>
              </w:rPr>
              <w:t>报》，</w:t>
            </w:r>
            <w:r>
              <w:rPr>
                <w:rFonts w:hint="default" w:ascii="Times New Roman" w:hAnsi="Times New Roman" w:eastAsia="宋体" w:cs="Times New Roman"/>
                <w:color w:val="auto"/>
                <w:sz w:val="24"/>
                <w:highlight w:val="none"/>
                <w:lang w:val="en-US" w:eastAsia="zh-CN"/>
              </w:rPr>
              <w:t>全市环境空气质量达到二级标准的天数为314天，同比增加15天，达标率为85.8%，同比上升3.9个百分点。其中，达到一级标准天数为112天，同比增加16天；未达到二级标准的天数为52天（轻度污染47天，中度污染5天），主要污染物为O</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和PM</w:t>
            </w:r>
            <w:r>
              <w:rPr>
                <w:rFonts w:hint="default" w:ascii="Times New Roman" w:hAnsi="Times New Roman" w:eastAsia="宋体" w:cs="Times New Roman"/>
                <w:color w:val="auto"/>
                <w:sz w:val="24"/>
                <w:highlight w:val="none"/>
                <w:vertAlign w:val="subscript"/>
                <w:lang w:val="en-US" w:eastAsia="zh-CN"/>
              </w:rPr>
              <w:t>2.5</w:t>
            </w:r>
            <w:r>
              <w:rPr>
                <w:rFonts w:hint="default" w:ascii="Times New Roman" w:hAnsi="Times New Roman" w:eastAsia="宋体" w:cs="Times New Roman"/>
                <w:color w:val="auto"/>
                <w:sz w:val="24"/>
                <w:highlight w:val="none"/>
                <w:lang w:val="en-US" w:eastAsia="zh-CN"/>
              </w:rPr>
              <w:t>。各项污染物指标监测结果：PM</w:t>
            </w:r>
            <w:r>
              <w:rPr>
                <w:rFonts w:hint="default" w:ascii="Times New Roman" w:hAnsi="Times New Roman" w:eastAsia="宋体" w:cs="Times New Roman"/>
                <w:color w:val="auto"/>
                <w:sz w:val="24"/>
                <w:highlight w:val="none"/>
                <w:vertAlign w:val="subscript"/>
                <w:lang w:val="en-US" w:eastAsia="zh-CN"/>
              </w:rPr>
              <w:t>2.5</w:t>
            </w:r>
            <w:r>
              <w:rPr>
                <w:rFonts w:hint="default" w:ascii="Times New Roman" w:hAnsi="Times New Roman" w:eastAsia="宋体" w:cs="Times New Roman"/>
                <w:color w:val="auto"/>
                <w:sz w:val="24"/>
                <w:highlight w:val="none"/>
                <w:lang w:val="en-US" w:eastAsia="zh-CN"/>
              </w:rPr>
              <w:t>年均值为28.3μg/m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，达标，同比下降1.0%；PM</w:t>
            </w:r>
            <w:r>
              <w:rPr>
                <w:rFonts w:hint="default" w:ascii="Times New Roman" w:hAnsi="Times New Roman" w:eastAsia="宋体" w:cs="Times New Roman"/>
                <w:color w:val="auto"/>
                <w:sz w:val="24"/>
                <w:highlight w:val="none"/>
                <w:vertAlign w:val="subscript"/>
                <w:lang w:val="en-US" w:eastAsia="zh-CN"/>
              </w:rPr>
              <w:t>10</w:t>
            </w:r>
            <w:r>
              <w:rPr>
                <w:rFonts w:hint="default" w:ascii="Times New Roman" w:hAnsi="Times New Roman" w:eastAsia="宋体" w:cs="Times New Roman"/>
                <w:color w:val="auto"/>
                <w:sz w:val="24"/>
                <w:highlight w:val="none"/>
                <w:lang w:val="en-US" w:eastAsia="zh-CN"/>
              </w:rPr>
              <w:t>年均值为46μg/m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，达标，同比下降11.5%；NO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年均值为24μg/m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，达标，同比下降11.1%；SO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年均值为6μg/m</w:t>
            </w:r>
            <w:r>
              <w:rPr>
                <w:rFonts w:hint="eastAsia"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，达标，同比持平；CO日均浓度第95百分位数为0.9mg/m</w:t>
            </w:r>
            <w:r>
              <w:rPr>
                <w:rFonts w:hint="eastAsia"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，达标，同比持平；O</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日最大8小时浓度第90百分位数为162μg/m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，超标0.01倍，同比下降4.7%，超标天数38天，同比减少11天。</w:t>
            </w:r>
          </w:p>
          <w:p w14:paraId="7650402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根据</w:t>
            </w:r>
            <w:r>
              <w:rPr>
                <w:rFonts w:hint="default" w:ascii="Times New Roman" w:hAnsi="Times New Roman" w:eastAsia="宋体" w:cs="Times New Roman"/>
                <w:color w:val="auto"/>
                <w:sz w:val="24"/>
                <w:highlight w:val="none"/>
              </w:rPr>
              <w:t>《202</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年南京市</w:t>
            </w:r>
            <w:r>
              <w:rPr>
                <w:rFonts w:hint="eastAsia" w:cs="Times New Roman"/>
                <w:color w:val="auto"/>
                <w:sz w:val="24"/>
                <w:highlight w:val="none"/>
                <w:lang w:val="en-US" w:eastAsia="zh-CN"/>
              </w:rPr>
              <w:t>生态</w:t>
            </w:r>
            <w:r>
              <w:rPr>
                <w:rFonts w:hint="default" w:ascii="Times New Roman" w:hAnsi="Times New Roman" w:eastAsia="宋体" w:cs="Times New Roman"/>
                <w:color w:val="auto"/>
                <w:sz w:val="24"/>
                <w:highlight w:val="none"/>
              </w:rPr>
              <w:t>环境状况公</w:t>
            </w:r>
            <w:r>
              <w:rPr>
                <w:rFonts w:hint="default" w:ascii="Times New Roman" w:hAnsi="Times New Roman" w:eastAsia="宋体" w:cs="Times New Roman"/>
                <w:bCs/>
                <w:color w:val="auto"/>
                <w:sz w:val="24"/>
                <w:highlight w:val="none"/>
              </w:rPr>
              <w:t>报》</w:t>
            </w:r>
            <w:r>
              <w:rPr>
                <w:rFonts w:hint="default" w:ascii="Times New Roman" w:hAnsi="Times New Roman" w:cs="Times New Roman"/>
                <w:color w:val="auto"/>
                <w:highlight w:val="none"/>
                <w:lang w:val="zh-CN"/>
              </w:rPr>
              <w:t>统计结果，项目所在地六项污染物中O</w:t>
            </w:r>
            <w:r>
              <w:rPr>
                <w:rFonts w:hint="default" w:ascii="Times New Roman" w:hAnsi="Times New Roman" w:cs="Times New Roman"/>
                <w:color w:val="auto"/>
                <w:highlight w:val="none"/>
                <w:vertAlign w:val="subscript"/>
                <w:lang w:val="zh-CN"/>
              </w:rPr>
              <w:t>3</w:t>
            </w:r>
            <w:r>
              <w:rPr>
                <w:rFonts w:hint="default" w:ascii="Times New Roman" w:hAnsi="Times New Roman" w:cs="Times New Roman"/>
                <w:color w:val="auto"/>
                <w:highlight w:val="none"/>
                <w:lang w:val="zh-CN"/>
              </w:rPr>
              <w:t>不达标，项目所在区域为城市环境空气质量不达标区。</w:t>
            </w:r>
            <w:r>
              <w:rPr>
                <w:rFonts w:hint="default" w:ascii="Times New Roman" w:hAnsi="Times New Roman" w:cs="Times New Roman"/>
                <w:color w:val="auto"/>
                <w:highlight w:val="none"/>
              </w:rPr>
              <w:t>为此，南京市提出了大气污染防治要求，按照</w:t>
            </w:r>
            <w:r>
              <w:rPr>
                <w:rFonts w:hint="eastAsia" w:cs="Times New Roman"/>
                <w:color w:val="auto"/>
                <w:highlight w:val="none"/>
                <w:lang w:eastAsia="zh-CN"/>
              </w:rPr>
              <w:t>“</w:t>
            </w:r>
            <w:r>
              <w:rPr>
                <w:rFonts w:hint="default" w:ascii="Times New Roman" w:hAnsi="Times New Roman" w:cs="Times New Roman"/>
                <w:color w:val="auto"/>
                <w:highlight w:val="none"/>
              </w:rPr>
              <w:t>盯大户、查高值、控源头、降扬尘、强执法、促整改、抓联动</w:t>
            </w:r>
            <w:r>
              <w:rPr>
                <w:rFonts w:hint="eastAsia" w:cs="Times New Roman"/>
                <w:color w:val="auto"/>
                <w:highlight w:val="none"/>
                <w:lang w:eastAsia="zh-CN"/>
              </w:rPr>
              <w:t>”</w:t>
            </w:r>
            <w:r>
              <w:rPr>
                <w:rFonts w:hint="default" w:ascii="Times New Roman" w:hAnsi="Times New Roman" w:cs="Times New Roman"/>
                <w:color w:val="auto"/>
                <w:highlight w:val="none"/>
              </w:rPr>
              <w:t>的治气路径，制定年度大气计划，以市政府印发的《南京市空气质量持续改善行动计划实施方案》作为指引，明确2024年至2025年目标，细化9个方面、30项重点任务、89条工作清单，全面推进大气污染物持续减排，产业、能源、交通绿色低碳转型。</w:t>
            </w:r>
          </w:p>
          <w:bookmarkEnd w:id="33"/>
          <w:bookmarkEnd w:id="34"/>
          <w:bookmarkEnd w:id="35"/>
          <w:bookmarkEnd w:id="36"/>
          <w:bookmarkEnd w:id="37"/>
          <w:bookmarkEnd w:id="38"/>
          <w:p w14:paraId="3B1BC1D1">
            <w:pPr>
              <w:bidi w:val="0"/>
              <w:ind w:firstLine="482" w:firstLineChars="200"/>
              <w:rPr>
                <w:b/>
                <w:bCs/>
                <w:color w:val="auto"/>
                <w:highlight w:val="none"/>
              </w:rPr>
            </w:pPr>
            <w:r>
              <w:rPr>
                <w:rFonts w:hint="eastAsia"/>
                <w:b/>
                <w:bCs/>
                <w:color w:val="auto"/>
                <w:highlight w:val="none"/>
              </w:rPr>
              <w:t>2</w:t>
            </w:r>
            <w:r>
              <w:rPr>
                <w:b/>
                <w:bCs/>
                <w:color w:val="auto"/>
                <w:highlight w:val="none"/>
              </w:rPr>
              <w:t>、</w:t>
            </w:r>
            <w:r>
              <w:rPr>
                <w:rFonts w:hint="eastAsia"/>
                <w:b/>
                <w:bCs/>
                <w:color w:val="auto"/>
                <w:highlight w:val="none"/>
              </w:rPr>
              <w:t>地表</w:t>
            </w:r>
            <w:r>
              <w:rPr>
                <w:b/>
                <w:bCs/>
                <w:color w:val="auto"/>
                <w:highlight w:val="none"/>
              </w:rPr>
              <w:t>水环境质量现状</w:t>
            </w:r>
          </w:p>
          <w:p w14:paraId="02A3BCFB">
            <w:pPr>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eastAsia="宋体" w:cs="Times New Roman"/>
                <w:color w:val="auto"/>
                <w:sz w:val="24"/>
                <w:highlight w:val="none"/>
              </w:rPr>
              <w:t>202</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年南京市</w:t>
            </w:r>
            <w:r>
              <w:rPr>
                <w:rFonts w:hint="eastAsia" w:cs="Times New Roman"/>
                <w:color w:val="auto"/>
                <w:sz w:val="24"/>
                <w:highlight w:val="none"/>
                <w:lang w:val="en-US" w:eastAsia="zh-CN"/>
              </w:rPr>
              <w:t>生态</w:t>
            </w:r>
            <w:r>
              <w:rPr>
                <w:rFonts w:hint="default" w:ascii="Times New Roman" w:hAnsi="Times New Roman" w:eastAsia="宋体" w:cs="Times New Roman"/>
                <w:color w:val="auto"/>
                <w:sz w:val="24"/>
                <w:highlight w:val="none"/>
              </w:rPr>
              <w:t>环境状况公</w:t>
            </w:r>
            <w:r>
              <w:rPr>
                <w:rFonts w:hint="default" w:ascii="Times New Roman" w:hAnsi="Times New Roman" w:eastAsia="宋体" w:cs="Times New Roman"/>
                <w:bCs/>
                <w:color w:val="auto"/>
                <w:sz w:val="24"/>
                <w:highlight w:val="none"/>
              </w:rPr>
              <w:t>报</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全市水环境质量总体处于良好水平，纳入江苏省</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十四五</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水环境考核目标的42个地表水断面水质优良（《地表水环境质量标准》Ⅲ类及以上）率100%，无丧失使用功能（劣Ⅴ类）断面。</w:t>
            </w:r>
          </w:p>
          <w:p w14:paraId="02BC6BF8">
            <w:pPr>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全市主要集中式饮用水水源地水质</w:t>
            </w:r>
            <w:r>
              <w:rPr>
                <w:rFonts w:hint="eastAsia" w:cs="Times New Roman"/>
                <w:color w:val="auto"/>
                <w:highlight w:val="none"/>
                <w:lang w:val="en-US" w:eastAsia="zh-CN"/>
              </w:rPr>
              <w:t>持续</w:t>
            </w:r>
            <w:r>
              <w:rPr>
                <w:rFonts w:hint="default" w:ascii="Times New Roman" w:hAnsi="Times New Roman" w:cs="Times New Roman"/>
                <w:color w:val="auto"/>
                <w:highlight w:val="none"/>
              </w:rPr>
              <w:t>优良，逐月水质</w:t>
            </w:r>
            <w:r>
              <w:rPr>
                <w:rFonts w:hint="eastAsia" w:cs="Times New Roman"/>
                <w:color w:val="auto"/>
                <w:highlight w:val="none"/>
                <w:lang w:eastAsia="zh-CN"/>
              </w:rPr>
              <w:t>达</w:t>
            </w:r>
            <w:r>
              <w:rPr>
                <w:rFonts w:hint="default" w:ascii="Times New Roman" w:hAnsi="Times New Roman" w:cs="Times New Roman"/>
                <w:color w:val="auto"/>
                <w:highlight w:val="none"/>
              </w:rPr>
              <w:t>Ⅲ类及以上，达标率为100%。</w:t>
            </w:r>
          </w:p>
          <w:p w14:paraId="6C3E526C">
            <w:pPr>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本项目生活污水接管至</w:t>
            </w:r>
            <w:r>
              <w:rPr>
                <w:rFonts w:hint="eastAsia" w:ascii="Times New Roman" w:hAnsi="Times New Roman" w:cs="Times New Roman"/>
                <w:color w:val="auto"/>
                <w:highlight w:val="none"/>
                <w:lang w:val="en-US" w:eastAsia="zh-CN"/>
              </w:rPr>
              <w:t>高新区</w:t>
            </w:r>
            <w:r>
              <w:rPr>
                <w:rFonts w:hint="default" w:ascii="Times New Roman" w:hAnsi="Times New Roman" w:cs="Times New Roman"/>
                <w:color w:val="auto"/>
                <w:highlight w:val="none"/>
                <w:lang w:val="en-US" w:eastAsia="zh-CN"/>
              </w:rPr>
              <w:t>污水处理厂，处理达标后尾水排入</w:t>
            </w:r>
            <w:r>
              <w:rPr>
                <w:rFonts w:hint="eastAsia" w:ascii="Times New Roman" w:hAnsi="Times New Roman" w:cs="Times New Roman"/>
                <w:color w:val="auto"/>
                <w:highlight w:val="none"/>
                <w:lang w:val="en-US" w:eastAsia="zh-CN"/>
              </w:rPr>
              <w:t>秦淮</w:t>
            </w:r>
            <w:r>
              <w:rPr>
                <w:rFonts w:hint="default" w:ascii="Times New Roman" w:hAnsi="Times New Roman" w:cs="Times New Roman"/>
                <w:color w:val="auto"/>
                <w:highlight w:val="none"/>
                <w:lang w:val="en-US" w:eastAsia="zh-CN"/>
              </w:rPr>
              <w:t>河。根</w:t>
            </w:r>
            <w:r>
              <w:rPr>
                <w:rFonts w:hint="default" w:ascii="Times New Roman" w:hAnsi="Times New Roman" w:cs="Times New Roman"/>
                <w:color w:val="auto"/>
                <w:highlight w:val="none"/>
              </w:rPr>
              <w:t>据《江苏省地表水（环境）功能区划（2021-2030年）》，本项目</w:t>
            </w:r>
            <w:r>
              <w:rPr>
                <w:rFonts w:hint="eastAsia" w:ascii="Times New Roman" w:hAnsi="Times New Roman" w:cs="Times New Roman"/>
                <w:color w:val="auto"/>
                <w:highlight w:val="none"/>
                <w:lang w:val="en-US" w:eastAsia="zh-CN"/>
              </w:rPr>
              <w:t>秦淮</w:t>
            </w:r>
            <w:r>
              <w:rPr>
                <w:rFonts w:hint="default" w:ascii="Times New Roman" w:hAnsi="Times New Roman" w:cs="Times New Roman"/>
                <w:color w:val="auto"/>
                <w:highlight w:val="none"/>
              </w:rPr>
              <w:t>河纳污河段为Ⅲ类水体功能。</w:t>
            </w:r>
          </w:p>
          <w:p w14:paraId="09566742">
            <w:pPr>
              <w:bidi w:val="0"/>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根据《</w:t>
            </w:r>
            <w:r>
              <w:rPr>
                <w:rFonts w:hint="default" w:ascii="Times New Roman" w:hAnsi="Times New Roman" w:eastAsia="宋体" w:cs="Times New Roman"/>
                <w:color w:val="auto"/>
                <w:sz w:val="24"/>
                <w:highlight w:val="none"/>
              </w:rPr>
              <w:t>202</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年南京市</w:t>
            </w:r>
            <w:r>
              <w:rPr>
                <w:rFonts w:hint="eastAsia" w:cs="Times New Roman"/>
                <w:color w:val="auto"/>
                <w:sz w:val="24"/>
                <w:highlight w:val="none"/>
                <w:lang w:val="en-US" w:eastAsia="zh-CN"/>
              </w:rPr>
              <w:t>生态</w:t>
            </w:r>
            <w:r>
              <w:rPr>
                <w:rFonts w:hint="default" w:ascii="Times New Roman" w:hAnsi="Times New Roman" w:eastAsia="宋体" w:cs="Times New Roman"/>
                <w:color w:val="auto"/>
                <w:sz w:val="24"/>
                <w:highlight w:val="none"/>
              </w:rPr>
              <w:t>环境状况公</w:t>
            </w:r>
            <w:r>
              <w:rPr>
                <w:rFonts w:hint="default" w:ascii="Times New Roman" w:hAnsi="Times New Roman" w:eastAsia="宋体" w:cs="Times New Roman"/>
                <w:bCs/>
                <w:color w:val="auto"/>
                <w:sz w:val="24"/>
                <w:highlight w:val="none"/>
              </w:rPr>
              <w:t>报</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lang w:val="en-US" w:eastAsia="zh-CN"/>
              </w:rPr>
              <w:t>秦淮河干流水质总体状况为优，6个监测断面中，1个水质为Ⅱ类，5个水质为Ⅲ类，水质优良率为100%，与上年相比，水质状况无明显变化。</w:t>
            </w:r>
          </w:p>
          <w:p w14:paraId="0C715C0A">
            <w:pPr>
              <w:keepNext w:val="0"/>
              <w:keepLines w:val="0"/>
              <w:pageBreakBefore w:val="0"/>
              <w:widowControl w:val="0"/>
              <w:kinsoku/>
              <w:wordWrap/>
              <w:overflowPunct/>
              <w:topLinePunct w:val="0"/>
              <w:autoSpaceDE/>
              <w:autoSpaceDN/>
              <w:bidi w:val="0"/>
              <w:ind w:firstLine="482" w:firstLineChars="200"/>
              <w:textAlignment w:val="auto"/>
              <w:rPr>
                <w:b/>
                <w:bCs/>
                <w:color w:val="auto"/>
                <w:highlight w:val="none"/>
                <w:lang w:val="zh-CN"/>
              </w:rPr>
            </w:pPr>
            <w:r>
              <w:rPr>
                <w:rFonts w:hint="eastAsia"/>
                <w:b/>
                <w:bCs/>
                <w:color w:val="auto"/>
                <w:highlight w:val="none"/>
              </w:rPr>
              <w:t>3</w:t>
            </w:r>
            <w:r>
              <w:rPr>
                <w:b/>
                <w:bCs/>
                <w:color w:val="auto"/>
                <w:highlight w:val="none"/>
                <w:lang w:val="zh-CN"/>
              </w:rPr>
              <w:t>、声环境质量现状</w:t>
            </w:r>
          </w:p>
          <w:p w14:paraId="21F33388">
            <w:pPr>
              <w:adjustRightInd w:val="0"/>
              <w:snapToGri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根据</w:t>
            </w:r>
            <w:r>
              <w:rPr>
                <w:rFonts w:hint="default" w:ascii="Times New Roman" w:hAnsi="Times New Roman" w:cs="Times New Roman"/>
                <w:color w:val="auto"/>
                <w:highlight w:val="none"/>
              </w:rPr>
              <w:t>《</w:t>
            </w:r>
            <w:r>
              <w:rPr>
                <w:rFonts w:hint="default" w:ascii="Times New Roman" w:hAnsi="Times New Roman" w:eastAsia="宋体" w:cs="Times New Roman"/>
                <w:color w:val="auto"/>
                <w:sz w:val="24"/>
                <w:highlight w:val="none"/>
              </w:rPr>
              <w:t>202</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年南京市</w:t>
            </w:r>
            <w:r>
              <w:rPr>
                <w:rFonts w:hint="eastAsia" w:cs="Times New Roman"/>
                <w:color w:val="auto"/>
                <w:sz w:val="24"/>
                <w:highlight w:val="none"/>
                <w:lang w:val="en-US" w:eastAsia="zh-CN"/>
              </w:rPr>
              <w:t>生态</w:t>
            </w:r>
            <w:r>
              <w:rPr>
                <w:rFonts w:hint="default" w:ascii="Times New Roman" w:hAnsi="Times New Roman" w:eastAsia="宋体" w:cs="Times New Roman"/>
                <w:color w:val="auto"/>
                <w:sz w:val="24"/>
                <w:highlight w:val="none"/>
              </w:rPr>
              <w:t>环境状况公</w:t>
            </w:r>
            <w:r>
              <w:rPr>
                <w:rFonts w:hint="default" w:ascii="Times New Roman" w:hAnsi="Times New Roman" w:eastAsia="宋体" w:cs="Times New Roman"/>
                <w:bCs/>
                <w:color w:val="auto"/>
                <w:sz w:val="24"/>
                <w:highlight w:val="none"/>
              </w:rPr>
              <w:t>报</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zh-CN"/>
              </w:rPr>
              <w:t>，全市监测区域声环境点533个。城区区域声环境均值55.1dB，同比上升1.6dB；郊区区域噪声环境均值52.3dB，同比下降0.7dB。</w:t>
            </w:r>
          </w:p>
          <w:p w14:paraId="4276E9E9">
            <w:pPr>
              <w:adjustRightInd w:val="0"/>
              <w:snapToGri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全市监测道路交通声环境点247个。城区道路交通声环境均值为67.1dB，同比下降0.6dB；郊区道路交通声环境均值65.7dB，同比下降0.4dB。</w:t>
            </w:r>
          </w:p>
          <w:p w14:paraId="3B5FABAD">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lang w:val="zh-CN"/>
              </w:rPr>
            </w:pPr>
            <w:r>
              <w:rPr>
                <w:rFonts w:hint="default" w:ascii="Times New Roman" w:hAnsi="Times New Roman" w:cs="Times New Roman"/>
                <w:color w:val="auto"/>
                <w:highlight w:val="none"/>
                <w:lang w:val="zh-CN"/>
              </w:rPr>
              <w:t>全市功能区声环境监测点20个，昼间达标率为97.5%，夜间达标率为82.5%（2024年，全市功能区声环境监测点位及评价方式均发生改变）。</w:t>
            </w:r>
          </w:p>
          <w:p w14:paraId="1043CC6A">
            <w:pPr>
              <w:keepNext w:val="0"/>
              <w:keepLines w:val="0"/>
              <w:pageBreakBefore w:val="0"/>
              <w:widowControl w:val="0"/>
              <w:kinsoku/>
              <w:wordWrap/>
              <w:overflowPunct/>
              <w:topLinePunct w:val="0"/>
              <w:autoSpaceDE/>
              <w:autoSpaceDN/>
              <w:bidi w:val="0"/>
              <w:ind w:firstLine="480" w:firstLineChars="200"/>
              <w:textAlignment w:val="auto"/>
              <w:rPr>
                <w:rFonts w:hint="default"/>
                <w:color w:val="auto"/>
                <w:highlight w:val="none"/>
                <w:lang w:val="en-US" w:eastAsia="zh-CN"/>
              </w:rPr>
            </w:pPr>
            <w:r>
              <w:rPr>
                <w:rFonts w:hint="default"/>
                <w:color w:val="auto"/>
                <w:highlight w:val="none"/>
                <w:lang w:val="zh-CN"/>
              </w:rPr>
              <w:t>根据《建设项目环境影响报告表</w:t>
            </w:r>
            <w:r>
              <w:rPr>
                <w:rFonts w:hint="default"/>
                <w:color w:val="auto"/>
                <w:highlight w:val="none"/>
              </w:rPr>
              <w:t>编制</w:t>
            </w:r>
            <w:r>
              <w:rPr>
                <w:rFonts w:hint="default"/>
                <w:color w:val="auto"/>
                <w:highlight w:val="none"/>
                <w:lang w:val="zh-CN"/>
              </w:rPr>
              <w:t>技术指南（污染影响类）》（试行），</w:t>
            </w:r>
            <w:r>
              <w:rPr>
                <w:rFonts w:hint="default"/>
                <w:color w:val="auto"/>
                <w:highlight w:val="none"/>
                <w:lang w:val="en-US" w:eastAsia="zh-CN"/>
              </w:rPr>
              <w:t>声环境厂界外周边50米范围内存在声环境保护目标的建设项目，应监测保护目标</w:t>
            </w:r>
            <w:sdt>
              <w:sdtPr>
                <w:rPr>
                  <w:color w:val="auto"/>
                  <w:highlight w:val="none"/>
                </w:rPr>
                <w:alias w:val="易错词检查"/>
                <w:tag w:val="auto"/>
                <w:id w:val="10624"/>
              </w:sdtPr>
              <w:sdtEndPr>
                <w:rPr>
                  <w:color w:val="auto"/>
                  <w:highlight w:val="none"/>
                </w:rPr>
              </w:sdtEndPr>
              <w:sdtContent>
                <w:bookmarkStart w:id="39" w:name="bkReivew10624"/>
                <w:r>
                  <w:rPr>
                    <w:rFonts w:hint="default"/>
                    <w:color w:val="auto"/>
                    <w:highlight w:val="none"/>
                    <w:lang w:val="en-US" w:eastAsia="zh-CN"/>
                  </w:rPr>
                  <w:t>声</w:t>
                </w:r>
                <w:bookmarkEnd w:id="39"/>
              </w:sdtContent>
            </w:sdt>
            <w:r>
              <w:rPr>
                <w:rFonts w:hint="default"/>
                <w:color w:val="auto"/>
                <w:highlight w:val="none"/>
                <w:lang w:val="en-US" w:eastAsia="zh-CN"/>
              </w:rPr>
              <w:t>环境质量现状并评价达标情况</w:t>
            </w:r>
            <w:r>
              <w:rPr>
                <w:rFonts w:hint="eastAsia"/>
                <w:color w:val="auto"/>
                <w:highlight w:val="none"/>
                <w:lang w:val="en-US" w:eastAsia="zh-CN"/>
              </w:rPr>
              <w:t>。</w:t>
            </w:r>
            <w:r>
              <w:rPr>
                <w:rFonts w:hint="default"/>
                <w:color w:val="auto"/>
                <w:highlight w:val="none"/>
                <w:lang w:val="en-US" w:eastAsia="zh-CN"/>
              </w:rPr>
              <w:t>本项目厂界周边50</w:t>
            </w:r>
            <w:r>
              <w:rPr>
                <w:rFonts w:hint="default"/>
                <w:color w:val="auto"/>
                <w:highlight w:val="none"/>
                <w:lang w:val="zh-CN"/>
              </w:rPr>
              <w:t>m</w:t>
            </w:r>
            <w:r>
              <w:rPr>
                <w:rFonts w:hint="eastAsia"/>
                <w:color w:val="auto"/>
                <w:highlight w:val="none"/>
                <w:lang w:val="en-US" w:eastAsia="zh-CN"/>
              </w:rPr>
              <w:t>内</w:t>
            </w:r>
            <w:r>
              <w:rPr>
                <w:rFonts w:hint="default"/>
                <w:color w:val="auto"/>
                <w:highlight w:val="none"/>
                <w:lang w:val="en-US" w:eastAsia="zh-CN"/>
              </w:rPr>
              <w:t>无声环境保护目标，因此</w:t>
            </w:r>
            <w:r>
              <w:rPr>
                <w:rFonts w:hint="eastAsia"/>
                <w:color w:val="auto"/>
                <w:highlight w:val="none"/>
                <w:lang w:val="en-US" w:eastAsia="zh-CN"/>
              </w:rPr>
              <w:t>无需</w:t>
            </w:r>
            <w:r>
              <w:rPr>
                <w:rFonts w:hint="default"/>
                <w:color w:val="auto"/>
                <w:highlight w:val="none"/>
                <w:lang w:val="zh-CN"/>
              </w:rPr>
              <w:t>进行噪声监测</w:t>
            </w:r>
            <w:r>
              <w:rPr>
                <w:rFonts w:hint="default"/>
                <w:color w:val="auto"/>
                <w:highlight w:val="none"/>
                <w:lang w:val="en-US" w:eastAsia="zh-CN"/>
              </w:rPr>
              <w:t>。</w:t>
            </w:r>
          </w:p>
          <w:p w14:paraId="4FE774F2">
            <w:pPr>
              <w:keepNext w:val="0"/>
              <w:keepLines w:val="0"/>
              <w:pageBreakBefore w:val="0"/>
              <w:widowControl w:val="0"/>
              <w:kinsoku/>
              <w:wordWrap/>
              <w:overflowPunct/>
              <w:topLinePunct w:val="0"/>
              <w:autoSpaceDE/>
              <w:autoSpaceDN/>
              <w:bidi w:val="0"/>
              <w:ind w:firstLine="482" w:firstLineChars="200"/>
              <w:textAlignment w:val="auto"/>
              <w:rPr>
                <w:b/>
                <w:bCs/>
                <w:color w:val="auto"/>
                <w:highlight w:val="none"/>
              </w:rPr>
            </w:pPr>
            <w:r>
              <w:rPr>
                <w:b/>
                <w:bCs/>
                <w:color w:val="auto"/>
                <w:highlight w:val="none"/>
              </w:rPr>
              <w:t>4、生态环境</w:t>
            </w:r>
          </w:p>
          <w:p w14:paraId="38B865D6">
            <w:pPr>
              <w:keepNext w:val="0"/>
              <w:keepLines w:val="0"/>
              <w:pageBreakBefore w:val="0"/>
              <w:widowControl w:val="0"/>
              <w:kinsoku/>
              <w:wordWrap/>
              <w:overflowPunct/>
              <w:topLinePunct w:val="0"/>
              <w:autoSpaceDE/>
              <w:autoSpaceDN/>
              <w:bidi w:val="0"/>
              <w:ind w:firstLine="480" w:firstLineChars="200"/>
              <w:textAlignment w:val="auto"/>
              <w:rPr>
                <w:color w:val="auto"/>
                <w:highlight w:val="none"/>
              </w:rPr>
            </w:pPr>
            <w:r>
              <w:rPr>
                <w:color w:val="auto"/>
                <w:highlight w:val="none"/>
              </w:rPr>
              <w:t>本项目利用现有厂房进行建设，不新增用地，且用地范围内不涉及生态环境目标，无需进行生态现状调查。</w:t>
            </w:r>
          </w:p>
          <w:p w14:paraId="29944888">
            <w:pPr>
              <w:keepNext w:val="0"/>
              <w:keepLines w:val="0"/>
              <w:pageBreakBefore w:val="0"/>
              <w:widowControl w:val="0"/>
              <w:kinsoku/>
              <w:wordWrap/>
              <w:overflowPunct/>
              <w:topLinePunct w:val="0"/>
              <w:autoSpaceDE/>
              <w:autoSpaceDN/>
              <w:bidi w:val="0"/>
              <w:ind w:firstLine="482" w:firstLineChars="200"/>
              <w:textAlignment w:val="auto"/>
              <w:rPr>
                <w:b/>
                <w:bCs/>
                <w:color w:val="auto"/>
                <w:highlight w:val="none"/>
              </w:rPr>
            </w:pPr>
            <w:r>
              <w:rPr>
                <w:b/>
                <w:bCs/>
                <w:color w:val="auto"/>
                <w:highlight w:val="none"/>
              </w:rPr>
              <w:t>5、电磁辐射</w:t>
            </w:r>
          </w:p>
          <w:p w14:paraId="137FFE95">
            <w:pPr>
              <w:keepNext w:val="0"/>
              <w:keepLines w:val="0"/>
              <w:pageBreakBefore w:val="0"/>
              <w:widowControl w:val="0"/>
              <w:kinsoku/>
              <w:wordWrap/>
              <w:overflowPunct/>
              <w:topLinePunct w:val="0"/>
              <w:autoSpaceDE/>
              <w:autoSpaceDN/>
              <w:bidi w:val="0"/>
              <w:ind w:firstLine="480" w:firstLineChars="200"/>
              <w:textAlignment w:val="auto"/>
              <w:rPr>
                <w:color w:val="auto"/>
                <w:highlight w:val="none"/>
              </w:rPr>
            </w:pPr>
            <w:r>
              <w:rPr>
                <w:color w:val="auto"/>
                <w:highlight w:val="none"/>
              </w:rPr>
              <w:t>本项目属于</w:t>
            </w:r>
            <w:r>
              <w:rPr>
                <w:rFonts w:hint="eastAsia"/>
                <w:color w:val="auto"/>
                <w:highlight w:val="none"/>
                <w:lang w:eastAsia="zh-CN"/>
              </w:rPr>
              <w:t>M7340医学研究和试验发展</w:t>
            </w:r>
            <w:r>
              <w:rPr>
                <w:color w:val="auto"/>
                <w:highlight w:val="none"/>
              </w:rPr>
              <w:t>，不属于广播电台、差转台、电视塔台、卫星地球上行站、雷达等电磁辐射类项目，无</w:t>
            </w:r>
            <w:sdt>
              <w:sdtPr>
                <w:rPr>
                  <w:color w:val="auto"/>
                  <w:highlight w:val="none"/>
                </w:rPr>
                <w:alias w:val="易错词检查"/>
                <w:tag w:val="auto"/>
                <w:id w:val="1143526"/>
              </w:sdtPr>
              <w:sdtEndPr>
                <w:rPr>
                  <w:color w:val="auto"/>
                  <w:highlight w:val="none"/>
                </w:rPr>
              </w:sdtEndPr>
              <w:sdtContent>
                <w:bookmarkStart w:id="40" w:name="bkReivew1143526"/>
                <w:r>
                  <w:rPr>
                    <w:color w:val="auto"/>
                    <w:highlight w:val="none"/>
                  </w:rPr>
                  <w:t>需开展</w:t>
                </w:r>
                <w:bookmarkEnd w:id="40"/>
              </w:sdtContent>
            </w:sdt>
            <w:r>
              <w:rPr>
                <w:color w:val="auto"/>
                <w:highlight w:val="none"/>
              </w:rPr>
              <w:t>电磁辐射现状开展监测与评价。</w:t>
            </w:r>
          </w:p>
          <w:p w14:paraId="52330CDB">
            <w:pPr>
              <w:keepNext w:val="0"/>
              <w:keepLines w:val="0"/>
              <w:pageBreakBefore w:val="0"/>
              <w:widowControl w:val="0"/>
              <w:kinsoku/>
              <w:wordWrap/>
              <w:overflowPunct/>
              <w:topLinePunct w:val="0"/>
              <w:autoSpaceDE/>
              <w:autoSpaceDN/>
              <w:bidi w:val="0"/>
              <w:ind w:firstLine="482" w:firstLineChars="200"/>
              <w:textAlignment w:val="auto"/>
              <w:rPr>
                <w:b/>
                <w:bCs/>
                <w:color w:val="auto"/>
                <w:highlight w:val="none"/>
              </w:rPr>
            </w:pPr>
            <w:r>
              <w:rPr>
                <w:b/>
                <w:bCs/>
                <w:color w:val="auto"/>
                <w:highlight w:val="none"/>
              </w:rPr>
              <w:t>6、地下水</w:t>
            </w:r>
            <w:r>
              <w:rPr>
                <w:rFonts w:hint="eastAsia"/>
                <w:b/>
                <w:bCs/>
                <w:color w:val="auto"/>
                <w:highlight w:val="none"/>
                <w:lang w:eastAsia="zh-CN"/>
              </w:rPr>
              <w:t>、</w:t>
            </w:r>
            <w:r>
              <w:rPr>
                <w:rFonts w:hint="eastAsia"/>
                <w:b/>
                <w:bCs/>
                <w:color w:val="auto"/>
                <w:highlight w:val="none"/>
                <w:lang w:val="en-US" w:eastAsia="zh-CN"/>
              </w:rPr>
              <w:t>土壤</w:t>
            </w:r>
            <w:r>
              <w:rPr>
                <w:b/>
                <w:bCs/>
                <w:color w:val="auto"/>
                <w:highlight w:val="none"/>
              </w:rPr>
              <w:t>环境</w:t>
            </w:r>
          </w:p>
          <w:p w14:paraId="799DDBF7">
            <w:pPr>
              <w:keepNext w:val="0"/>
              <w:keepLines w:val="0"/>
              <w:pageBreakBefore w:val="0"/>
              <w:widowControl w:val="0"/>
              <w:kinsoku/>
              <w:wordWrap/>
              <w:overflowPunct/>
              <w:topLinePunct w:val="0"/>
              <w:autoSpaceDE/>
              <w:autoSpaceDN/>
              <w:bidi w:val="0"/>
              <w:ind w:firstLine="480" w:firstLineChars="200"/>
              <w:textAlignment w:val="auto"/>
              <w:rPr>
                <w:color w:val="auto"/>
                <w:highlight w:val="none"/>
              </w:rPr>
            </w:pPr>
            <w:r>
              <w:rPr>
                <w:color w:val="auto"/>
                <w:highlight w:val="none"/>
              </w:rPr>
              <w:t>本项目</w:t>
            </w:r>
            <w:r>
              <w:rPr>
                <w:rFonts w:hint="eastAsia"/>
                <w:color w:val="auto"/>
                <w:highlight w:val="none"/>
                <w:lang w:val="en-US" w:eastAsia="zh-CN"/>
              </w:rPr>
              <w:t>采取合理的分区防渗措施，正常状况下无地下水、土壤污染途径，因此不开展地下水、土壤环境现状调查</w:t>
            </w:r>
            <w:r>
              <w:rPr>
                <w:color w:val="auto"/>
                <w:highlight w:val="none"/>
              </w:rPr>
              <w:t>。</w:t>
            </w:r>
          </w:p>
        </w:tc>
      </w:tr>
      <w:tr w14:paraId="008FD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436" w:type="dxa"/>
            <w:vAlign w:val="center"/>
          </w:tcPr>
          <w:p w14:paraId="3AEAC16C">
            <w:pPr>
              <w:adjustRightInd w:val="0"/>
              <w:snapToGrid w:val="0"/>
              <w:spacing w:line="240" w:lineRule="auto"/>
              <w:jc w:val="center"/>
              <w:rPr>
                <w:color w:val="auto"/>
                <w:kern w:val="0"/>
                <w:szCs w:val="21"/>
                <w:highlight w:val="none"/>
              </w:rPr>
            </w:pPr>
            <w:r>
              <w:rPr>
                <w:b/>
                <w:bCs/>
                <w:color w:val="auto"/>
                <w:kern w:val="0"/>
                <w:sz w:val="24"/>
                <w:highlight w:val="none"/>
              </w:rPr>
              <w:t>环境保护目标</w:t>
            </w:r>
          </w:p>
        </w:tc>
        <w:tc>
          <w:tcPr>
            <w:tcW w:w="8554" w:type="dxa"/>
            <w:vAlign w:val="center"/>
          </w:tcPr>
          <w:p w14:paraId="07A08EB8">
            <w:pPr>
              <w:bidi w:val="0"/>
              <w:ind w:firstLine="480" w:firstLineChars="200"/>
            </w:pPr>
            <w:r>
              <w:t>根据</w:t>
            </w:r>
            <w:r>
              <w:rPr>
                <w:rFonts w:hint="eastAsia"/>
                <w:lang w:eastAsia="zh-CN"/>
              </w:rPr>
              <w:t>现场勘查</w:t>
            </w:r>
            <w:r>
              <w:t>，建设项目周围主要环境保护目标</w:t>
            </w:r>
            <w:r>
              <w:rPr>
                <w:rFonts w:hint="eastAsia"/>
              </w:rPr>
              <w:t>如下：</w:t>
            </w:r>
          </w:p>
          <w:p w14:paraId="075FB408">
            <w:pPr>
              <w:bidi w:val="0"/>
              <w:ind w:firstLine="482" w:firstLineChars="200"/>
              <w:rPr>
                <w:b/>
                <w:bCs/>
              </w:rPr>
            </w:pPr>
            <w:r>
              <w:rPr>
                <w:rFonts w:hint="eastAsia"/>
                <w:b/>
                <w:bCs/>
              </w:rPr>
              <w:t>1、</w:t>
            </w:r>
            <w:r>
              <w:rPr>
                <w:b/>
                <w:bCs/>
              </w:rPr>
              <w:t>大气环境保护目标</w:t>
            </w:r>
          </w:p>
          <w:p w14:paraId="4D2BC2C4">
            <w:pPr>
              <w:bidi w:val="0"/>
              <w:ind w:firstLine="480" w:firstLineChars="200"/>
              <w:rPr>
                <w:rFonts w:hint="eastAsia"/>
                <w:lang w:val="en-US" w:eastAsia="zh-CN"/>
              </w:rPr>
            </w:pPr>
            <w:r>
              <w:rPr>
                <w:rFonts w:hint="eastAsia"/>
                <w:lang w:eastAsia="zh-CN"/>
              </w:rPr>
              <w:t>根据现场勘查，本项目周边</w:t>
            </w:r>
            <w:r>
              <w:rPr>
                <w:rFonts w:hint="eastAsia"/>
                <w:lang w:val="en-US" w:eastAsia="zh-CN"/>
              </w:rPr>
              <w:t>500米范围内大气</w:t>
            </w:r>
            <w:r>
              <w:rPr>
                <w:rFonts w:hint="eastAsia"/>
                <w:lang w:eastAsia="zh-CN"/>
              </w:rPr>
              <w:t>环境保护目标</w:t>
            </w:r>
            <w:r>
              <w:rPr>
                <w:rFonts w:hint="eastAsia"/>
                <w:lang w:val="en-US" w:eastAsia="zh-CN"/>
              </w:rPr>
              <w:t>见</w:t>
            </w:r>
            <w:bookmarkStart w:id="74" w:name="_GoBack"/>
            <w:bookmarkEnd w:id="74"/>
            <w:r>
              <w:rPr>
                <w:rFonts w:hint="eastAsia"/>
                <w:lang w:val="en-US" w:eastAsia="zh-CN"/>
              </w:rPr>
              <w:t>下表。</w:t>
            </w:r>
          </w:p>
          <w:p w14:paraId="0660ADC7">
            <w:pPr>
              <w:pStyle w:val="40"/>
              <w:bidi w:val="0"/>
            </w:pPr>
            <w:r>
              <w:rPr>
                <w:rFonts w:hint="eastAsia"/>
                <w:lang w:val="en-US" w:eastAsia="zh-CN"/>
              </w:rPr>
              <w:t>大气</w:t>
            </w:r>
            <w:r>
              <w:rPr>
                <w:rFonts w:hint="eastAsia"/>
              </w:rPr>
              <w:t>环境保护目标一览表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87"/>
              <w:gridCol w:w="1299"/>
              <w:gridCol w:w="1135"/>
              <w:gridCol w:w="919"/>
              <w:gridCol w:w="959"/>
              <w:gridCol w:w="757"/>
              <w:gridCol w:w="768"/>
              <w:gridCol w:w="814"/>
            </w:tblGrid>
            <w:tr w14:paraId="7BA71B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1011" w:type="pct"/>
                  <w:vMerge w:val="restart"/>
                  <w:noWrap w:val="0"/>
                  <w:vAlign w:val="center"/>
                </w:tcPr>
                <w:p w14:paraId="0559BBE7">
                  <w:pPr>
                    <w:pStyle w:val="41"/>
                    <w:keepNext w:val="0"/>
                    <w:keepLines w:val="0"/>
                    <w:pageBreakBefore w:val="0"/>
                    <w:widowControl w:val="0"/>
                    <w:kinsoku/>
                    <w:wordWrap/>
                    <w:overflowPunct/>
                    <w:topLinePunct w:val="0"/>
                    <w:autoSpaceDE/>
                    <w:autoSpaceDN/>
                    <w:bidi w:val="0"/>
                    <w:adjustRightInd w:val="0"/>
                    <w:snapToGrid w:val="0"/>
                    <w:textAlignment w:val="auto"/>
                    <w:rPr>
                      <w:b/>
                      <w:bCs/>
                    </w:rPr>
                  </w:pPr>
                  <w:r>
                    <w:rPr>
                      <w:rFonts w:hint="eastAsia"/>
                      <w:b/>
                      <w:bCs/>
                    </w:rPr>
                    <w:t>名称</w:t>
                  </w:r>
                </w:p>
              </w:tc>
              <w:tc>
                <w:tcPr>
                  <w:tcW w:w="1459" w:type="pct"/>
                  <w:gridSpan w:val="2"/>
                  <w:noWrap w:val="0"/>
                  <w:vAlign w:val="center"/>
                </w:tcPr>
                <w:p w14:paraId="2802AAA9">
                  <w:pPr>
                    <w:pStyle w:val="41"/>
                    <w:keepNext w:val="0"/>
                    <w:keepLines w:val="0"/>
                    <w:pageBreakBefore w:val="0"/>
                    <w:widowControl w:val="0"/>
                    <w:kinsoku/>
                    <w:wordWrap/>
                    <w:overflowPunct/>
                    <w:topLinePunct w:val="0"/>
                    <w:autoSpaceDE/>
                    <w:autoSpaceDN/>
                    <w:bidi w:val="0"/>
                    <w:adjustRightInd w:val="0"/>
                    <w:snapToGrid w:val="0"/>
                    <w:textAlignment w:val="auto"/>
                    <w:rPr>
                      <w:b/>
                      <w:bCs/>
                    </w:rPr>
                  </w:pPr>
                  <w:r>
                    <w:rPr>
                      <w:rFonts w:hint="eastAsia"/>
                      <w:b/>
                      <w:bCs/>
                    </w:rPr>
                    <w:t>坐标（</w:t>
                  </w:r>
                  <w:r>
                    <w:rPr>
                      <w:rFonts w:hint="eastAsia"/>
                      <w:b/>
                      <w:bCs/>
                      <w:lang w:val="en-US" w:eastAsia="zh-CN"/>
                    </w:rPr>
                    <w:t>m</w:t>
                  </w:r>
                  <w:r>
                    <w:rPr>
                      <w:rFonts w:hint="eastAsia"/>
                      <w:b/>
                      <w:bCs/>
                    </w:rPr>
                    <w:t>）</w:t>
                  </w:r>
                </w:p>
              </w:tc>
              <w:tc>
                <w:tcPr>
                  <w:tcW w:w="551" w:type="pct"/>
                  <w:vMerge w:val="restart"/>
                  <w:noWrap w:val="0"/>
                  <w:vAlign w:val="center"/>
                </w:tcPr>
                <w:p w14:paraId="2F7CABF5">
                  <w:pPr>
                    <w:pStyle w:val="41"/>
                    <w:keepNext w:val="0"/>
                    <w:keepLines w:val="0"/>
                    <w:pageBreakBefore w:val="0"/>
                    <w:widowControl w:val="0"/>
                    <w:kinsoku/>
                    <w:wordWrap/>
                    <w:overflowPunct/>
                    <w:topLinePunct w:val="0"/>
                    <w:autoSpaceDE/>
                    <w:autoSpaceDN/>
                    <w:bidi w:val="0"/>
                    <w:adjustRightInd w:val="0"/>
                    <w:snapToGrid w:val="0"/>
                    <w:textAlignment w:val="auto"/>
                    <w:rPr>
                      <w:b/>
                      <w:bCs/>
                    </w:rPr>
                  </w:pPr>
                  <w:r>
                    <w:rPr>
                      <w:rFonts w:hint="eastAsia"/>
                      <w:b/>
                      <w:bCs/>
                    </w:rPr>
                    <w:t>保护对象</w:t>
                  </w:r>
                </w:p>
              </w:tc>
              <w:tc>
                <w:tcPr>
                  <w:tcW w:w="575" w:type="pct"/>
                  <w:vMerge w:val="restart"/>
                  <w:noWrap w:val="0"/>
                  <w:vAlign w:val="center"/>
                </w:tcPr>
                <w:p w14:paraId="155C7569">
                  <w:pPr>
                    <w:pStyle w:val="41"/>
                    <w:keepNext w:val="0"/>
                    <w:keepLines w:val="0"/>
                    <w:pageBreakBefore w:val="0"/>
                    <w:widowControl w:val="0"/>
                    <w:kinsoku/>
                    <w:wordWrap/>
                    <w:overflowPunct/>
                    <w:topLinePunct w:val="0"/>
                    <w:autoSpaceDE/>
                    <w:autoSpaceDN/>
                    <w:bidi w:val="0"/>
                    <w:adjustRightInd w:val="0"/>
                    <w:snapToGrid w:val="0"/>
                    <w:textAlignment w:val="auto"/>
                    <w:rPr>
                      <w:b/>
                      <w:bCs/>
                    </w:rPr>
                  </w:pPr>
                  <w:r>
                    <w:rPr>
                      <w:rFonts w:hint="eastAsia"/>
                      <w:b/>
                      <w:bCs/>
                    </w:rPr>
                    <w:t>保护</w:t>
                  </w:r>
                </w:p>
                <w:p w14:paraId="1EE15F3D">
                  <w:pPr>
                    <w:pStyle w:val="41"/>
                    <w:keepNext w:val="0"/>
                    <w:keepLines w:val="0"/>
                    <w:pageBreakBefore w:val="0"/>
                    <w:widowControl w:val="0"/>
                    <w:kinsoku/>
                    <w:wordWrap/>
                    <w:overflowPunct/>
                    <w:topLinePunct w:val="0"/>
                    <w:autoSpaceDE/>
                    <w:autoSpaceDN/>
                    <w:bidi w:val="0"/>
                    <w:adjustRightInd w:val="0"/>
                    <w:snapToGrid w:val="0"/>
                    <w:textAlignment w:val="auto"/>
                    <w:rPr>
                      <w:b/>
                      <w:bCs/>
                    </w:rPr>
                  </w:pPr>
                  <w:r>
                    <w:rPr>
                      <w:rFonts w:hint="eastAsia"/>
                      <w:b/>
                      <w:bCs/>
                    </w:rPr>
                    <w:t>内容</w:t>
                  </w:r>
                </w:p>
              </w:tc>
              <w:tc>
                <w:tcPr>
                  <w:tcW w:w="453" w:type="pct"/>
                  <w:vMerge w:val="restart"/>
                  <w:noWrap w:val="0"/>
                  <w:vAlign w:val="center"/>
                </w:tcPr>
                <w:p w14:paraId="1F2A879F">
                  <w:pPr>
                    <w:pStyle w:val="41"/>
                    <w:keepNext w:val="0"/>
                    <w:keepLines w:val="0"/>
                    <w:pageBreakBefore w:val="0"/>
                    <w:widowControl w:val="0"/>
                    <w:kinsoku/>
                    <w:wordWrap/>
                    <w:overflowPunct/>
                    <w:topLinePunct w:val="0"/>
                    <w:autoSpaceDE/>
                    <w:autoSpaceDN/>
                    <w:bidi w:val="0"/>
                    <w:adjustRightInd w:val="0"/>
                    <w:snapToGrid w:val="0"/>
                    <w:textAlignment w:val="auto"/>
                    <w:rPr>
                      <w:b/>
                      <w:bCs/>
                    </w:rPr>
                  </w:pPr>
                  <w:r>
                    <w:rPr>
                      <w:rFonts w:hint="eastAsia"/>
                      <w:b/>
                      <w:bCs/>
                      <w:lang w:eastAsia="zh-CN"/>
                    </w:rPr>
                    <w:t>环境</w:t>
                  </w:r>
                  <w:r>
                    <w:rPr>
                      <w:rFonts w:hint="eastAsia"/>
                      <w:b/>
                      <w:bCs/>
                    </w:rPr>
                    <w:t>功能区</w:t>
                  </w:r>
                </w:p>
              </w:tc>
              <w:tc>
                <w:tcPr>
                  <w:tcW w:w="460" w:type="pct"/>
                  <w:vMerge w:val="restart"/>
                  <w:noWrap w:val="0"/>
                  <w:vAlign w:val="center"/>
                </w:tcPr>
                <w:p w14:paraId="1972E967">
                  <w:pPr>
                    <w:pStyle w:val="41"/>
                    <w:keepNext w:val="0"/>
                    <w:keepLines w:val="0"/>
                    <w:pageBreakBefore w:val="0"/>
                    <w:widowControl w:val="0"/>
                    <w:kinsoku/>
                    <w:wordWrap/>
                    <w:overflowPunct/>
                    <w:topLinePunct w:val="0"/>
                    <w:autoSpaceDE/>
                    <w:autoSpaceDN/>
                    <w:bidi w:val="0"/>
                    <w:adjustRightInd w:val="0"/>
                    <w:snapToGrid w:val="0"/>
                    <w:textAlignment w:val="auto"/>
                    <w:rPr>
                      <w:b/>
                      <w:bCs/>
                    </w:rPr>
                  </w:pPr>
                  <w:r>
                    <w:rPr>
                      <w:rFonts w:hint="eastAsia"/>
                      <w:b/>
                      <w:bCs/>
                    </w:rPr>
                    <w:t>相对</w:t>
                  </w:r>
                  <w:r>
                    <w:rPr>
                      <w:rFonts w:hint="eastAsia"/>
                      <w:b/>
                      <w:bCs/>
                      <w:lang w:val="en-US" w:eastAsia="zh-CN"/>
                    </w:rPr>
                    <w:t>厂址</w:t>
                  </w:r>
                  <w:r>
                    <w:rPr>
                      <w:rFonts w:hint="eastAsia"/>
                      <w:b/>
                      <w:bCs/>
                    </w:rPr>
                    <w:t>方位</w:t>
                  </w:r>
                </w:p>
              </w:tc>
              <w:tc>
                <w:tcPr>
                  <w:tcW w:w="488" w:type="pct"/>
                  <w:vMerge w:val="restart"/>
                  <w:noWrap w:val="0"/>
                  <w:vAlign w:val="center"/>
                </w:tcPr>
                <w:p w14:paraId="6A28AE62">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b/>
                      <w:bCs/>
                      <w:lang w:eastAsia="zh-CN"/>
                    </w:rPr>
                  </w:pPr>
                  <w:r>
                    <w:rPr>
                      <w:rFonts w:hint="eastAsia"/>
                      <w:b/>
                      <w:bCs/>
                      <w:lang w:eastAsia="zh-CN"/>
                    </w:rPr>
                    <w:t>相对厂界距离（</w:t>
                  </w:r>
                  <w:r>
                    <w:rPr>
                      <w:rFonts w:hint="eastAsia"/>
                      <w:b/>
                      <w:bCs/>
                      <w:lang w:val="en-US" w:eastAsia="zh-CN"/>
                    </w:rPr>
                    <w:t>m</w:t>
                  </w:r>
                  <w:r>
                    <w:rPr>
                      <w:rFonts w:hint="eastAsia"/>
                      <w:b/>
                      <w:bCs/>
                      <w:lang w:eastAsia="zh-CN"/>
                    </w:rPr>
                    <w:t>）</w:t>
                  </w:r>
                </w:p>
              </w:tc>
            </w:tr>
            <w:tr w14:paraId="2816EF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1011" w:type="pct"/>
                  <w:vMerge w:val="continue"/>
                  <w:noWrap w:val="0"/>
                  <w:vAlign w:val="center"/>
                </w:tcPr>
                <w:p w14:paraId="74354D3F">
                  <w:pPr>
                    <w:pStyle w:val="41"/>
                    <w:keepNext w:val="0"/>
                    <w:keepLines w:val="0"/>
                    <w:pageBreakBefore w:val="0"/>
                    <w:widowControl w:val="0"/>
                    <w:kinsoku/>
                    <w:wordWrap/>
                    <w:overflowPunct/>
                    <w:topLinePunct w:val="0"/>
                    <w:autoSpaceDE/>
                    <w:autoSpaceDN/>
                    <w:bidi w:val="0"/>
                    <w:adjustRightInd w:val="0"/>
                    <w:snapToGrid w:val="0"/>
                    <w:textAlignment w:val="auto"/>
                  </w:pPr>
                </w:p>
              </w:tc>
              <w:tc>
                <w:tcPr>
                  <w:tcW w:w="778" w:type="pct"/>
                  <w:noWrap w:val="0"/>
                  <w:vAlign w:val="center"/>
                </w:tcPr>
                <w:p w14:paraId="7487D834">
                  <w:pPr>
                    <w:pStyle w:val="41"/>
                    <w:keepNext w:val="0"/>
                    <w:keepLines w:val="0"/>
                    <w:pageBreakBefore w:val="0"/>
                    <w:widowControl w:val="0"/>
                    <w:kinsoku/>
                    <w:wordWrap/>
                    <w:overflowPunct/>
                    <w:topLinePunct w:val="0"/>
                    <w:autoSpaceDE/>
                    <w:autoSpaceDN/>
                    <w:bidi w:val="0"/>
                    <w:adjustRightInd w:val="0"/>
                    <w:snapToGrid w:val="0"/>
                    <w:textAlignment w:val="auto"/>
                    <w:rPr>
                      <w:b/>
                      <w:bCs/>
                    </w:rPr>
                  </w:pPr>
                  <w:r>
                    <w:rPr>
                      <w:rFonts w:hint="eastAsia"/>
                      <w:b/>
                      <w:bCs/>
                    </w:rPr>
                    <w:t>X</w:t>
                  </w:r>
                </w:p>
              </w:tc>
              <w:tc>
                <w:tcPr>
                  <w:tcW w:w="680" w:type="pct"/>
                  <w:noWrap w:val="0"/>
                  <w:vAlign w:val="center"/>
                </w:tcPr>
                <w:p w14:paraId="12F0550C">
                  <w:pPr>
                    <w:pStyle w:val="41"/>
                    <w:keepNext w:val="0"/>
                    <w:keepLines w:val="0"/>
                    <w:pageBreakBefore w:val="0"/>
                    <w:widowControl w:val="0"/>
                    <w:kinsoku/>
                    <w:wordWrap/>
                    <w:overflowPunct/>
                    <w:topLinePunct w:val="0"/>
                    <w:autoSpaceDE/>
                    <w:autoSpaceDN/>
                    <w:bidi w:val="0"/>
                    <w:adjustRightInd w:val="0"/>
                    <w:snapToGrid w:val="0"/>
                    <w:textAlignment w:val="auto"/>
                    <w:rPr>
                      <w:b/>
                      <w:bCs/>
                    </w:rPr>
                  </w:pPr>
                  <w:r>
                    <w:rPr>
                      <w:rFonts w:hint="eastAsia"/>
                      <w:b/>
                      <w:bCs/>
                    </w:rPr>
                    <w:t>Y</w:t>
                  </w:r>
                </w:p>
              </w:tc>
              <w:tc>
                <w:tcPr>
                  <w:tcW w:w="551" w:type="pct"/>
                  <w:vMerge w:val="continue"/>
                  <w:noWrap w:val="0"/>
                  <w:vAlign w:val="center"/>
                </w:tcPr>
                <w:p w14:paraId="00E55A7A">
                  <w:pPr>
                    <w:pStyle w:val="41"/>
                    <w:keepNext w:val="0"/>
                    <w:keepLines w:val="0"/>
                    <w:pageBreakBefore w:val="0"/>
                    <w:widowControl w:val="0"/>
                    <w:kinsoku/>
                    <w:wordWrap/>
                    <w:overflowPunct/>
                    <w:topLinePunct w:val="0"/>
                    <w:autoSpaceDE/>
                    <w:autoSpaceDN/>
                    <w:bidi w:val="0"/>
                    <w:adjustRightInd w:val="0"/>
                    <w:snapToGrid w:val="0"/>
                    <w:textAlignment w:val="auto"/>
                  </w:pPr>
                </w:p>
              </w:tc>
              <w:tc>
                <w:tcPr>
                  <w:tcW w:w="575" w:type="pct"/>
                  <w:vMerge w:val="continue"/>
                  <w:noWrap w:val="0"/>
                  <w:vAlign w:val="center"/>
                </w:tcPr>
                <w:p w14:paraId="033B82F9">
                  <w:pPr>
                    <w:pStyle w:val="41"/>
                    <w:keepNext w:val="0"/>
                    <w:keepLines w:val="0"/>
                    <w:pageBreakBefore w:val="0"/>
                    <w:widowControl w:val="0"/>
                    <w:kinsoku/>
                    <w:wordWrap/>
                    <w:overflowPunct/>
                    <w:topLinePunct w:val="0"/>
                    <w:autoSpaceDE/>
                    <w:autoSpaceDN/>
                    <w:bidi w:val="0"/>
                    <w:adjustRightInd w:val="0"/>
                    <w:snapToGrid w:val="0"/>
                    <w:textAlignment w:val="auto"/>
                  </w:pPr>
                </w:p>
              </w:tc>
              <w:tc>
                <w:tcPr>
                  <w:tcW w:w="453" w:type="pct"/>
                  <w:vMerge w:val="continue"/>
                  <w:noWrap w:val="0"/>
                  <w:vAlign w:val="center"/>
                </w:tcPr>
                <w:p w14:paraId="44DF8A15">
                  <w:pPr>
                    <w:pStyle w:val="41"/>
                    <w:keepNext w:val="0"/>
                    <w:keepLines w:val="0"/>
                    <w:pageBreakBefore w:val="0"/>
                    <w:widowControl w:val="0"/>
                    <w:kinsoku/>
                    <w:wordWrap/>
                    <w:overflowPunct/>
                    <w:topLinePunct w:val="0"/>
                    <w:autoSpaceDE/>
                    <w:autoSpaceDN/>
                    <w:bidi w:val="0"/>
                    <w:adjustRightInd w:val="0"/>
                    <w:snapToGrid w:val="0"/>
                    <w:textAlignment w:val="auto"/>
                  </w:pPr>
                </w:p>
              </w:tc>
              <w:tc>
                <w:tcPr>
                  <w:tcW w:w="460" w:type="pct"/>
                  <w:vMerge w:val="continue"/>
                  <w:noWrap w:val="0"/>
                  <w:vAlign w:val="center"/>
                </w:tcPr>
                <w:p w14:paraId="394F1672">
                  <w:pPr>
                    <w:pStyle w:val="41"/>
                    <w:keepNext w:val="0"/>
                    <w:keepLines w:val="0"/>
                    <w:pageBreakBefore w:val="0"/>
                    <w:widowControl w:val="0"/>
                    <w:kinsoku/>
                    <w:wordWrap/>
                    <w:overflowPunct/>
                    <w:topLinePunct w:val="0"/>
                    <w:autoSpaceDE/>
                    <w:autoSpaceDN/>
                    <w:bidi w:val="0"/>
                    <w:adjustRightInd w:val="0"/>
                    <w:snapToGrid w:val="0"/>
                    <w:textAlignment w:val="auto"/>
                  </w:pPr>
                </w:p>
              </w:tc>
              <w:tc>
                <w:tcPr>
                  <w:tcW w:w="488" w:type="pct"/>
                  <w:vMerge w:val="continue"/>
                  <w:noWrap w:val="0"/>
                  <w:vAlign w:val="center"/>
                </w:tcPr>
                <w:p w14:paraId="2C0C2F79">
                  <w:pPr>
                    <w:pStyle w:val="41"/>
                    <w:keepNext w:val="0"/>
                    <w:keepLines w:val="0"/>
                    <w:pageBreakBefore w:val="0"/>
                    <w:widowControl w:val="0"/>
                    <w:kinsoku/>
                    <w:wordWrap/>
                    <w:overflowPunct/>
                    <w:topLinePunct w:val="0"/>
                    <w:autoSpaceDE/>
                    <w:autoSpaceDN/>
                    <w:bidi w:val="0"/>
                    <w:adjustRightInd w:val="0"/>
                    <w:snapToGrid w:val="0"/>
                    <w:textAlignment w:val="auto"/>
                  </w:pPr>
                </w:p>
              </w:tc>
            </w:tr>
            <w:tr w14:paraId="74EBFA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11" w:type="pct"/>
                  <w:noWrap w:val="0"/>
                  <w:vAlign w:val="center"/>
                </w:tcPr>
                <w:p w14:paraId="265509A3">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bookmarkStart w:id="41" w:name="_Hlk457408689"/>
                  <w:r>
                    <w:rPr>
                      <w:rFonts w:hint="eastAsia"/>
                      <w:lang w:val="en-US" w:eastAsia="zh-CN"/>
                    </w:rPr>
                    <w:t>南京江宁高等职业技术学校</w:t>
                  </w:r>
                </w:p>
              </w:tc>
              <w:tc>
                <w:tcPr>
                  <w:tcW w:w="778" w:type="pct"/>
                  <w:noWrap w:val="0"/>
                  <w:vAlign w:val="center"/>
                </w:tcPr>
                <w:p w14:paraId="7D16E1F7">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118.893543</w:t>
                  </w:r>
                </w:p>
              </w:tc>
              <w:tc>
                <w:tcPr>
                  <w:tcW w:w="680" w:type="pct"/>
                  <w:noWrap w:val="0"/>
                  <w:vAlign w:val="center"/>
                </w:tcPr>
                <w:p w14:paraId="4DB19695">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31.933475</w:t>
                  </w:r>
                </w:p>
              </w:tc>
              <w:tc>
                <w:tcPr>
                  <w:tcW w:w="551" w:type="pct"/>
                  <w:noWrap w:val="0"/>
                  <w:vAlign w:val="center"/>
                </w:tcPr>
                <w:p w14:paraId="21A14AB4">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学校</w:t>
                  </w:r>
                </w:p>
              </w:tc>
              <w:tc>
                <w:tcPr>
                  <w:tcW w:w="575" w:type="pct"/>
                  <w:noWrap w:val="0"/>
                  <w:vAlign w:val="center"/>
                </w:tcPr>
                <w:p w14:paraId="786441B0">
                  <w:pPr>
                    <w:pStyle w:val="41"/>
                    <w:keepNext w:val="0"/>
                    <w:keepLines w:val="0"/>
                    <w:pageBreakBefore w:val="0"/>
                    <w:widowControl w:val="0"/>
                    <w:kinsoku/>
                    <w:wordWrap/>
                    <w:overflowPunct/>
                    <w:topLinePunct w:val="0"/>
                    <w:autoSpaceDE/>
                    <w:autoSpaceDN/>
                    <w:bidi w:val="0"/>
                    <w:adjustRightInd w:val="0"/>
                    <w:snapToGrid w:val="0"/>
                    <w:textAlignment w:val="auto"/>
                  </w:pPr>
                  <w:r>
                    <w:rPr>
                      <w:rFonts w:hint="eastAsia"/>
                      <w:lang w:val="en-US" w:eastAsia="zh-CN"/>
                    </w:rPr>
                    <w:t>3000</w:t>
                  </w:r>
                  <w:r>
                    <w:rPr>
                      <w:rFonts w:hint="eastAsia"/>
                    </w:rPr>
                    <w:t>人</w:t>
                  </w:r>
                </w:p>
              </w:tc>
              <w:tc>
                <w:tcPr>
                  <w:tcW w:w="453" w:type="pct"/>
                  <w:vMerge w:val="restart"/>
                  <w:noWrap w:val="0"/>
                  <w:vAlign w:val="center"/>
                </w:tcPr>
                <w:p w14:paraId="7F09FEDA">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r>
                    <w:t>《环境空气质量标准》</w:t>
                  </w:r>
                  <w:r>
                    <w:rPr>
                      <w:rFonts w:hint="eastAsia"/>
                    </w:rPr>
                    <w:t>(</w:t>
                  </w:r>
                  <w:r>
                    <w:t>GB3095-2012</w:t>
                  </w:r>
                  <w:r>
                    <w:rPr>
                      <w:rFonts w:hint="eastAsia"/>
                    </w:rPr>
                    <w:t>)</w:t>
                  </w:r>
                  <w:r>
                    <w:t>二类区</w:t>
                  </w:r>
                </w:p>
              </w:tc>
              <w:tc>
                <w:tcPr>
                  <w:tcW w:w="460" w:type="pct"/>
                  <w:noWrap w:val="0"/>
                  <w:vAlign w:val="center"/>
                </w:tcPr>
                <w:p w14:paraId="79A3A71E">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r>
                    <w:rPr>
                      <w:rFonts w:hint="eastAsia"/>
                    </w:rPr>
                    <w:t>NE</w:t>
                  </w:r>
                </w:p>
              </w:tc>
              <w:tc>
                <w:tcPr>
                  <w:tcW w:w="488" w:type="pct"/>
                  <w:noWrap w:val="0"/>
                  <w:vAlign w:val="center"/>
                </w:tcPr>
                <w:p w14:paraId="471FB09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316</w:t>
                  </w:r>
                </w:p>
              </w:tc>
            </w:tr>
            <w:tr w14:paraId="329AC7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11" w:type="pct"/>
                  <w:noWrap w:val="0"/>
                  <w:vAlign w:val="center"/>
                </w:tcPr>
                <w:p w14:paraId="5677A8D3">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南京旅游职业学院</w:t>
                  </w:r>
                </w:p>
              </w:tc>
              <w:tc>
                <w:tcPr>
                  <w:tcW w:w="778" w:type="pct"/>
                  <w:noWrap w:val="0"/>
                  <w:vAlign w:val="center"/>
                </w:tcPr>
                <w:p w14:paraId="11CAB7B2">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118.886795</w:t>
                  </w:r>
                </w:p>
              </w:tc>
              <w:tc>
                <w:tcPr>
                  <w:tcW w:w="680" w:type="pct"/>
                  <w:noWrap w:val="0"/>
                  <w:vAlign w:val="center"/>
                </w:tcPr>
                <w:p w14:paraId="4E790518">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31.930718</w:t>
                  </w:r>
                </w:p>
              </w:tc>
              <w:tc>
                <w:tcPr>
                  <w:tcW w:w="551" w:type="pct"/>
                  <w:noWrap w:val="0"/>
                  <w:vAlign w:val="center"/>
                </w:tcPr>
                <w:p w14:paraId="5C2AB3DC">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val="en-US" w:eastAsia="zh-CN"/>
                    </w:rPr>
                    <w:t>学校</w:t>
                  </w:r>
                </w:p>
              </w:tc>
              <w:tc>
                <w:tcPr>
                  <w:tcW w:w="575" w:type="pct"/>
                  <w:noWrap w:val="0"/>
                  <w:vAlign w:val="center"/>
                </w:tcPr>
                <w:p w14:paraId="12CB3EFE">
                  <w:pPr>
                    <w:pStyle w:val="41"/>
                    <w:keepNext w:val="0"/>
                    <w:keepLines w:val="0"/>
                    <w:pageBreakBefore w:val="0"/>
                    <w:widowControl w:val="0"/>
                    <w:kinsoku/>
                    <w:wordWrap/>
                    <w:overflowPunct/>
                    <w:topLinePunct w:val="0"/>
                    <w:autoSpaceDE/>
                    <w:autoSpaceDN/>
                    <w:bidi w:val="0"/>
                    <w:adjustRightInd w:val="0"/>
                    <w:snapToGrid w:val="0"/>
                    <w:textAlignment w:val="auto"/>
                  </w:pPr>
                  <w:r>
                    <w:rPr>
                      <w:rFonts w:hint="eastAsia"/>
                      <w:lang w:val="en-US" w:eastAsia="zh-CN"/>
                    </w:rPr>
                    <w:t>6000</w:t>
                  </w:r>
                  <w:r>
                    <w:rPr>
                      <w:rFonts w:hint="eastAsia"/>
                    </w:rPr>
                    <w:t>人</w:t>
                  </w:r>
                </w:p>
              </w:tc>
              <w:tc>
                <w:tcPr>
                  <w:tcW w:w="453" w:type="pct"/>
                  <w:vMerge w:val="continue"/>
                  <w:noWrap w:val="0"/>
                  <w:vAlign w:val="center"/>
                </w:tcPr>
                <w:p w14:paraId="0FDD76E0">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p>
              </w:tc>
              <w:tc>
                <w:tcPr>
                  <w:tcW w:w="460" w:type="pct"/>
                  <w:noWrap w:val="0"/>
                  <w:vAlign w:val="center"/>
                </w:tcPr>
                <w:p w14:paraId="758278F3">
                  <w:pPr>
                    <w:pStyle w:val="41"/>
                    <w:keepNext w:val="0"/>
                    <w:keepLines w:val="0"/>
                    <w:pageBreakBefore w:val="0"/>
                    <w:widowControl w:val="0"/>
                    <w:kinsoku/>
                    <w:wordWrap/>
                    <w:overflowPunct/>
                    <w:topLinePunct w:val="0"/>
                    <w:autoSpaceDE/>
                    <w:autoSpaceDN/>
                    <w:bidi w:val="0"/>
                    <w:adjustRightInd w:val="0"/>
                    <w:snapToGrid w:val="0"/>
                    <w:textAlignment w:val="auto"/>
                  </w:pPr>
                  <w:r>
                    <w:rPr>
                      <w:rFonts w:hint="eastAsia"/>
                    </w:rPr>
                    <w:t>NW</w:t>
                  </w:r>
                </w:p>
              </w:tc>
              <w:tc>
                <w:tcPr>
                  <w:tcW w:w="488" w:type="pct"/>
                  <w:noWrap w:val="0"/>
                  <w:vAlign w:val="center"/>
                </w:tcPr>
                <w:p w14:paraId="37689AAC">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252</w:t>
                  </w:r>
                </w:p>
              </w:tc>
            </w:tr>
            <w:tr w14:paraId="79E8A4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11" w:type="pct"/>
                  <w:noWrap w:val="0"/>
                  <w:vAlign w:val="center"/>
                </w:tcPr>
                <w:p w14:paraId="268CE967">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弘阳上院</w:t>
                  </w:r>
                </w:p>
              </w:tc>
              <w:tc>
                <w:tcPr>
                  <w:tcW w:w="778" w:type="pct"/>
                  <w:noWrap w:val="0"/>
                  <w:vAlign w:val="center"/>
                </w:tcPr>
                <w:p w14:paraId="362AAD54">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118.893467</w:t>
                  </w:r>
                </w:p>
              </w:tc>
              <w:tc>
                <w:tcPr>
                  <w:tcW w:w="680" w:type="pct"/>
                  <w:noWrap w:val="0"/>
                  <w:vAlign w:val="center"/>
                </w:tcPr>
                <w:p w14:paraId="3679E58B">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31.930096</w:t>
                  </w:r>
                </w:p>
              </w:tc>
              <w:tc>
                <w:tcPr>
                  <w:tcW w:w="551" w:type="pct"/>
                  <w:noWrap w:val="0"/>
                  <w:vAlign w:val="center"/>
                </w:tcPr>
                <w:p w14:paraId="364BC984">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rPr>
                    <w:t>居民</w:t>
                  </w:r>
                  <w:r>
                    <w:rPr>
                      <w:rFonts w:hint="eastAsia"/>
                      <w:lang w:val="en-US" w:eastAsia="zh-CN"/>
                    </w:rPr>
                    <w:t>区</w:t>
                  </w:r>
                </w:p>
              </w:tc>
              <w:tc>
                <w:tcPr>
                  <w:tcW w:w="575" w:type="pct"/>
                  <w:noWrap w:val="0"/>
                  <w:vAlign w:val="center"/>
                </w:tcPr>
                <w:p w14:paraId="04959939">
                  <w:pPr>
                    <w:pStyle w:val="41"/>
                    <w:keepNext w:val="0"/>
                    <w:keepLines w:val="0"/>
                    <w:pageBreakBefore w:val="0"/>
                    <w:widowControl w:val="0"/>
                    <w:kinsoku/>
                    <w:wordWrap/>
                    <w:overflowPunct/>
                    <w:topLinePunct w:val="0"/>
                    <w:autoSpaceDE/>
                    <w:autoSpaceDN/>
                    <w:bidi w:val="0"/>
                    <w:adjustRightInd w:val="0"/>
                    <w:snapToGrid w:val="0"/>
                    <w:textAlignment w:val="auto"/>
                  </w:pPr>
                  <w:r>
                    <w:rPr>
                      <w:rFonts w:hint="eastAsia"/>
                      <w:lang w:val="en-US" w:eastAsia="zh-CN"/>
                    </w:rPr>
                    <w:t>1500</w:t>
                  </w:r>
                  <w:r>
                    <w:rPr>
                      <w:rFonts w:hint="eastAsia"/>
                    </w:rPr>
                    <w:t>人</w:t>
                  </w:r>
                </w:p>
              </w:tc>
              <w:tc>
                <w:tcPr>
                  <w:tcW w:w="453" w:type="pct"/>
                  <w:vMerge w:val="continue"/>
                  <w:noWrap w:val="0"/>
                  <w:vAlign w:val="center"/>
                </w:tcPr>
                <w:p w14:paraId="7A23CEF2">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p>
              </w:tc>
              <w:tc>
                <w:tcPr>
                  <w:tcW w:w="460" w:type="pct"/>
                  <w:noWrap w:val="0"/>
                  <w:vAlign w:val="center"/>
                </w:tcPr>
                <w:p w14:paraId="0D0B26E1">
                  <w:pPr>
                    <w:pStyle w:val="41"/>
                    <w:keepNext w:val="0"/>
                    <w:keepLines w:val="0"/>
                    <w:pageBreakBefore w:val="0"/>
                    <w:widowControl w:val="0"/>
                    <w:kinsoku/>
                    <w:wordWrap/>
                    <w:overflowPunct/>
                    <w:topLinePunct w:val="0"/>
                    <w:autoSpaceDE/>
                    <w:autoSpaceDN/>
                    <w:bidi w:val="0"/>
                    <w:adjustRightInd w:val="0"/>
                    <w:snapToGrid w:val="0"/>
                    <w:textAlignment w:val="auto"/>
                  </w:pPr>
                  <w:r>
                    <w:rPr>
                      <w:rFonts w:hint="eastAsia"/>
                    </w:rPr>
                    <w:t>NE</w:t>
                  </w:r>
                </w:p>
              </w:tc>
              <w:tc>
                <w:tcPr>
                  <w:tcW w:w="488" w:type="pct"/>
                  <w:noWrap w:val="0"/>
                  <w:vAlign w:val="center"/>
                </w:tcPr>
                <w:p w14:paraId="23677ED4">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100</w:t>
                  </w:r>
                </w:p>
              </w:tc>
            </w:tr>
            <w:tr w14:paraId="5B80FB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11" w:type="pct"/>
                  <w:noWrap w:val="0"/>
                  <w:vAlign w:val="center"/>
                </w:tcPr>
                <w:p w14:paraId="74915401">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月华路小学</w:t>
                  </w:r>
                </w:p>
              </w:tc>
              <w:tc>
                <w:tcPr>
                  <w:tcW w:w="778" w:type="pct"/>
                  <w:noWrap w:val="0"/>
                  <w:vAlign w:val="center"/>
                </w:tcPr>
                <w:p w14:paraId="58F825E8">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118.894884</w:t>
                  </w:r>
                </w:p>
              </w:tc>
              <w:tc>
                <w:tcPr>
                  <w:tcW w:w="680" w:type="pct"/>
                  <w:noWrap w:val="0"/>
                  <w:vAlign w:val="center"/>
                </w:tcPr>
                <w:p w14:paraId="6834DE38">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31.928851</w:t>
                  </w:r>
                </w:p>
              </w:tc>
              <w:tc>
                <w:tcPr>
                  <w:tcW w:w="551" w:type="pct"/>
                  <w:noWrap w:val="0"/>
                  <w:vAlign w:val="center"/>
                </w:tcPr>
                <w:p w14:paraId="7404A096">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学校</w:t>
                  </w:r>
                </w:p>
              </w:tc>
              <w:tc>
                <w:tcPr>
                  <w:tcW w:w="575" w:type="pct"/>
                  <w:noWrap w:val="0"/>
                  <w:vAlign w:val="center"/>
                </w:tcPr>
                <w:p w14:paraId="74585F7D">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1000人</w:t>
                  </w:r>
                </w:p>
              </w:tc>
              <w:tc>
                <w:tcPr>
                  <w:tcW w:w="453" w:type="pct"/>
                  <w:vMerge w:val="continue"/>
                  <w:noWrap w:val="0"/>
                  <w:vAlign w:val="center"/>
                </w:tcPr>
                <w:p w14:paraId="45AB3500">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p>
              </w:tc>
              <w:tc>
                <w:tcPr>
                  <w:tcW w:w="460" w:type="pct"/>
                  <w:noWrap w:val="0"/>
                  <w:vAlign w:val="center"/>
                </w:tcPr>
                <w:p w14:paraId="2E85145A">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r>
                    <w:rPr>
                      <w:rFonts w:hint="eastAsia"/>
                    </w:rPr>
                    <w:t>NE</w:t>
                  </w:r>
                </w:p>
              </w:tc>
              <w:tc>
                <w:tcPr>
                  <w:tcW w:w="488" w:type="pct"/>
                  <w:noWrap w:val="0"/>
                  <w:vAlign w:val="center"/>
                </w:tcPr>
                <w:p w14:paraId="69055D77">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252</w:t>
                  </w:r>
                </w:p>
              </w:tc>
            </w:tr>
            <w:tr w14:paraId="7ED149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11" w:type="pct"/>
                  <w:noWrap w:val="0"/>
                  <w:vAlign w:val="center"/>
                </w:tcPr>
                <w:p w14:paraId="5CE141D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商苑新村</w:t>
                  </w:r>
                </w:p>
              </w:tc>
              <w:tc>
                <w:tcPr>
                  <w:tcW w:w="778" w:type="pct"/>
                  <w:noWrap w:val="0"/>
                  <w:vAlign w:val="center"/>
                </w:tcPr>
                <w:p w14:paraId="154E6366">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118.893897</w:t>
                  </w:r>
                </w:p>
              </w:tc>
              <w:tc>
                <w:tcPr>
                  <w:tcW w:w="680" w:type="pct"/>
                  <w:noWrap w:val="0"/>
                  <w:vAlign w:val="center"/>
                </w:tcPr>
                <w:p w14:paraId="6304F36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31.927242</w:t>
                  </w:r>
                </w:p>
              </w:tc>
              <w:tc>
                <w:tcPr>
                  <w:tcW w:w="551" w:type="pct"/>
                  <w:noWrap w:val="0"/>
                  <w:vAlign w:val="center"/>
                </w:tcPr>
                <w:p w14:paraId="5AEF478A">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居民区</w:t>
                  </w:r>
                </w:p>
              </w:tc>
              <w:tc>
                <w:tcPr>
                  <w:tcW w:w="575" w:type="pct"/>
                  <w:noWrap w:val="0"/>
                  <w:vAlign w:val="center"/>
                </w:tcPr>
                <w:p w14:paraId="51A95DDC">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1500人</w:t>
                  </w:r>
                </w:p>
              </w:tc>
              <w:tc>
                <w:tcPr>
                  <w:tcW w:w="453" w:type="pct"/>
                  <w:vMerge w:val="continue"/>
                  <w:noWrap w:val="0"/>
                  <w:vAlign w:val="center"/>
                </w:tcPr>
                <w:p w14:paraId="07846C1C">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p>
              </w:tc>
              <w:tc>
                <w:tcPr>
                  <w:tcW w:w="460" w:type="pct"/>
                  <w:noWrap w:val="0"/>
                  <w:vAlign w:val="center"/>
                </w:tcPr>
                <w:p w14:paraId="0CB7A7C7">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r>
                    <w:rPr>
                      <w:rFonts w:hint="eastAsia"/>
                    </w:rPr>
                    <w:t>NE</w:t>
                  </w:r>
                </w:p>
              </w:tc>
              <w:tc>
                <w:tcPr>
                  <w:tcW w:w="488" w:type="pct"/>
                  <w:noWrap w:val="0"/>
                  <w:vAlign w:val="center"/>
                </w:tcPr>
                <w:p w14:paraId="55531324">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90</w:t>
                  </w:r>
                </w:p>
              </w:tc>
            </w:tr>
            <w:tr w14:paraId="464092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11" w:type="pct"/>
                  <w:noWrap w:val="0"/>
                  <w:vAlign w:val="center"/>
                </w:tcPr>
                <w:p w14:paraId="20FF638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博学苑玉兰园</w:t>
                  </w:r>
                </w:p>
              </w:tc>
              <w:tc>
                <w:tcPr>
                  <w:tcW w:w="778" w:type="pct"/>
                  <w:noWrap w:val="0"/>
                  <w:vAlign w:val="center"/>
                </w:tcPr>
                <w:p w14:paraId="614DEC95">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118.895699</w:t>
                  </w:r>
                </w:p>
              </w:tc>
              <w:tc>
                <w:tcPr>
                  <w:tcW w:w="680" w:type="pct"/>
                  <w:noWrap w:val="0"/>
                  <w:vAlign w:val="center"/>
                </w:tcPr>
                <w:p w14:paraId="6321C21D">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31.927510</w:t>
                  </w:r>
                </w:p>
              </w:tc>
              <w:tc>
                <w:tcPr>
                  <w:tcW w:w="551" w:type="pct"/>
                  <w:noWrap w:val="0"/>
                  <w:vAlign w:val="center"/>
                </w:tcPr>
                <w:p w14:paraId="40F1DC87">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居民区</w:t>
                  </w:r>
                </w:p>
              </w:tc>
              <w:tc>
                <w:tcPr>
                  <w:tcW w:w="575" w:type="pct"/>
                  <w:noWrap w:val="0"/>
                  <w:vAlign w:val="center"/>
                </w:tcPr>
                <w:p w14:paraId="4C4B7E3C">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1000人</w:t>
                  </w:r>
                </w:p>
              </w:tc>
              <w:tc>
                <w:tcPr>
                  <w:tcW w:w="453" w:type="pct"/>
                  <w:vMerge w:val="continue"/>
                  <w:noWrap w:val="0"/>
                  <w:vAlign w:val="center"/>
                </w:tcPr>
                <w:p w14:paraId="1C95DAEB">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p>
              </w:tc>
              <w:tc>
                <w:tcPr>
                  <w:tcW w:w="460" w:type="pct"/>
                  <w:noWrap w:val="0"/>
                  <w:vAlign w:val="center"/>
                </w:tcPr>
                <w:p w14:paraId="2721386E">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r>
                    <w:rPr>
                      <w:rFonts w:hint="eastAsia"/>
                    </w:rPr>
                    <w:t>NE</w:t>
                  </w:r>
                </w:p>
              </w:tc>
              <w:tc>
                <w:tcPr>
                  <w:tcW w:w="488" w:type="pct"/>
                  <w:noWrap w:val="0"/>
                  <w:vAlign w:val="center"/>
                </w:tcPr>
                <w:p w14:paraId="17B8D219">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265</w:t>
                  </w:r>
                </w:p>
              </w:tc>
            </w:tr>
            <w:tr w14:paraId="4DE847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11" w:type="pct"/>
                  <w:noWrap w:val="0"/>
                  <w:vAlign w:val="center"/>
                </w:tcPr>
                <w:p w14:paraId="37E01CD2">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博学苑银杏园</w:t>
                  </w:r>
                </w:p>
              </w:tc>
              <w:tc>
                <w:tcPr>
                  <w:tcW w:w="778" w:type="pct"/>
                  <w:noWrap w:val="0"/>
                  <w:vAlign w:val="center"/>
                </w:tcPr>
                <w:p w14:paraId="3F46AA2D">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118.895334</w:t>
                  </w:r>
                </w:p>
              </w:tc>
              <w:tc>
                <w:tcPr>
                  <w:tcW w:w="680" w:type="pct"/>
                  <w:noWrap w:val="0"/>
                  <w:vAlign w:val="center"/>
                </w:tcPr>
                <w:p w14:paraId="35CDBBA1">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31.925257</w:t>
                  </w:r>
                </w:p>
              </w:tc>
              <w:tc>
                <w:tcPr>
                  <w:tcW w:w="551" w:type="pct"/>
                  <w:noWrap w:val="0"/>
                  <w:vAlign w:val="center"/>
                </w:tcPr>
                <w:p w14:paraId="3C5FC154">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居民区</w:t>
                  </w:r>
                </w:p>
              </w:tc>
              <w:tc>
                <w:tcPr>
                  <w:tcW w:w="575" w:type="pct"/>
                  <w:noWrap w:val="0"/>
                  <w:vAlign w:val="center"/>
                </w:tcPr>
                <w:p w14:paraId="54B7D05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1500人</w:t>
                  </w:r>
                </w:p>
              </w:tc>
              <w:tc>
                <w:tcPr>
                  <w:tcW w:w="453" w:type="pct"/>
                  <w:vMerge w:val="continue"/>
                  <w:noWrap w:val="0"/>
                  <w:vAlign w:val="center"/>
                </w:tcPr>
                <w:p w14:paraId="47386F24">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p>
              </w:tc>
              <w:tc>
                <w:tcPr>
                  <w:tcW w:w="460" w:type="pct"/>
                  <w:noWrap w:val="0"/>
                  <w:vAlign w:val="center"/>
                </w:tcPr>
                <w:p w14:paraId="7CDBF6F5">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SE</w:t>
                  </w:r>
                </w:p>
              </w:tc>
              <w:tc>
                <w:tcPr>
                  <w:tcW w:w="488" w:type="pct"/>
                  <w:noWrap w:val="0"/>
                  <w:vAlign w:val="center"/>
                </w:tcPr>
                <w:p w14:paraId="28BFD4A4">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175</w:t>
                  </w:r>
                </w:p>
              </w:tc>
            </w:tr>
            <w:tr w14:paraId="4B95C3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11" w:type="pct"/>
                  <w:noWrap w:val="0"/>
                  <w:vAlign w:val="center"/>
                </w:tcPr>
                <w:p w14:paraId="315620E5">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博学苑丹桂园</w:t>
                  </w:r>
                </w:p>
              </w:tc>
              <w:tc>
                <w:tcPr>
                  <w:tcW w:w="778" w:type="pct"/>
                  <w:noWrap w:val="0"/>
                  <w:vAlign w:val="center"/>
                </w:tcPr>
                <w:p w14:paraId="6B000545">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118.898993</w:t>
                  </w:r>
                </w:p>
              </w:tc>
              <w:tc>
                <w:tcPr>
                  <w:tcW w:w="680" w:type="pct"/>
                  <w:noWrap w:val="0"/>
                  <w:vAlign w:val="center"/>
                </w:tcPr>
                <w:p w14:paraId="4B921BBE">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31.927113</w:t>
                  </w:r>
                </w:p>
              </w:tc>
              <w:tc>
                <w:tcPr>
                  <w:tcW w:w="551" w:type="pct"/>
                  <w:noWrap w:val="0"/>
                  <w:vAlign w:val="center"/>
                </w:tcPr>
                <w:p w14:paraId="77AE1367">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居民区</w:t>
                  </w:r>
                </w:p>
              </w:tc>
              <w:tc>
                <w:tcPr>
                  <w:tcW w:w="575" w:type="pct"/>
                  <w:noWrap w:val="0"/>
                  <w:vAlign w:val="center"/>
                </w:tcPr>
                <w:p w14:paraId="159B9B77">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4000人</w:t>
                  </w:r>
                </w:p>
              </w:tc>
              <w:tc>
                <w:tcPr>
                  <w:tcW w:w="453" w:type="pct"/>
                  <w:vMerge w:val="continue"/>
                  <w:noWrap w:val="0"/>
                  <w:vAlign w:val="center"/>
                </w:tcPr>
                <w:p w14:paraId="49D2641A">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p>
              </w:tc>
              <w:tc>
                <w:tcPr>
                  <w:tcW w:w="460" w:type="pct"/>
                  <w:noWrap w:val="0"/>
                  <w:vAlign w:val="center"/>
                </w:tcPr>
                <w:p w14:paraId="571F69FB">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SE</w:t>
                  </w:r>
                </w:p>
              </w:tc>
              <w:tc>
                <w:tcPr>
                  <w:tcW w:w="488" w:type="pct"/>
                  <w:noWrap w:val="0"/>
                  <w:vAlign w:val="center"/>
                </w:tcPr>
                <w:p w14:paraId="1ED431E0">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470</w:t>
                  </w:r>
                </w:p>
              </w:tc>
            </w:tr>
            <w:tr w14:paraId="473093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11" w:type="pct"/>
                  <w:noWrap w:val="0"/>
                  <w:vAlign w:val="center"/>
                </w:tcPr>
                <w:p w14:paraId="1DE06298">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方山熙园</w:t>
                  </w:r>
                </w:p>
              </w:tc>
              <w:tc>
                <w:tcPr>
                  <w:tcW w:w="778" w:type="pct"/>
                  <w:noWrap w:val="0"/>
                  <w:vAlign w:val="center"/>
                </w:tcPr>
                <w:p w14:paraId="197AF595">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118.897716</w:t>
                  </w:r>
                </w:p>
              </w:tc>
              <w:tc>
                <w:tcPr>
                  <w:tcW w:w="680" w:type="pct"/>
                  <w:noWrap w:val="0"/>
                  <w:vAlign w:val="center"/>
                </w:tcPr>
                <w:p w14:paraId="13A3822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31.929516</w:t>
                  </w:r>
                </w:p>
              </w:tc>
              <w:tc>
                <w:tcPr>
                  <w:tcW w:w="551" w:type="pct"/>
                  <w:noWrap w:val="0"/>
                  <w:vAlign w:val="center"/>
                </w:tcPr>
                <w:p w14:paraId="622A8520">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居民区</w:t>
                  </w:r>
                </w:p>
              </w:tc>
              <w:tc>
                <w:tcPr>
                  <w:tcW w:w="575" w:type="pct"/>
                  <w:noWrap w:val="0"/>
                  <w:vAlign w:val="center"/>
                </w:tcPr>
                <w:p w14:paraId="15059E31">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2000人</w:t>
                  </w:r>
                </w:p>
              </w:tc>
              <w:tc>
                <w:tcPr>
                  <w:tcW w:w="453" w:type="pct"/>
                  <w:vMerge w:val="continue"/>
                  <w:noWrap w:val="0"/>
                  <w:vAlign w:val="center"/>
                </w:tcPr>
                <w:p w14:paraId="59C0DCE1">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p>
              </w:tc>
              <w:tc>
                <w:tcPr>
                  <w:tcW w:w="460" w:type="pct"/>
                  <w:noWrap w:val="0"/>
                  <w:vAlign w:val="center"/>
                </w:tcPr>
                <w:p w14:paraId="6F30BDFD">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r>
                    <w:rPr>
                      <w:rFonts w:hint="eastAsia"/>
                    </w:rPr>
                    <w:t>NE</w:t>
                  </w:r>
                </w:p>
              </w:tc>
              <w:tc>
                <w:tcPr>
                  <w:tcW w:w="488" w:type="pct"/>
                  <w:noWrap w:val="0"/>
                  <w:vAlign w:val="center"/>
                </w:tcPr>
                <w:p w14:paraId="0CBC8D52">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490</w:t>
                  </w:r>
                </w:p>
              </w:tc>
            </w:tr>
            <w:tr w14:paraId="335E09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11" w:type="pct"/>
                  <w:noWrap w:val="0"/>
                  <w:vAlign w:val="center"/>
                </w:tcPr>
                <w:p w14:paraId="7920E801">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南京晓庄学校实验小学</w:t>
                  </w:r>
                </w:p>
              </w:tc>
              <w:tc>
                <w:tcPr>
                  <w:tcW w:w="778" w:type="pct"/>
                  <w:noWrap w:val="0"/>
                  <w:vAlign w:val="center"/>
                </w:tcPr>
                <w:p w14:paraId="35DBA5D7">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118.892330</w:t>
                  </w:r>
                </w:p>
              </w:tc>
              <w:tc>
                <w:tcPr>
                  <w:tcW w:w="680" w:type="pct"/>
                  <w:noWrap w:val="0"/>
                  <w:vAlign w:val="center"/>
                </w:tcPr>
                <w:p w14:paraId="24BAE0DD">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31.924495</w:t>
                  </w:r>
                </w:p>
              </w:tc>
              <w:tc>
                <w:tcPr>
                  <w:tcW w:w="551" w:type="pct"/>
                  <w:noWrap w:val="0"/>
                  <w:vAlign w:val="center"/>
                </w:tcPr>
                <w:p w14:paraId="560259E8">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学校</w:t>
                  </w:r>
                </w:p>
              </w:tc>
              <w:tc>
                <w:tcPr>
                  <w:tcW w:w="575" w:type="pct"/>
                  <w:noWrap w:val="0"/>
                  <w:vAlign w:val="center"/>
                </w:tcPr>
                <w:p w14:paraId="4B8BD614">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r>
                    <w:rPr>
                      <w:rFonts w:hint="eastAsia"/>
                      <w:lang w:val="en-US" w:eastAsia="zh-CN"/>
                    </w:rPr>
                    <w:t>1000人</w:t>
                  </w:r>
                </w:p>
              </w:tc>
              <w:tc>
                <w:tcPr>
                  <w:tcW w:w="453" w:type="pct"/>
                  <w:vMerge w:val="continue"/>
                  <w:noWrap w:val="0"/>
                  <w:vAlign w:val="center"/>
                </w:tcPr>
                <w:p w14:paraId="51BC9F8C">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p>
              </w:tc>
              <w:tc>
                <w:tcPr>
                  <w:tcW w:w="460" w:type="pct"/>
                  <w:noWrap w:val="0"/>
                  <w:vAlign w:val="center"/>
                </w:tcPr>
                <w:p w14:paraId="2D6F394A">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r>
                    <w:rPr>
                      <w:rFonts w:hint="eastAsia"/>
                      <w:lang w:val="en-US" w:eastAsia="zh-CN"/>
                    </w:rPr>
                    <w:t>SE</w:t>
                  </w:r>
                </w:p>
              </w:tc>
              <w:tc>
                <w:tcPr>
                  <w:tcW w:w="488" w:type="pct"/>
                  <w:noWrap w:val="0"/>
                  <w:vAlign w:val="center"/>
                </w:tcPr>
                <w:p w14:paraId="061F9DD6">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159</w:t>
                  </w:r>
                </w:p>
              </w:tc>
            </w:tr>
            <w:tr w14:paraId="520E37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11" w:type="pct"/>
                  <w:noWrap w:val="0"/>
                  <w:vAlign w:val="center"/>
                </w:tcPr>
                <w:p w14:paraId="7C36C2D0">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东方龙湖湾</w:t>
                  </w:r>
                </w:p>
              </w:tc>
              <w:tc>
                <w:tcPr>
                  <w:tcW w:w="778" w:type="pct"/>
                  <w:noWrap w:val="0"/>
                  <w:vAlign w:val="center"/>
                </w:tcPr>
                <w:p w14:paraId="2189D645">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118.888994</w:t>
                  </w:r>
                </w:p>
              </w:tc>
              <w:tc>
                <w:tcPr>
                  <w:tcW w:w="680" w:type="pct"/>
                  <w:noWrap w:val="0"/>
                  <w:vAlign w:val="center"/>
                </w:tcPr>
                <w:p w14:paraId="201A6A2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31.923315</w:t>
                  </w:r>
                </w:p>
              </w:tc>
              <w:tc>
                <w:tcPr>
                  <w:tcW w:w="551" w:type="pct"/>
                  <w:noWrap w:val="0"/>
                  <w:vAlign w:val="center"/>
                </w:tcPr>
                <w:p w14:paraId="20985D5B">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居民区</w:t>
                  </w:r>
                </w:p>
              </w:tc>
              <w:tc>
                <w:tcPr>
                  <w:tcW w:w="575" w:type="pct"/>
                  <w:noWrap w:val="0"/>
                  <w:vAlign w:val="center"/>
                </w:tcPr>
                <w:p w14:paraId="4500CD31">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8000人</w:t>
                  </w:r>
                </w:p>
              </w:tc>
              <w:tc>
                <w:tcPr>
                  <w:tcW w:w="453" w:type="pct"/>
                  <w:vMerge w:val="continue"/>
                  <w:noWrap w:val="0"/>
                  <w:vAlign w:val="center"/>
                </w:tcPr>
                <w:p w14:paraId="73103207">
                  <w:pPr>
                    <w:pStyle w:val="41"/>
                    <w:keepNext w:val="0"/>
                    <w:keepLines w:val="0"/>
                    <w:pageBreakBefore w:val="0"/>
                    <w:widowControl w:val="0"/>
                    <w:kinsoku/>
                    <w:wordWrap/>
                    <w:overflowPunct/>
                    <w:topLinePunct w:val="0"/>
                    <w:autoSpaceDE/>
                    <w:autoSpaceDN/>
                    <w:bidi w:val="0"/>
                    <w:adjustRightInd w:val="0"/>
                    <w:snapToGrid w:val="0"/>
                    <w:textAlignment w:val="auto"/>
                    <w:rPr>
                      <w:rFonts w:hint="eastAsia"/>
                    </w:rPr>
                  </w:pPr>
                </w:p>
              </w:tc>
              <w:tc>
                <w:tcPr>
                  <w:tcW w:w="460" w:type="pct"/>
                  <w:noWrap w:val="0"/>
                  <w:vAlign w:val="center"/>
                </w:tcPr>
                <w:p w14:paraId="082AC78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SE</w:t>
                  </w:r>
                </w:p>
              </w:tc>
              <w:tc>
                <w:tcPr>
                  <w:tcW w:w="488" w:type="pct"/>
                  <w:noWrap w:val="0"/>
                  <w:vAlign w:val="center"/>
                </w:tcPr>
                <w:p w14:paraId="6487035C">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173</w:t>
                  </w:r>
                </w:p>
              </w:tc>
            </w:tr>
            <w:bookmarkEnd w:id="41"/>
          </w:tbl>
          <w:p w14:paraId="6B298A10">
            <w:pPr>
              <w:pStyle w:val="41"/>
              <w:bidi w:val="0"/>
              <w:jc w:val="left"/>
              <w:rPr>
                <w:rFonts w:hint="eastAsia"/>
                <w:b/>
                <w:bCs/>
                <w:lang w:val="en-US" w:eastAsia="zh-CN"/>
              </w:rPr>
            </w:pPr>
          </w:p>
          <w:p w14:paraId="0A4E0BE6">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rPr>
            </w:pPr>
            <w:r>
              <w:rPr>
                <w:rFonts w:hint="eastAsia"/>
                <w:b/>
                <w:bCs/>
                <w:color w:val="auto"/>
                <w:highlight w:val="none"/>
              </w:rPr>
              <w:t>2、</w:t>
            </w:r>
            <w:r>
              <w:rPr>
                <w:b/>
                <w:bCs/>
                <w:color w:val="auto"/>
                <w:highlight w:val="none"/>
              </w:rPr>
              <w:t>声环境保护目标</w:t>
            </w:r>
          </w:p>
          <w:p w14:paraId="03D18DB0">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color w:val="auto"/>
                <w:highlight w:val="none"/>
              </w:rPr>
              <w:t>根据现场勘查，本项目</w:t>
            </w:r>
            <w:r>
              <w:rPr>
                <w:rFonts w:hint="eastAsia"/>
                <w:color w:val="auto"/>
                <w:highlight w:val="none"/>
              </w:rPr>
              <w:t>厂界外</w:t>
            </w:r>
            <w:r>
              <w:rPr>
                <w:color w:val="auto"/>
                <w:highlight w:val="none"/>
              </w:rPr>
              <w:t>50米范围内</w:t>
            </w:r>
            <w:r>
              <w:rPr>
                <w:rFonts w:hint="eastAsia"/>
                <w:color w:val="auto"/>
                <w:highlight w:val="none"/>
                <w:lang w:val="en-US" w:eastAsia="zh-CN"/>
              </w:rPr>
              <w:t>无</w:t>
            </w:r>
            <w:r>
              <w:rPr>
                <w:color w:val="auto"/>
                <w:highlight w:val="none"/>
              </w:rPr>
              <w:t>声环境保护目标。</w:t>
            </w:r>
          </w:p>
          <w:p w14:paraId="75B9BC7D">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rPr>
            </w:pPr>
            <w:r>
              <w:rPr>
                <w:rFonts w:hint="eastAsia"/>
                <w:b/>
                <w:bCs/>
                <w:color w:val="auto"/>
                <w:highlight w:val="none"/>
              </w:rPr>
              <w:t>3、</w:t>
            </w:r>
            <w:r>
              <w:rPr>
                <w:b/>
                <w:bCs/>
                <w:color w:val="auto"/>
                <w:highlight w:val="none"/>
              </w:rPr>
              <w:t>地下水</w:t>
            </w:r>
            <w:r>
              <w:rPr>
                <w:rFonts w:hint="eastAsia"/>
                <w:b/>
                <w:bCs/>
                <w:color w:val="auto"/>
                <w:highlight w:val="none"/>
              </w:rPr>
              <w:t>环境保护目标</w:t>
            </w:r>
          </w:p>
          <w:p w14:paraId="6C053CEA">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color w:val="auto"/>
                <w:highlight w:val="none"/>
              </w:rPr>
              <w:t>本项目厂界外500米范围内不存在地下水集中式饮用水源和热水、矿泉水、温泉等特殊地下水资源。</w:t>
            </w:r>
          </w:p>
          <w:p w14:paraId="33DAEDAF">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rPr>
            </w:pPr>
            <w:r>
              <w:rPr>
                <w:rFonts w:hint="eastAsia"/>
                <w:b/>
                <w:bCs/>
                <w:color w:val="auto"/>
                <w:highlight w:val="none"/>
              </w:rPr>
              <w:t>4、</w:t>
            </w:r>
            <w:r>
              <w:rPr>
                <w:b/>
                <w:bCs/>
                <w:color w:val="auto"/>
                <w:highlight w:val="none"/>
              </w:rPr>
              <w:t>生态环境</w:t>
            </w:r>
          </w:p>
          <w:p w14:paraId="576149E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olor w:val="auto"/>
                <w:highlight w:val="none"/>
                <w:lang w:eastAsia="zh-CN"/>
              </w:rPr>
            </w:pPr>
            <w:r>
              <w:rPr>
                <w:color w:val="auto"/>
                <w:highlight w:val="none"/>
              </w:rPr>
              <w:t>本项目</w:t>
            </w:r>
            <w:r>
              <w:rPr>
                <w:rFonts w:hint="eastAsia"/>
                <w:color w:val="auto"/>
                <w:highlight w:val="none"/>
              </w:rPr>
              <w:t>位于南京市江宁区</w:t>
            </w:r>
            <w:r>
              <w:rPr>
                <w:rFonts w:hint="eastAsia"/>
                <w:color w:val="auto"/>
                <w:highlight w:val="none"/>
                <w:lang w:eastAsia="zh-CN"/>
              </w:rPr>
              <w:t>高新园龙眠大道578号</w:t>
            </w:r>
            <w:r>
              <w:rPr>
                <w:color w:val="auto"/>
                <w:highlight w:val="none"/>
              </w:rPr>
              <w:t>，项目用地范围内无生态环境保护目标。</w:t>
            </w:r>
          </w:p>
        </w:tc>
      </w:tr>
      <w:tr w14:paraId="3D0E32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dxa"/>
            <w:tcMar>
              <w:left w:w="28" w:type="dxa"/>
              <w:right w:w="28" w:type="dxa"/>
            </w:tcMar>
            <w:vAlign w:val="center"/>
          </w:tcPr>
          <w:p w14:paraId="61D960E0">
            <w:pPr>
              <w:adjustRightInd w:val="0"/>
              <w:snapToGrid w:val="0"/>
              <w:spacing w:line="240" w:lineRule="auto"/>
              <w:jc w:val="center"/>
              <w:rPr>
                <w:color w:val="auto"/>
                <w:kern w:val="0"/>
                <w:szCs w:val="21"/>
                <w:highlight w:val="none"/>
              </w:rPr>
            </w:pPr>
            <w:r>
              <w:rPr>
                <w:b/>
                <w:bCs/>
                <w:color w:val="auto"/>
                <w:kern w:val="0"/>
                <w:sz w:val="24"/>
                <w:highlight w:val="none"/>
              </w:rPr>
              <w:t>污染物排放控制标准</w:t>
            </w:r>
          </w:p>
        </w:tc>
        <w:tc>
          <w:tcPr>
            <w:tcW w:w="8554" w:type="dxa"/>
            <w:vAlign w:val="center"/>
          </w:tcPr>
          <w:p w14:paraId="7B6E55A1">
            <w:pPr>
              <w:bidi w:val="0"/>
              <w:ind w:firstLine="482" w:firstLineChars="200"/>
              <w:rPr>
                <w:b/>
                <w:bCs/>
              </w:rPr>
            </w:pPr>
            <w:r>
              <w:rPr>
                <w:b/>
                <w:bCs/>
              </w:rPr>
              <w:t>1、废水排放标准</w:t>
            </w:r>
          </w:p>
          <w:p w14:paraId="319116F1">
            <w:pPr>
              <w:bidi w:val="0"/>
              <w:ind w:firstLine="480" w:firstLineChars="200"/>
              <w:rPr>
                <w:lang w:val="zh-CN"/>
              </w:rPr>
            </w:pPr>
            <w:r>
              <w:rPr>
                <w:lang w:val="zh-CN"/>
              </w:rPr>
              <w:t>本项目运营期</w:t>
            </w:r>
            <w:r>
              <w:rPr>
                <w:rFonts w:hint="eastAsia"/>
                <w:lang w:val="zh-CN"/>
              </w:rPr>
              <w:t>废水</w:t>
            </w:r>
            <w:r>
              <w:rPr>
                <w:rFonts w:hint="eastAsia"/>
                <w:lang w:val="en-US" w:eastAsia="zh-CN"/>
              </w:rPr>
              <w:t>预处理后</w:t>
            </w:r>
            <w:r>
              <w:rPr>
                <w:lang w:val="zh-CN"/>
              </w:rPr>
              <w:t>接管至</w:t>
            </w:r>
            <w:r>
              <w:rPr>
                <w:rFonts w:hint="eastAsia"/>
                <w:lang w:val="zh-CN"/>
              </w:rPr>
              <w:t>高新区污水处理厂</w:t>
            </w:r>
            <w:r>
              <w:rPr>
                <w:rFonts w:hint="eastAsia"/>
                <w:lang w:val="en-US" w:eastAsia="zh-CN"/>
              </w:rPr>
              <w:t>处理</w:t>
            </w:r>
            <w:r>
              <w:rPr>
                <w:lang w:val="zh-CN"/>
              </w:rPr>
              <w:t>，</w:t>
            </w:r>
            <w:r>
              <w:rPr>
                <w:rFonts w:hint="eastAsia"/>
                <w:lang w:val="en-US" w:eastAsia="zh-CN"/>
              </w:rPr>
              <w:t>企业废水排放满足高新区污水处理厂接管标准</w:t>
            </w:r>
            <w:r>
              <w:rPr>
                <w:lang w:val="zh-CN"/>
              </w:rPr>
              <w:t>，尾水</w:t>
            </w:r>
            <w:r>
              <w:rPr>
                <w:rFonts w:hint="eastAsia"/>
                <w:lang w:val="zh-CN"/>
              </w:rPr>
              <w:t>pH、COD、SS、NH</w:t>
            </w:r>
            <w:r>
              <w:rPr>
                <w:rFonts w:hint="eastAsia"/>
                <w:vertAlign w:val="subscript"/>
                <w:lang w:val="zh-CN"/>
              </w:rPr>
              <w:t>3</w:t>
            </w:r>
            <w:r>
              <w:rPr>
                <w:rFonts w:hint="eastAsia"/>
                <w:lang w:val="zh-CN"/>
              </w:rPr>
              <w:t>-N、TP</w:t>
            </w:r>
            <w:r>
              <w:rPr>
                <w:rFonts w:hint="eastAsia"/>
                <w:lang w:val="en-US" w:eastAsia="zh-CN"/>
              </w:rPr>
              <w:t>处理达到</w:t>
            </w:r>
            <w:r>
              <w:rPr>
                <w:rFonts w:hint="eastAsia"/>
                <w:lang w:val="zh-CN"/>
              </w:rPr>
              <w:t>准地表</w:t>
            </w:r>
            <w:r>
              <w:rPr>
                <w:rFonts w:hint="eastAsia"/>
                <w:lang w:val="en-US" w:eastAsia="zh-CN"/>
              </w:rPr>
              <w:t>IV类标准，TN处理达到《城镇污水处理厂污染物排放标准》（GB 18918－2002）表1一级A标准，处理达标后</w:t>
            </w:r>
            <w:r>
              <w:rPr>
                <w:rFonts w:hint="eastAsia"/>
                <w:lang w:val="zh-CN"/>
              </w:rPr>
              <w:t>尾水</w:t>
            </w:r>
            <w:r>
              <w:rPr>
                <w:lang w:val="zh-CN"/>
              </w:rPr>
              <w:t>排入</w:t>
            </w:r>
            <w:r>
              <w:rPr>
                <w:rFonts w:hint="eastAsia"/>
                <w:lang w:val="en-US" w:eastAsia="zh-CN"/>
              </w:rPr>
              <w:t>秦淮河</w:t>
            </w:r>
            <w:r>
              <w:rPr>
                <w:lang w:val="zh-CN"/>
              </w:rPr>
              <w:t>，具体</w:t>
            </w:r>
            <w:r>
              <w:rPr>
                <w:rFonts w:hint="eastAsia"/>
                <w:lang w:val="zh-CN"/>
              </w:rPr>
              <w:t>标准限值</w:t>
            </w:r>
            <w:r>
              <w:rPr>
                <w:lang w:val="zh-CN"/>
              </w:rPr>
              <w:t>见下表</w:t>
            </w:r>
            <w:r>
              <w:t>。</w:t>
            </w:r>
          </w:p>
          <w:p w14:paraId="785F8AE7">
            <w:pPr>
              <w:pStyle w:val="40"/>
              <w:bidi w:val="0"/>
              <w:rPr>
                <w:color w:val="auto"/>
                <w:highlight w:val="none"/>
              </w:rPr>
            </w:pPr>
            <w:r>
              <w:rPr>
                <w:rFonts w:hint="eastAsia"/>
                <w:color w:val="auto"/>
                <w:highlight w:val="none"/>
                <w:lang w:eastAsia="zh-CN"/>
              </w:rPr>
              <w:t>高新区污水处理厂</w:t>
            </w:r>
            <w:r>
              <w:rPr>
                <w:rFonts w:hint="eastAsia"/>
                <w:color w:val="auto"/>
                <w:highlight w:val="none"/>
              </w:rPr>
              <w:t>接管标准（</w:t>
            </w:r>
            <w:r>
              <w:rPr>
                <w:color w:val="auto"/>
                <w:highlight w:val="none"/>
              </w:rPr>
              <w:t>单位：mg/L  pH无量纲</w:t>
            </w:r>
            <w:r>
              <w:rPr>
                <w:rFonts w:hint="eastAsia"/>
                <w:color w:val="auto"/>
                <w:highlight w:val="none"/>
              </w:rPr>
              <w:t>）</w:t>
            </w:r>
          </w:p>
          <w:tbl>
            <w:tblPr>
              <w:tblStyle w:val="3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952"/>
              <w:gridCol w:w="1068"/>
              <w:gridCol w:w="851"/>
              <w:gridCol w:w="1421"/>
              <w:gridCol w:w="1119"/>
              <w:gridCol w:w="884"/>
            </w:tblGrid>
            <w:tr w14:paraId="7D4FB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0" w:hRule="atLeast"/>
              </w:trPr>
              <w:tc>
                <w:tcPr>
                  <w:tcW w:w="1222" w:type="pct"/>
                  <w:vAlign w:val="center"/>
                </w:tcPr>
                <w:p w14:paraId="3A69F407">
                  <w:pPr>
                    <w:pStyle w:val="41"/>
                    <w:bidi w:val="0"/>
                    <w:rPr>
                      <w:b/>
                      <w:bCs/>
                      <w:color w:val="auto"/>
                      <w:highlight w:val="none"/>
                    </w:rPr>
                  </w:pPr>
                  <w:r>
                    <w:rPr>
                      <w:rFonts w:hint="eastAsia"/>
                      <w:b/>
                      <w:bCs/>
                      <w:color w:val="auto"/>
                      <w:highlight w:val="none"/>
                    </w:rPr>
                    <w:t>水质指标</w:t>
                  </w:r>
                </w:p>
              </w:tc>
              <w:tc>
                <w:tcPr>
                  <w:tcW w:w="571" w:type="pct"/>
                  <w:vAlign w:val="center"/>
                </w:tcPr>
                <w:p w14:paraId="5B3668C9">
                  <w:pPr>
                    <w:pStyle w:val="41"/>
                    <w:bidi w:val="0"/>
                    <w:rPr>
                      <w:b/>
                      <w:bCs/>
                      <w:color w:val="auto"/>
                      <w:highlight w:val="none"/>
                    </w:rPr>
                  </w:pPr>
                  <w:r>
                    <w:rPr>
                      <w:b/>
                      <w:bCs/>
                      <w:color w:val="auto"/>
                      <w:highlight w:val="none"/>
                    </w:rPr>
                    <w:t>pH</w:t>
                  </w:r>
                </w:p>
              </w:tc>
              <w:tc>
                <w:tcPr>
                  <w:tcW w:w="640" w:type="pct"/>
                  <w:vAlign w:val="center"/>
                </w:tcPr>
                <w:p w14:paraId="40CA6E8F">
                  <w:pPr>
                    <w:pStyle w:val="41"/>
                    <w:bidi w:val="0"/>
                    <w:rPr>
                      <w:b/>
                      <w:bCs/>
                      <w:color w:val="auto"/>
                      <w:highlight w:val="none"/>
                    </w:rPr>
                  </w:pPr>
                  <w:r>
                    <w:rPr>
                      <w:b/>
                      <w:bCs/>
                      <w:color w:val="auto"/>
                      <w:highlight w:val="none"/>
                    </w:rPr>
                    <w:t>COD</w:t>
                  </w:r>
                </w:p>
              </w:tc>
              <w:tc>
                <w:tcPr>
                  <w:tcW w:w="510" w:type="pct"/>
                  <w:vAlign w:val="center"/>
                </w:tcPr>
                <w:p w14:paraId="0CAC1EA3">
                  <w:pPr>
                    <w:pStyle w:val="41"/>
                    <w:bidi w:val="0"/>
                    <w:rPr>
                      <w:b/>
                      <w:bCs/>
                      <w:color w:val="auto"/>
                      <w:highlight w:val="none"/>
                    </w:rPr>
                  </w:pPr>
                  <w:r>
                    <w:rPr>
                      <w:b/>
                      <w:bCs/>
                      <w:color w:val="auto"/>
                      <w:highlight w:val="none"/>
                    </w:rPr>
                    <w:t>SS</w:t>
                  </w:r>
                </w:p>
              </w:tc>
              <w:tc>
                <w:tcPr>
                  <w:tcW w:w="852" w:type="pct"/>
                  <w:vAlign w:val="center"/>
                </w:tcPr>
                <w:p w14:paraId="2FF5B27D">
                  <w:pPr>
                    <w:pStyle w:val="41"/>
                    <w:bidi w:val="0"/>
                    <w:rPr>
                      <w:b/>
                      <w:bCs/>
                      <w:color w:val="auto"/>
                      <w:highlight w:val="none"/>
                    </w:rPr>
                  </w:pPr>
                  <w:r>
                    <w:rPr>
                      <w:b/>
                      <w:bCs/>
                      <w:color w:val="auto"/>
                      <w:highlight w:val="none"/>
                    </w:rPr>
                    <w:t>NH</w:t>
                  </w:r>
                  <w:r>
                    <w:rPr>
                      <w:b/>
                      <w:bCs/>
                      <w:color w:val="auto"/>
                      <w:highlight w:val="none"/>
                      <w:vertAlign w:val="subscript"/>
                    </w:rPr>
                    <w:t>3</w:t>
                  </w:r>
                  <w:r>
                    <w:rPr>
                      <w:b/>
                      <w:bCs/>
                      <w:color w:val="auto"/>
                      <w:highlight w:val="none"/>
                    </w:rPr>
                    <w:t>-N</w:t>
                  </w:r>
                </w:p>
              </w:tc>
              <w:tc>
                <w:tcPr>
                  <w:tcW w:w="671" w:type="pct"/>
                  <w:vAlign w:val="center"/>
                </w:tcPr>
                <w:p w14:paraId="12BA23B2">
                  <w:pPr>
                    <w:pStyle w:val="41"/>
                    <w:bidi w:val="0"/>
                    <w:rPr>
                      <w:b/>
                      <w:bCs/>
                      <w:color w:val="auto"/>
                      <w:highlight w:val="none"/>
                    </w:rPr>
                  </w:pPr>
                  <w:r>
                    <w:rPr>
                      <w:rFonts w:hint="eastAsia"/>
                      <w:b/>
                      <w:bCs/>
                      <w:color w:val="auto"/>
                      <w:highlight w:val="none"/>
                    </w:rPr>
                    <w:t>TN</w:t>
                  </w:r>
                </w:p>
              </w:tc>
              <w:tc>
                <w:tcPr>
                  <w:tcW w:w="530" w:type="pct"/>
                  <w:vAlign w:val="center"/>
                </w:tcPr>
                <w:p w14:paraId="67E8B949">
                  <w:pPr>
                    <w:pStyle w:val="41"/>
                    <w:bidi w:val="0"/>
                    <w:rPr>
                      <w:b/>
                      <w:bCs/>
                      <w:color w:val="auto"/>
                      <w:highlight w:val="none"/>
                    </w:rPr>
                  </w:pPr>
                  <w:r>
                    <w:rPr>
                      <w:b/>
                      <w:bCs/>
                      <w:color w:val="auto"/>
                      <w:highlight w:val="none"/>
                    </w:rPr>
                    <w:t>TP</w:t>
                  </w:r>
                </w:p>
              </w:tc>
            </w:tr>
            <w:tr w14:paraId="28D117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22" w:type="pct"/>
                  <w:vAlign w:val="center"/>
                </w:tcPr>
                <w:p w14:paraId="6720C9A0">
                  <w:pPr>
                    <w:pStyle w:val="41"/>
                    <w:bidi w:val="0"/>
                    <w:rPr>
                      <w:color w:val="auto"/>
                      <w:highlight w:val="none"/>
                    </w:rPr>
                  </w:pPr>
                  <w:r>
                    <w:rPr>
                      <w:rFonts w:hint="eastAsia"/>
                      <w:color w:val="auto"/>
                      <w:highlight w:val="none"/>
                    </w:rPr>
                    <w:t>标准值</w:t>
                  </w:r>
                </w:p>
              </w:tc>
              <w:tc>
                <w:tcPr>
                  <w:tcW w:w="571" w:type="pct"/>
                  <w:vAlign w:val="center"/>
                </w:tcPr>
                <w:p w14:paraId="4961AC03">
                  <w:pPr>
                    <w:pStyle w:val="41"/>
                    <w:bidi w:val="0"/>
                    <w:rPr>
                      <w:color w:val="auto"/>
                      <w:highlight w:val="none"/>
                    </w:rPr>
                  </w:pPr>
                  <w:r>
                    <w:rPr>
                      <w:rFonts w:hint="eastAsia"/>
                      <w:color w:val="auto"/>
                      <w:highlight w:val="none"/>
                    </w:rPr>
                    <w:t>6-9</w:t>
                  </w:r>
                </w:p>
              </w:tc>
              <w:tc>
                <w:tcPr>
                  <w:tcW w:w="640" w:type="pct"/>
                  <w:vAlign w:val="center"/>
                </w:tcPr>
                <w:p w14:paraId="6C352A4B">
                  <w:pPr>
                    <w:pStyle w:val="41"/>
                    <w:bidi w:val="0"/>
                    <w:rPr>
                      <w:rFonts w:hint="default"/>
                      <w:color w:val="auto"/>
                      <w:highlight w:val="none"/>
                      <w:lang w:val="en-US" w:eastAsia="zh-CN"/>
                    </w:rPr>
                  </w:pPr>
                  <w:r>
                    <w:rPr>
                      <w:rFonts w:hint="eastAsia"/>
                      <w:color w:val="auto"/>
                      <w:highlight w:val="none"/>
                      <w:lang w:val="en-US" w:eastAsia="zh-CN"/>
                    </w:rPr>
                    <w:t>500</w:t>
                  </w:r>
                </w:p>
              </w:tc>
              <w:tc>
                <w:tcPr>
                  <w:tcW w:w="510" w:type="pct"/>
                  <w:vAlign w:val="center"/>
                </w:tcPr>
                <w:p w14:paraId="25F4366E">
                  <w:pPr>
                    <w:pStyle w:val="41"/>
                    <w:bidi w:val="0"/>
                    <w:rPr>
                      <w:rFonts w:hint="default"/>
                      <w:color w:val="auto"/>
                      <w:highlight w:val="none"/>
                      <w:lang w:val="en-US" w:eastAsia="zh-CN"/>
                    </w:rPr>
                  </w:pPr>
                  <w:r>
                    <w:rPr>
                      <w:rFonts w:hint="eastAsia"/>
                      <w:color w:val="auto"/>
                      <w:highlight w:val="none"/>
                      <w:lang w:val="en-US" w:eastAsia="zh-CN"/>
                    </w:rPr>
                    <w:t>400</w:t>
                  </w:r>
                </w:p>
              </w:tc>
              <w:tc>
                <w:tcPr>
                  <w:tcW w:w="852" w:type="pct"/>
                  <w:vAlign w:val="center"/>
                </w:tcPr>
                <w:p w14:paraId="3D216FFA">
                  <w:pPr>
                    <w:pStyle w:val="41"/>
                    <w:bidi w:val="0"/>
                    <w:rPr>
                      <w:rFonts w:hint="default"/>
                      <w:color w:val="auto"/>
                      <w:highlight w:val="none"/>
                      <w:lang w:val="en-US" w:eastAsia="zh-CN"/>
                    </w:rPr>
                  </w:pPr>
                  <w:r>
                    <w:rPr>
                      <w:rFonts w:hint="eastAsia"/>
                      <w:color w:val="auto"/>
                      <w:highlight w:val="none"/>
                      <w:lang w:val="en-US" w:eastAsia="zh-CN"/>
                    </w:rPr>
                    <w:t>20</w:t>
                  </w:r>
                </w:p>
              </w:tc>
              <w:tc>
                <w:tcPr>
                  <w:tcW w:w="671" w:type="pct"/>
                  <w:vAlign w:val="center"/>
                </w:tcPr>
                <w:p w14:paraId="42A491D3">
                  <w:pPr>
                    <w:pStyle w:val="41"/>
                    <w:bidi w:val="0"/>
                    <w:rPr>
                      <w:rFonts w:hint="default"/>
                      <w:color w:val="auto"/>
                      <w:highlight w:val="none"/>
                      <w:lang w:val="en-US" w:eastAsia="zh-CN"/>
                    </w:rPr>
                  </w:pPr>
                  <w:r>
                    <w:rPr>
                      <w:rFonts w:hint="eastAsia"/>
                      <w:color w:val="auto"/>
                      <w:highlight w:val="none"/>
                      <w:lang w:val="en-US" w:eastAsia="zh-CN"/>
                    </w:rPr>
                    <w:t>30</w:t>
                  </w:r>
                </w:p>
              </w:tc>
              <w:tc>
                <w:tcPr>
                  <w:tcW w:w="530" w:type="pct"/>
                  <w:vAlign w:val="center"/>
                </w:tcPr>
                <w:p w14:paraId="7F7F9354">
                  <w:pPr>
                    <w:pStyle w:val="41"/>
                    <w:bidi w:val="0"/>
                    <w:rPr>
                      <w:rFonts w:hint="eastAsia"/>
                      <w:color w:val="auto"/>
                      <w:highlight w:val="none"/>
                      <w:lang w:eastAsia="zh-CN"/>
                    </w:rPr>
                  </w:pPr>
                  <w:r>
                    <w:rPr>
                      <w:rFonts w:hint="eastAsia"/>
                      <w:color w:val="auto"/>
                      <w:highlight w:val="none"/>
                      <w:lang w:val="en-US" w:eastAsia="zh-CN"/>
                    </w:rPr>
                    <w:t>4</w:t>
                  </w:r>
                </w:p>
              </w:tc>
            </w:tr>
          </w:tbl>
          <w:p w14:paraId="3A0129C5">
            <w:pPr>
              <w:pStyle w:val="41"/>
              <w:bidi w:val="0"/>
            </w:pPr>
          </w:p>
          <w:p w14:paraId="5F86427B">
            <w:pPr>
              <w:pStyle w:val="40"/>
              <w:bidi w:val="0"/>
              <w:rPr>
                <w:rFonts w:hint="eastAsia"/>
                <w:color w:val="auto"/>
                <w:highlight w:val="none"/>
              </w:rPr>
            </w:pPr>
            <w:r>
              <w:rPr>
                <w:rFonts w:hint="eastAsia"/>
                <w:color w:val="auto"/>
                <w:highlight w:val="none"/>
                <w:lang w:eastAsia="zh-CN"/>
              </w:rPr>
              <w:t>高新区污水处理厂</w:t>
            </w:r>
            <w:r>
              <w:rPr>
                <w:rFonts w:hint="eastAsia"/>
                <w:color w:val="auto"/>
                <w:highlight w:val="none"/>
              </w:rPr>
              <w:t>出水水质标准（</w:t>
            </w:r>
            <w:r>
              <w:rPr>
                <w:color w:val="auto"/>
                <w:highlight w:val="none"/>
              </w:rPr>
              <w:t>单位：mg/L  pH无量纲</w:t>
            </w:r>
            <w:r>
              <w:rPr>
                <w:rFonts w:hint="eastAsia"/>
                <w:color w:val="auto"/>
                <w:highlight w:val="none"/>
              </w:rPr>
              <w:t>）</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2308"/>
              <w:gridCol w:w="4008"/>
            </w:tblGrid>
            <w:tr w14:paraId="5341D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11" w:type="pct"/>
                  <w:noWrap w:val="0"/>
                  <w:vAlign w:val="center"/>
                </w:tcPr>
                <w:p w14:paraId="53CBA5BF">
                  <w:pPr>
                    <w:spacing w:line="300" w:lineRule="exact"/>
                    <w:jc w:val="center"/>
                    <w:rPr>
                      <w:b/>
                      <w:color w:val="auto"/>
                      <w:sz w:val="21"/>
                      <w:szCs w:val="21"/>
                      <w:highlight w:val="none"/>
                    </w:rPr>
                  </w:pPr>
                  <w:r>
                    <w:rPr>
                      <w:rFonts w:hint="eastAsia"/>
                      <w:b/>
                      <w:color w:val="auto"/>
                      <w:sz w:val="21"/>
                      <w:szCs w:val="21"/>
                      <w:highlight w:val="none"/>
                    </w:rPr>
                    <w:t>水质指标</w:t>
                  </w:r>
                </w:p>
              </w:tc>
              <w:tc>
                <w:tcPr>
                  <w:tcW w:w="1384" w:type="pct"/>
                  <w:noWrap w:val="0"/>
                  <w:vAlign w:val="center"/>
                </w:tcPr>
                <w:p w14:paraId="083F2EE2">
                  <w:pPr>
                    <w:spacing w:line="300" w:lineRule="exact"/>
                    <w:jc w:val="center"/>
                    <w:rPr>
                      <w:b/>
                      <w:color w:val="auto"/>
                      <w:sz w:val="21"/>
                      <w:szCs w:val="21"/>
                      <w:highlight w:val="none"/>
                    </w:rPr>
                  </w:pPr>
                  <w:r>
                    <w:rPr>
                      <w:rFonts w:hint="eastAsia"/>
                      <w:b/>
                      <w:color w:val="auto"/>
                      <w:sz w:val="21"/>
                      <w:szCs w:val="21"/>
                      <w:highlight w:val="none"/>
                    </w:rPr>
                    <w:t>排放标准值</w:t>
                  </w:r>
                </w:p>
              </w:tc>
              <w:tc>
                <w:tcPr>
                  <w:tcW w:w="2404" w:type="pct"/>
                  <w:noWrap w:val="0"/>
                  <w:vAlign w:val="center"/>
                </w:tcPr>
                <w:p w14:paraId="070B9AE4">
                  <w:pPr>
                    <w:spacing w:line="300" w:lineRule="exact"/>
                    <w:jc w:val="center"/>
                    <w:rPr>
                      <w:b/>
                      <w:color w:val="auto"/>
                      <w:sz w:val="21"/>
                      <w:szCs w:val="21"/>
                      <w:highlight w:val="none"/>
                    </w:rPr>
                  </w:pPr>
                  <w:r>
                    <w:rPr>
                      <w:rFonts w:hint="eastAsia"/>
                      <w:b/>
                      <w:color w:val="auto"/>
                      <w:sz w:val="21"/>
                      <w:szCs w:val="21"/>
                      <w:highlight w:val="none"/>
                    </w:rPr>
                    <w:t>标准来源</w:t>
                  </w:r>
                </w:p>
              </w:tc>
            </w:tr>
            <w:tr w14:paraId="26FF7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11" w:type="pct"/>
                  <w:noWrap w:val="0"/>
                  <w:vAlign w:val="center"/>
                </w:tcPr>
                <w:p w14:paraId="6DA007A5">
                  <w:pPr>
                    <w:spacing w:line="300" w:lineRule="exact"/>
                    <w:jc w:val="center"/>
                    <w:rPr>
                      <w:color w:val="auto"/>
                      <w:sz w:val="21"/>
                      <w:szCs w:val="21"/>
                      <w:highlight w:val="none"/>
                    </w:rPr>
                  </w:pPr>
                  <w:r>
                    <w:rPr>
                      <w:color w:val="auto"/>
                      <w:sz w:val="21"/>
                      <w:szCs w:val="21"/>
                      <w:highlight w:val="none"/>
                    </w:rPr>
                    <w:t>pH</w:t>
                  </w:r>
                </w:p>
              </w:tc>
              <w:tc>
                <w:tcPr>
                  <w:tcW w:w="1384" w:type="pct"/>
                  <w:noWrap w:val="0"/>
                  <w:vAlign w:val="center"/>
                </w:tcPr>
                <w:p w14:paraId="6E813C0E">
                  <w:pPr>
                    <w:spacing w:line="300" w:lineRule="exact"/>
                    <w:jc w:val="center"/>
                    <w:rPr>
                      <w:color w:val="auto"/>
                      <w:sz w:val="21"/>
                      <w:szCs w:val="21"/>
                      <w:highlight w:val="none"/>
                    </w:rPr>
                  </w:pPr>
                  <w:r>
                    <w:rPr>
                      <w:rFonts w:hint="eastAsia"/>
                      <w:color w:val="auto"/>
                      <w:sz w:val="21"/>
                      <w:szCs w:val="21"/>
                      <w:highlight w:val="none"/>
                    </w:rPr>
                    <w:t>6-9</w:t>
                  </w:r>
                </w:p>
              </w:tc>
              <w:tc>
                <w:tcPr>
                  <w:tcW w:w="2404" w:type="pct"/>
                  <w:vMerge w:val="restart"/>
                  <w:noWrap w:val="0"/>
                  <w:vAlign w:val="center"/>
                </w:tcPr>
                <w:p w14:paraId="1960D68B">
                  <w:pPr>
                    <w:snapToGrid w:val="0"/>
                    <w:spacing w:line="300" w:lineRule="exact"/>
                    <w:jc w:val="center"/>
                    <w:rPr>
                      <w:color w:val="auto"/>
                      <w:sz w:val="21"/>
                      <w:szCs w:val="21"/>
                      <w:highlight w:val="none"/>
                    </w:rPr>
                  </w:pPr>
                  <w:r>
                    <w:rPr>
                      <w:rFonts w:hint="eastAsia"/>
                      <w:color w:val="auto"/>
                      <w:sz w:val="21"/>
                      <w:szCs w:val="21"/>
                      <w:highlight w:val="none"/>
                    </w:rPr>
                    <w:t>《关于印发&lt;关于十三五期间全区新改扩建污水处理厂出水提标到准地表IV类的实施意见&gt;的通知》（江宁政办发</w:t>
                  </w:r>
                  <w:r>
                    <w:rPr>
                      <w:rFonts w:hint="eastAsia"/>
                      <w:color w:val="auto"/>
                      <w:sz w:val="21"/>
                      <w:szCs w:val="21"/>
                      <w:highlight w:val="none"/>
                      <w:lang w:eastAsia="zh-CN"/>
                    </w:rPr>
                    <w:t>〔2017〕360号</w:t>
                  </w:r>
                  <w:r>
                    <w:rPr>
                      <w:rFonts w:hint="eastAsia"/>
                      <w:color w:val="auto"/>
                      <w:sz w:val="21"/>
                      <w:szCs w:val="21"/>
                      <w:highlight w:val="none"/>
                    </w:rPr>
                    <w:t>）</w:t>
                  </w:r>
                </w:p>
              </w:tc>
            </w:tr>
            <w:tr w14:paraId="33ED6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11" w:type="pct"/>
                  <w:noWrap w:val="0"/>
                  <w:vAlign w:val="center"/>
                </w:tcPr>
                <w:p w14:paraId="152FA37B">
                  <w:pPr>
                    <w:spacing w:line="300" w:lineRule="exact"/>
                    <w:jc w:val="center"/>
                    <w:rPr>
                      <w:color w:val="auto"/>
                      <w:sz w:val="21"/>
                      <w:szCs w:val="21"/>
                      <w:highlight w:val="none"/>
                    </w:rPr>
                  </w:pPr>
                  <w:r>
                    <w:rPr>
                      <w:color w:val="auto"/>
                      <w:sz w:val="21"/>
                      <w:szCs w:val="21"/>
                      <w:highlight w:val="none"/>
                    </w:rPr>
                    <w:t>COD</w:t>
                  </w:r>
                </w:p>
              </w:tc>
              <w:tc>
                <w:tcPr>
                  <w:tcW w:w="1384" w:type="pct"/>
                  <w:noWrap w:val="0"/>
                  <w:vAlign w:val="center"/>
                </w:tcPr>
                <w:p w14:paraId="4791287C">
                  <w:pPr>
                    <w:spacing w:line="300" w:lineRule="exact"/>
                    <w:jc w:val="center"/>
                    <w:rPr>
                      <w:color w:val="auto"/>
                      <w:sz w:val="21"/>
                      <w:szCs w:val="21"/>
                      <w:highlight w:val="none"/>
                    </w:rPr>
                  </w:pPr>
                  <w:r>
                    <w:rPr>
                      <w:rFonts w:hint="eastAsia"/>
                      <w:color w:val="auto"/>
                      <w:sz w:val="21"/>
                      <w:szCs w:val="21"/>
                      <w:highlight w:val="none"/>
                    </w:rPr>
                    <w:t>30</w:t>
                  </w:r>
                </w:p>
              </w:tc>
              <w:tc>
                <w:tcPr>
                  <w:tcW w:w="2404" w:type="pct"/>
                  <w:vMerge w:val="continue"/>
                  <w:noWrap w:val="0"/>
                  <w:vAlign w:val="center"/>
                </w:tcPr>
                <w:p w14:paraId="4EA780E8">
                  <w:pPr>
                    <w:snapToGrid w:val="0"/>
                    <w:spacing w:line="300" w:lineRule="exact"/>
                    <w:jc w:val="center"/>
                    <w:rPr>
                      <w:color w:val="auto"/>
                      <w:sz w:val="21"/>
                      <w:szCs w:val="21"/>
                      <w:highlight w:val="none"/>
                    </w:rPr>
                  </w:pPr>
                </w:p>
              </w:tc>
            </w:tr>
            <w:tr w14:paraId="5B273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11" w:type="pct"/>
                  <w:noWrap w:val="0"/>
                  <w:vAlign w:val="center"/>
                </w:tcPr>
                <w:p w14:paraId="346E0A64">
                  <w:pPr>
                    <w:spacing w:line="300" w:lineRule="exact"/>
                    <w:jc w:val="center"/>
                    <w:rPr>
                      <w:color w:val="auto"/>
                      <w:sz w:val="21"/>
                      <w:szCs w:val="21"/>
                      <w:highlight w:val="none"/>
                    </w:rPr>
                  </w:pPr>
                  <w:r>
                    <w:rPr>
                      <w:color w:val="auto"/>
                      <w:sz w:val="21"/>
                      <w:szCs w:val="21"/>
                      <w:highlight w:val="none"/>
                    </w:rPr>
                    <w:t>SS</w:t>
                  </w:r>
                </w:p>
              </w:tc>
              <w:tc>
                <w:tcPr>
                  <w:tcW w:w="1384" w:type="pct"/>
                  <w:noWrap w:val="0"/>
                  <w:vAlign w:val="center"/>
                </w:tcPr>
                <w:p w14:paraId="14AC03EA">
                  <w:pPr>
                    <w:spacing w:line="300" w:lineRule="exact"/>
                    <w:jc w:val="center"/>
                    <w:rPr>
                      <w:color w:val="auto"/>
                      <w:sz w:val="21"/>
                      <w:szCs w:val="21"/>
                      <w:highlight w:val="none"/>
                    </w:rPr>
                  </w:pPr>
                  <w:r>
                    <w:rPr>
                      <w:rFonts w:hint="eastAsia"/>
                      <w:color w:val="auto"/>
                      <w:sz w:val="21"/>
                      <w:szCs w:val="21"/>
                      <w:highlight w:val="none"/>
                    </w:rPr>
                    <w:t>5</w:t>
                  </w:r>
                </w:p>
              </w:tc>
              <w:tc>
                <w:tcPr>
                  <w:tcW w:w="2404" w:type="pct"/>
                  <w:vMerge w:val="continue"/>
                  <w:noWrap w:val="0"/>
                  <w:vAlign w:val="center"/>
                </w:tcPr>
                <w:p w14:paraId="7A17702A">
                  <w:pPr>
                    <w:snapToGrid w:val="0"/>
                    <w:spacing w:line="300" w:lineRule="exact"/>
                    <w:jc w:val="center"/>
                    <w:rPr>
                      <w:color w:val="auto"/>
                      <w:sz w:val="21"/>
                      <w:szCs w:val="21"/>
                      <w:highlight w:val="none"/>
                    </w:rPr>
                  </w:pPr>
                </w:p>
              </w:tc>
            </w:tr>
            <w:tr w14:paraId="23019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11" w:type="pct"/>
                  <w:noWrap w:val="0"/>
                  <w:vAlign w:val="center"/>
                </w:tcPr>
                <w:p w14:paraId="3705032A">
                  <w:pPr>
                    <w:spacing w:line="300" w:lineRule="exact"/>
                    <w:jc w:val="center"/>
                    <w:rPr>
                      <w:color w:val="auto"/>
                      <w:sz w:val="21"/>
                      <w:szCs w:val="21"/>
                      <w:highlight w:val="none"/>
                    </w:rPr>
                  </w:pPr>
                  <w:r>
                    <w:rPr>
                      <w:color w:val="auto"/>
                      <w:sz w:val="21"/>
                      <w:szCs w:val="21"/>
                      <w:highlight w:val="none"/>
                    </w:rPr>
                    <w:t>NH</w:t>
                  </w:r>
                  <w:r>
                    <w:rPr>
                      <w:color w:val="auto"/>
                      <w:sz w:val="21"/>
                      <w:szCs w:val="21"/>
                      <w:highlight w:val="none"/>
                      <w:vertAlign w:val="subscript"/>
                    </w:rPr>
                    <w:t>3</w:t>
                  </w:r>
                  <w:r>
                    <w:rPr>
                      <w:color w:val="auto"/>
                      <w:sz w:val="21"/>
                      <w:szCs w:val="21"/>
                      <w:highlight w:val="none"/>
                    </w:rPr>
                    <w:t>-N</w:t>
                  </w:r>
                </w:p>
              </w:tc>
              <w:tc>
                <w:tcPr>
                  <w:tcW w:w="1384" w:type="pct"/>
                  <w:noWrap w:val="0"/>
                  <w:vAlign w:val="center"/>
                </w:tcPr>
                <w:p w14:paraId="164ABDF3">
                  <w:pPr>
                    <w:spacing w:line="300" w:lineRule="exact"/>
                    <w:jc w:val="center"/>
                    <w:rPr>
                      <w:color w:val="auto"/>
                      <w:sz w:val="21"/>
                      <w:szCs w:val="21"/>
                      <w:highlight w:val="none"/>
                    </w:rPr>
                  </w:pPr>
                  <w:r>
                    <w:rPr>
                      <w:rFonts w:hint="eastAsia"/>
                      <w:color w:val="auto"/>
                      <w:sz w:val="21"/>
                      <w:szCs w:val="21"/>
                      <w:highlight w:val="none"/>
                    </w:rPr>
                    <w:t>1.5（3）</w:t>
                  </w:r>
                </w:p>
              </w:tc>
              <w:tc>
                <w:tcPr>
                  <w:tcW w:w="2404" w:type="pct"/>
                  <w:vMerge w:val="continue"/>
                  <w:noWrap w:val="0"/>
                  <w:vAlign w:val="center"/>
                </w:tcPr>
                <w:p w14:paraId="19DA55C7">
                  <w:pPr>
                    <w:snapToGrid w:val="0"/>
                    <w:spacing w:line="300" w:lineRule="exact"/>
                    <w:jc w:val="center"/>
                    <w:rPr>
                      <w:color w:val="auto"/>
                      <w:sz w:val="21"/>
                      <w:szCs w:val="21"/>
                      <w:highlight w:val="none"/>
                    </w:rPr>
                  </w:pPr>
                </w:p>
              </w:tc>
            </w:tr>
            <w:tr w14:paraId="2927B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11" w:type="pct"/>
                  <w:noWrap w:val="0"/>
                  <w:vAlign w:val="center"/>
                </w:tcPr>
                <w:p w14:paraId="30F6CE4C">
                  <w:pPr>
                    <w:spacing w:line="300" w:lineRule="exact"/>
                    <w:jc w:val="center"/>
                    <w:rPr>
                      <w:rFonts w:hint="eastAsia"/>
                      <w:color w:val="auto"/>
                      <w:kern w:val="2"/>
                      <w:sz w:val="21"/>
                      <w:szCs w:val="21"/>
                      <w:highlight w:val="none"/>
                      <w:lang w:val="en-US" w:eastAsia="zh-CN" w:bidi="ar-SA"/>
                    </w:rPr>
                  </w:pPr>
                  <w:r>
                    <w:rPr>
                      <w:color w:val="auto"/>
                      <w:sz w:val="21"/>
                      <w:szCs w:val="21"/>
                      <w:highlight w:val="none"/>
                    </w:rPr>
                    <w:t>TP</w:t>
                  </w:r>
                </w:p>
              </w:tc>
              <w:tc>
                <w:tcPr>
                  <w:tcW w:w="1384" w:type="pct"/>
                  <w:noWrap w:val="0"/>
                  <w:vAlign w:val="center"/>
                </w:tcPr>
                <w:p w14:paraId="04BEE2F5">
                  <w:pPr>
                    <w:spacing w:line="300" w:lineRule="exact"/>
                    <w:jc w:val="center"/>
                    <w:rPr>
                      <w:rFonts w:hint="eastAsia"/>
                      <w:color w:val="auto"/>
                      <w:kern w:val="2"/>
                      <w:sz w:val="21"/>
                      <w:szCs w:val="21"/>
                      <w:highlight w:val="none"/>
                      <w:lang w:val="en-US" w:eastAsia="zh-CN" w:bidi="ar-SA"/>
                    </w:rPr>
                  </w:pPr>
                  <w:r>
                    <w:rPr>
                      <w:rFonts w:hint="eastAsia"/>
                      <w:color w:val="auto"/>
                      <w:sz w:val="21"/>
                      <w:szCs w:val="21"/>
                      <w:highlight w:val="none"/>
                    </w:rPr>
                    <w:t>0.3</w:t>
                  </w:r>
                </w:p>
              </w:tc>
              <w:tc>
                <w:tcPr>
                  <w:tcW w:w="2404" w:type="pct"/>
                  <w:vMerge w:val="continue"/>
                  <w:noWrap w:val="0"/>
                  <w:vAlign w:val="center"/>
                </w:tcPr>
                <w:p w14:paraId="3A8B668F">
                  <w:pPr>
                    <w:snapToGrid w:val="0"/>
                    <w:spacing w:line="300" w:lineRule="exact"/>
                    <w:jc w:val="center"/>
                    <w:rPr>
                      <w:rFonts w:hint="eastAsia"/>
                      <w:color w:val="auto"/>
                      <w:sz w:val="21"/>
                      <w:szCs w:val="21"/>
                      <w:highlight w:val="none"/>
                    </w:rPr>
                  </w:pPr>
                </w:p>
              </w:tc>
            </w:tr>
            <w:tr w14:paraId="0A6C0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11" w:type="pct"/>
                  <w:shd w:val="clear" w:color="auto" w:fill="auto"/>
                  <w:noWrap w:val="0"/>
                  <w:vAlign w:val="center"/>
                </w:tcPr>
                <w:p w14:paraId="1F607C03">
                  <w:pPr>
                    <w:spacing w:line="30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TN</w:t>
                  </w:r>
                </w:p>
              </w:tc>
              <w:tc>
                <w:tcPr>
                  <w:tcW w:w="1384" w:type="pct"/>
                  <w:shd w:val="clear" w:color="auto" w:fill="auto"/>
                  <w:noWrap w:val="0"/>
                  <w:vAlign w:val="center"/>
                </w:tcPr>
                <w:p w14:paraId="4C368189">
                  <w:pPr>
                    <w:spacing w:line="30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2404" w:type="pct"/>
                  <w:noWrap w:val="0"/>
                  <w:vAlign w:val="center"/>
                </w:tcPr>
                <w:p w14:paraId="62302464">
                  <w:pPr>
                    <w:pStyle w:val="41"/>
                    <w:bidi w:val="0"/>
                    <w:rPr>
                      <w:rFonts w:hint="eastAsia"/>
                      <w:color w:val="auto"/>
                      <w:szCs w:val="21"/>
                      <w:highlight w:val="none"/>
                    </w:rPr>
                  </w:pPr>
                  <w:r>
                    <w:rPr>
                      <w:rFonts w:hint="eastAsia"/>
                      <w:lang w:val="en-US" w:eastAsia="zh-CN"/>
                    </w:rPr>
                    <w:t>《城镇污水处理厂污染物排放标准》（GB 18918－2002）表1一级A标准</w:t>
                  </w:r>
                </w:p>
              </w:tc>
            </w:tr>
          </w:tbl>
          <w:p w14:paraId="03A5A876">
            <w:pPr>
              <w:pStyle w:val="41"/>
              <w:bidi w:val="0"/>
              <w:jc w:val="left"/>
              <w:rPr>
                <w:b/>
                <w:bCs/>
                <w:color w:val="auto"/>
                <w:highlight w:val="none"/>
              </w:rPr>
            </w:pPr>
            <w:r>
              <w:rPr>
                <w:b/>
                <w:bCs/>
                <w:color w:val="auto"/>
                <w:highlight w:val="none"/>
              </w:rPr>
              <w:t>注：括号外数值为水温＞12℃时的控制指标，括号内数值为水温≤12℃时的控制指标。</w:t>
            </w:r>
          </w:p>
          <w:p w14:paraId="0092D463">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b/>
                <w:bCs/>
                <w:color w:val="auto"/>
                <w:highlight w:val="none"/>
                <w:lang w:val="zh-CN"/>
              </w:rPr>
            </w:pPr>
            <w:r>
              <w:rPr>
                <w:rFonts w:ascii="Times New Roman" w:hAnsi="Times New Roman" w:eastAsia="宋体" w:cs="Times New Roman"/>
                <w:b/>
                <w:bCs/>
                <w:color w:val="auto"/>
                <w:kern w:val="2"/>
                <w:sz w:val="24"/>
                <w:szCs w:val="24"/>
                <w:lang w:val="zh-CN" w:eastAsia="zh-CN" w:bidi="ar-SA"/>
              </w:rPr>
              <w:t>2、</w:t>
            </w:r>
            <w:r>
              <w:rPr>
                <w:b/>
                <w:bCs/>
                <w:color w:val="auto"/>
                <w:highlight w:val="none"/>
                <w:lang w:val="zh-CN"/>
              </w:rPr>
              <w:t>废气排放标准</w:t>
            </w:r>
          </w:p>
          <w:p w14:paraId="2287CE09">
            <w:pPr>
              <w:bidi w:val="0"/>
              <w:ind w:firstLine="480" w:firstLineChars="200"/>
              <w:rPr>
                <w:rFonts w:hint="default"/>
                <w:lang w:val="en-US" w:eastAsia="zh-CN"/>
              </w:rPr>
            </w:pPr>
            <w:r>
              <w:rPr>
                <w:rFonts w:hint="eastAsia"/>
                <w:lang w:val="en-US" w:eastAsia="zh-CN"/>
              </w:rPr>
              <w:t>经识别，本项目研发废气污染物种类见下表。</w:t>
            </w:r>
          </w:p>
          <w:p w14:paraId="0A9A446A">
            <w:pPr>
              <w:pStyle w:val="40"/>
              <w:bidi w:val="0"/>
              <w:rPr>
                <w:lang w:val="zh-CN"/>
              </w:rPr>
            </w:pPr>
            <w:r>
              <w:rPr>
                <w:rFonts w:hint="eastAsia"/>
                <w:lang w:val="en-US" w:eastAsia="zh-CN"/>
              </w:rPr>
              <w:t>本项目废气污染物种类一览表</w:t>
            </w:r>
          </w:p>
          <w:tbl>
            <w:tblPr>
              <w:tblStyle w:val="33"/>
              <w:tblW w:w="4998"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92"/>
              <w:gridCol w:w="1746"/>
              <w:gridCol w:w="5297"/>
            </w:tblGrid>
            <w:tr w14:paraId="376003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2" w:hRule="atLeast"/>
              </w:trPr>
              <w:tc>
                <w:tcPr>
                  <w:tcW w:w="775" w:type="pct"/>
                  <w:tcBorders>
                    <w:tl2br w:val="nil"/>
                    <w:tr2bl w:val="nil"/>
                  </w:tcBorders>
                  <w:vAlign w:val="center"/>
                </w:tcPr>
                <w:p w14:paraId="67F5EB41">
                  <w:pPr>
                    <w:pStyle w:val="41"/>
                    <w:bidi w:val="0"/>
                    <w:jc w:val="center"/>
                    <w:rPr>
                      <w:rFonts w:hint="default"/>
                      <w:b/>
                      <w:bCs/>
                      <w:lang w:val="en-US" w:eastAsia="zh-CN"/>
                    </w:rPr>
                  </w:pPr>
                  <w:r>
                    <w:rPr>
                      <w:rFonts w:hint="eastAsia"/>
                      <w:b/>
                      <w:bCs/>
                      <w:lang w:val="en-US" w:eastAsia="zh-CN"/>
                    </w:rPr>
                    <w:t>废气种类</w:t>
                  </w:r>
                </w:p>
              </w:tc>
              <w:tc>
                <w:tcPr>
                  <w:tcW w:w="1047" w:type="pct"/>
                  <w:tcBorders>
                    <w:tl2br w:val="nil"/>
                    <w:tr2bl w:val="nil"/>
                  </w:tcBorders>
                  <w:vAlign w:val="center"/>
                </w:tcPr>
                <w:p w14:paraId="2B24518D">
                  <w:pPr>
                    <w:pStyle w:val="41"/>
                    <w:bidi w:val="0"/>
                    <w:jc w:val="center"/>
                    <w:rPr>
                      <w:rFonts w:hint="default"/>
                      <w:b/>
                      <w:bCs/>
                      <w:lang w:val="en-US" w:eastAsia="zh-CN"/>
                    </w:rPr>
                  </w:pPr>
                  <w:r>
                    <w:rPr>
                      <w:rFonts w:hint="eastAsia"/>
                      <w:b/>
                      <w:bCs/>
                      <w:lang w:val="en-US" w:eastAsia="zh-CN"/>
                    </w:rPr>
                    <w:t>有排放标准</w:t>
                  </w:r>
                </w:p>
              </w:tc>
              <w:tc>
                <w:tcPr>
                  <w:tcW w:w="3176" w:type="pct"/>
                  <w:tcBorders>
                    <w:tl2br w:val="nil"/>
                    <w:tr2bl w:val="nil"/>
                  </w:tcBorders>
                  <w:vAlign w:val="center"/>
                </w:tcPr>
                <w:p w14:paraId="4D74B0AC">
                  <w:pPr>
                    <w:pStyle w:val="41"/>
                    <w:bidi w:val="0"/>
                    <w:jc w:val="center"/>
                    <w:rPr>
                      <w:rFonts w:hint="default"/>
                      <w:b/>
                      <w:bCs/>
                      <w:lang w:val="en-US" w:eastAsia="zh-CN"/>
                    </w:rPr>
                  </w:pPr>
                  <w:r>
                    <w:rPr>
                      <w:rFonts w:hint="eastAsia"/>
                      <w:b/>
                      <w:bCs/>
                      <w:lang w:val="en-US" w:eastAsia="zh-CN"/>
                    </w:rPr>
                    <w:t>无排放标准</w:t>
                  </w:r>
                </w:p>
              </w:tc>
            </w:tr>
            <w:tr w14:paraId="78CC75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5" w:type="pct"/>
                  <w:tcBorders>
                    <w:tl2br w:val="nil"/>
                    <w:tr2bl w:val="nil"/>
                  </w:tcBorders>
                  <w:vAlign w:val="center"/>
                </w:tcPr>
                <w:p w14:paraId="08F008D9">
                  <w:pPr>
                    <w:pStyle w:val="41"/>
                    <w:bidi w:val="0"/>
                    <w:jc w:val="center"/>
                    <w:rPr>
                      <w:rFonts w:hint="eastAsia"/>
                      <w:lang w:val="en-US" w:eastAsia="zh-CN"/>
                    </w:rPr>
                  </w:pPr>
                  <w:r>
                    <w:rPr>
                      <w:rFonts w:hint="eastAsia"/>
                      <w:lang w:val="en-US" w:eastAsia="zh-CN"/>
                    </w:rPr>
                    <w:t>有机废气</w:t>
                  </w:r>
                </w:p>
              </w:tc>
              <w:tc>
                <w:tcPr>
                  <w:tcW w:w="1047" w:type="pct"/>
                  <w:tcBorders>
                    <w:tl2br w:val="nil"/>
                    <w:tr2bl w:val="nil"/>
                  </w:tcBorders>
                  <w:vAlign w:val="center"/>
                </w:tcPr>
                <w:p w14:paraId="0EEAEF20">
                  <w:pPr>
                    <w:pStyle w:val="41"/>
                    <w:bidi w:val="0"/>
                    <w:jc w:val="center"/>
                  </w:pPr>
                  <w:r>
                    <w:rPr>
                      <w:rFonts w:hint="eastAsia"/>
                      <w:lang w:val="en-US" w:eastAsia="zh-CN"/>
                    </w:rPr>
                    <w:t>非甲烷总烃、</w:t>
                  </w:r>
                  <w:r>
                    <w:rPr>
                      <w:rFonts w:hint="eastAsia"/>
                    </w:rPr>
                    <w:t>乙酸乙酯、甲醇、二氯甲烷、乙腈</w:t>
                  </w:r>
                </w:p>
              </w:tc>
              <w:tc>
                <w:tcPr>
                  <w:tcW w:w="3176" w:type="pct"/>
                  <w:tcBorders>
                    <w:tl2br w:val="nil"/>
                    <w:tr2bl w:val="nil"/>
                  </w:tcBorders>
                  <w:vAlign w:val="center"/>
                </w:tcPr>
                <w:p w14:paraId="34CA1D29">
                  <w:pPr>
                    <w:pStyle w:val="41"/>
                    <w:bidi w:val="0"/>
                    <w:jc w:val="center"/>
                  </w:pPr>
                  <w:r>
                    <w:rPr>
                      <w:rFonts w:hint="eastAsia"/>
                    </w:rPr>
                    <w:t>乙醇、三乙胺、石油醚、四氢呋喃、1,4-二氧六环、N,N-二甲基甲酰胺、二甲基亚砜、正丁醇、异丙醇、二乙胺、乙酸丁酯、甲酸乙酯、正己烷、异丁醇、丙二醇、正丙醇、丙三醇、环己烷、苯胺</w:t>
                  </w:r>
                </w:p>
              </w:tc>
            </w:tr>
            <w:tr w14:paraId="3C1A5B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5" w:type="pct"/>
                  <w:tcBorders>
                    <w:tl2br w:val="nil"/>
                    <w:tr2bl w:val="nil"/>
                  </w:tcBorders>
                  <w:vAlign w:val="center"/>
                </w:tcPr>
                <w:p w14:paraId="0DC84BE7">
                  <w:pPr>
                    <w:pStyle w:val="41"/>
                    <w:bidi w:val="0"/>
                    <w:jc w:val="center"/>
                    <w:rPr>
                      <w:rFonts w:hint="eastAsia"/>
                      <w:lang w:val="en-US" w:eastAsia="zh-CN"/>
                    </w:rPr>
                  </w:pPr>
                  <w:r>
                    <w:rPr>
                      <w:rFonts w:hint="eastAsia"/>
                      <w:lang w:val="en-US" w:eastAsia="zh-CN"/>
                    </w:rPr>
                    <w:t>酸性废气</w:t>
                  </w:r>
                </w:p>
              </w:tc>
              <w:tc>
                <w:tcPr>
                  <w:tcW w:w="1047" w:type="pct"/>
                  <w:tcBorders>
                    <w:tl2br w:val="nil"/>
                    <w:tr2bl w:val="nil"/>
                  </w:tcBorders>
                  <w:vAlign w:val="center"/>
                </w:tcPr>
                <w:p w14:paraId="43020E94">
                  <w:pPr>
                    <w:pStyle w:val="41"/>
                    <w:bidi w:val="0"/>
                    <w:jc w:val="center"/>
                    <w:rPr>
                      <w:rFonts w:hint="eastAsia"/>
                      <w:lang w:eastAsia="zh-CN"/>
                    </w:rPr>
                  </w:pPr>
                  <w:r>
                    <w:rPr>
                      <w:rFonts w:hint="eastAsia"/>
                      <w:lang w:val="en-US" w:eastAsia="zh-CN"/>
                    </w:rPr>
                    <w:t>/</w:t>
                  </w:r>
                </w:p>
              </w:tc>
              <w:tc>
                <w:tcPr>
                  <w:tcW w:w="3176" w:type="pct"/>
                  <w:tcBorders>
                    <w:tl2br w:val="nil"/>
                    <w:tr2bl w:val="nil"/>
                  </w:tcBorders>
                  <w:vAlign w:val="center"/>
                </w:tcPr>
                <w:p w14:paraId="0EE2C5DE">
                  <w:pPr>
                    <w:pStyle w:val="41"/>
                    <w:bidi w:val="0"/>
                    <w:jc w:val="center"/>
                  </w:pPr>
                  <w:r>
                    <w:rPr>
                      <w:rFonts w:hint="eastAsia"/>
                    </w:rPr>
                    <w:t>甲酸、</w:t>
                  </w:r>
                  <w:r>
                    <w:rPr>
                      <w:rFonts w:hint="eastAsia"/>
                      <w:lang w:val="en-US" w:eastAsia="zh-CN"/>
                    </w:rPr>
                    <w:t>乙酸</w:t>
                  </w:r>
                </w:p>
              </w:tc>
            </w:tr>
            <w:tr w14:paraId="1A1E8E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5" w:type="pct"/>
                  <w:tcBorders>
                    <w:tl2br w:val="nil"/>
                    <w:tr2bl w:val="nil"/>
                  </w:tcBorders>
                  <w:vAlign w:val="center"/>
                </w:tcPr>
                <w:p w14:paraId="149313EB">
                  <w:pPr>
                    <w:pStyle w:val="41"/>
                    <w:bidi w:val="0"/>
                    <w:jc w:val="center"/>
                    <w:rPr>
                      <w:rFonts w:hint="default"/>
                      <w:lang w:val="en-US" w:eastAsia="zh-CN"/>
                    </w:rPr>
                  </w:pPr>
                  <w:r>
                    <w:rPr>
                      <w:rFonts w:hint="eastAsia"/>
                      <w:lang w:val="en-US" w:eastAsia="zh-CN"/>
                    </w:rPr>
                    <w:t>碱性废气</w:t>
                  </w:r>
                </w:p>
              </w:tc>
              <w:tc>
                <w:tcPr>
                  <w:tcW w:w="1047" w:type="pct"/>
                  <w:tcBorders>
                    <w:tl2br w:val="nil"/>
                    <w:tr2bl w:val="nil"/>
                  </w:tcBorders>
                  <w:vAlign w:val="center"/>
                </w:tcPr>
                <w:p w14:paraId="78399409">
                  <w:pPr>
                    <w:pStyle w:val="41"/>
                    <w:bidi w:val="0"/>
                    <w:jc w:val="center"/>
                  </w:pPr>
                  <w:r>
                    <w:rPr>
                      <w:rFonts w:hint="eastAsia"/>
                    </w:rPr>
                    <w:t>氨</w:t>
                  </w:r>
                </w:p>
              </w:tc>
              <w:tc>
                <w:tcPr>
                  <w:tcW w:w="3176" w:type="pct"/>
                  <w:tcBorders>
                    <w:tl2br w:val="nil"/>
                    <w:tr2bl w:val="nil"/>
                  </w:tcBorders>
                  <w:vAlign w:val="center"/>
                </w:tcPr>
                <w:p w14:paraId="5409FECF">
                  <w:pPr>
                    <w:pStyle w:val="41"/>
                    <w:bidi w:val="0"/>
                    <w:jc w:val="center"/>
                    <w:rPr>
                      <w:rFonts w:hint="default"/>
                      <w:lang w:val="en-US" w:eastAsia="zh-CN"/>
                    </w:rPr>
                  </w:pPr>
                  <w:r>
                    <w:rPr>
                      <w:rFonts w:hint="eastAsia"/>
                      <w:lang w:val="en-US" w:eastAsia="zh-CN"/>
                    </w:rPr>
                    <w:t>/</w:t>
                  </w:r>
                </w:p>
              </w:tc>
            </w:tr>
            <w:tr w14:paraId="645AB4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5" w:type="pct"/>
                  <w:tcBorders>
                    <w:tl2br w:val="nil"/>
                    <w:tr2bl w:val="nil"/>
                  </w:tcBorders>
                  <w:vAlign w:val="center"/>
                </w:tcPr>
                <w:p w14:paraId="2C1422E3">
                  <w:pPr>
                    <w:pStyle w:val="41"/>
                    <w:bidi w:val="0"/>
                    <w:jc w:val="center"/>
                    <w:rPr>
                      <w:rFonts w:hint="default"/>
                      <w:lang w:val="en-US" w:eastAsia="zh-CN"/>
                    </w:rPr>
                  </w:pPr>
                  <w:r>
                    <w:rPr>
                      <w:rFonts w:hint="eastAsia"/>
                      <w:lang w:val="en-US" w:eastAsia="zh-CN"/>
                    </w:rPr>
                    <w:t>无机废气</w:t>
                  </w:r>
                </w:p>
              </w:tc>
              <w:tc>
                <w:tcPr>
                  <w:tcW w:w="1047" w:type="pct"/>
                  <w:tcBorders>
                    <w:tl2br w:val="nil"/>
                    <w:tr2bl w:val="nil"/>
                  </w:tcBorders>
                  <w:vAlign w:val="center"/>
                </w:tcPr>
                <w:p w14:paraId="586443F3">
                  <w:pPr>
                    <w:pStyle w:val="41"/>
                    <w:bidi w:val="0"/>
                    <w:jc w:val="center"/>
                    <w:rPr>
                      <w:rFonts w:hint="eastAsia" w:eastAsia="宋体"/>
                      <w:lang w:val="en-US" w:eastAsia="zh-CN"/>
                    </w:rPr>
                  </w:pPr>
                  <w:r>
                    <w:rPr>
                      <w:rFonts w:hint="eastAsia"/>
                      <w:lang w:val="en-US" w:eastAsia="zh-CN"/>
                    </w:rPr>
                    <w:t>颗粒物</w:t>
                  </w:r>
                </w:p>
              </w:tc>
              <w:tc>
                <w:tcPr>
                  <w:tcW w:w="3176" w:type="pct"/>
                  <w:tcBorders>
                    <w:tl2br w:val="nil"/>
                    <w:tr2bl w:val="nil"/>
                  </w:tcBorders>
                  <w:vAlign w:val="center"/>
                </w:tcPr>
                <w:p w14:paraId="51F4F663">
                  <w:pPr>
                    <w:pStyle w:val="41"/>
                    <w:bidi w:val="0"/>
                    <w:jc w:val="center"/>
                    <w:rPr>
                      <w:rFonts w:hint="eastAsia"/>
                      <w:lang w:val="en-US" w:eastAsia="zh-CN"/>
                    </w:rPr>
                  </w:pPr>
                </w:p>
              </w:tc>
            </w:tr>
          </w:tbl>
          <w:p w14:paraId="028D2940">
            <w:pPr>
              <w:pStyle w:val="41"/>
              <w:bidi w:val="0"/>
              <w:rPr>
                <w:rFonts w:hint="eastAsia"/>
                <w:lang w:val="en-US" w:eastAsia="zh-CN"/>
              </w:rPr>
            </w:pPr>
          </w:p>
          <w:p w14:paraId="46785D5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color w:val="auto"/>
                <w:szCs w:val="24"/>
                <w:highlight w:val="none"/>
                <w:lang w:val="en-US" w:eastAsia="zh-CN"/>
              </w:rPr>
            </w:pPr>
            <w:r>
              <w:rPr>
                <w:rFonts w:hint="eastAsia" w:cs="Times New Roman"/>
                <w:color w:val="auto"/>
                <w:szCs w:val="24"/>
                <w:highlight w:val="none"/>
                <w:lang w:val="en-US" w:eastAsia="zh-CN"/>
              </w:rPr>
              <w:t>本项目1号楼试剂挥发废气、危化品库废气经过2套二级活性炭吸附装置（TA005-TA006）处理后由2根楼顶70m排气筒（DA005-DA006）排放，非甲烷总烃有组织排放执行《制药工业大气污染物排放标准》（DB32/4042-2021）表1限值，乙酸乙酯、甲醇、二氯甲烷、乙腈、氨有组织排放执行《制药工业大气污染物排放标准》（DB32/4042-2021）表2限值。</w:t>
            </w:r>
            <w:r>
              <w:rPr>
                <w:rFonts w:hint="eastAsia" w:cs="Times New Roman"/>
                <w:color w:val="auto"/>
                <w:szCs w:val="24"/>
                <w:highlight w:val="none"/>
              </w:rPr>
              <w:t>本项目</w:t>
            </w:r>
            <w:r>
              <w:rPr>
                <w:rFonts w:hint="eastAsia" w:cs="Times New Roman"/>
                <w:color w:val="auto"/>
                <w:szCs w:val="24"/>
                <w:highlight w:val="none"/>
                <w:lang w:val="en-US" w:eastAsia="zh-CN"/>
              </w:rPr>
              <w:t>在1号楼新建污水处理站，废气经过“水喷淋+除雾+活性炭吸附”装置处理后由15m排气筒DA007排放，氨、硫化氢、臭气浓度执行《制药工业大气污染物排放标准》（DB32/4042-2021）表3限值。</w:t>
            </w:r>
          </w:p>
          <w:p w14:paraId="7721D954">
            <w:pPr>
              <w:pStyle w:val="40"/>
              <w:rPr>
                <w:rFonts w:hint="eastAsia"/>
                <w:color w:val="auto"/>
                <w:highlight w:val="none"/>
                <w:lang w:val="en-US" w:eastAsia="zh-CN"/>
              </w:rPr>
            </w:pPr>
            <w:bookmarkStart w:id="42" w:name="OLE_LINK3"/>
            <w:r>
              <w:rPr>
                <w:rFonts w:hint="eastAsia"/>
                <w:color w:val="auto"/>
                <w:highlight w:val="none"/>
                <w:lang w:val="en-US" w:eastAsia="zh-CN"/>
              </w:rPr>
              <w:t>有组织废气排放标准</w:t>
            </w:r>
          </w:p>
          <w:bookmarkEnd w:id="42"/>
          <w:tbl>
            <w:tblPr>
              <w:tblStyle w:val="164"/>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818"/>
              <w:gridCol w:w="1265"/>
              <w:gridCol w:w="1631"/>
              <w:gridCol w:w="1771"/>
              <w:gridCol w:w="2850"/>
            </w:tblGrid>
            <w:tr w14:paraId="0F822E3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0" w:hRule="atLeast"/>
                <w:tblHeader/>
              </w:trPr>
              <w:tc>
                <w:tcPr>
                  <w:tcW w:w="1249" w:type="pct"/>
                  <w:gridSpan w:val="2"/>
                  <w:tcBorders>
                    <w:tl2br w:val="nil"/>
                    <w:tr2bl w:val="nil"/>
                  </w:tcBorders>
                  <w:vAlign w:val="center"/>
                </w:tcPr>
                <w:p w14:paraId="5508CCE9">
                  <w:pPr>
                    <w:pStyle w:val="41"/>
                    <w:widowControl w:val="0"/>
                    <w:bidi w:val="0"/>
                    <w:jc w:val="center"/>
                    <w:rPr>
                      <w:rFonts w:hint="eastAsia"/>
                      <w:b/>
                      <w:bCs/>
                      <w:color w:val="auto"/>
                      <w:highlight w:val="none"/>
                      <w:lang w:val="en-US" w:eastAsia="zh-CN"/>
                    </w:rPr>
                  </w:pPr>
                  <w:r>
                    <w:rPr>
                      <w:rFonts w:hint="eastAsia"/>
                      <w:b/>
                      <w:bCs/>
                      <w:color w:val="auto"/>
                      <w:highlight w:val="none"/>
                      <w:lang w:val="en-US" w:eastAsia="zh-CN"/>
                    </w:rPr>
                    <w:t>排气筒编号</w:t>
                  </w:r>
                </w:p>
              </w:tc>
              <w:tc>
                <w:tcPr>
                  <w:tcW w:w="978" w:type="pct"/>
                  <w:tcBorders>
                    <w:tl2br w:val="nil"/>
                    <w:tr2bl w:val="nil"/>
                  </w:tcBorders>
                  <w:vAlign w:val="center"/>
                </w:tcPr>
                <w:p w14:paraId="03E230CF">
                  <w:pPr>
                    <w:pStyle w:val="41"/>
                    <w:widowControl w:val="0"/>
                    <w:bidi w:val="0"/>
                    <w:jc w:val="center"/>
                    <w:rPr>
                      <w:b/>
                      <w:bCs/>
                      <w:color w:val="auto"/>
                      <w:highlight w:val="none"/>
                    </w:rPr>
                  </w:pPr>
                  <w:r>
                    <w:rPr>
                      <w:b/>
                      <w:bCs/>
                      <w:color w:val="auto"/>
                      <w:highlight w:val="none"/>
                    </w:rPr>
                    <w:t>污染物名称</w:t>
                  </w:r>
                </w:p>
              </w:tc>
              <w:tc>
                <w:tcPr>
                  <w:tcW w:w="1062" w:type="pct"/>
                  <w:tcBorders>
                    <w:tl2br w:val="nil"/>
                    <w:tr2bl w:val="nil"/>
                  </w:tcBorders>
                  <w:vAlign w:val="center"/>
                </w:tcPr>
                <w:p w14:paraId="151AF330">
                  <w:pPr>
                    <w:pStyle w:val="41"/>
                    <w:widowControl w:val="0"/>
                    <w:bidi w:val="0"/>
                    <w:jc w:val="center"/>
                    <w:rPr>
                      <w:b/>
                      <w:bCs/>
                      <w:color w:val="auto"/>
                      <w:highlight w:val="none"/>
                    </w:rPr>
                  </w:pPr>
                  <w:r>
                    <w:rPr>
                      <w:b/>
                      <w:bCs/>
                      <w:color w:val="auto"/>
                      <w:highlight w:val="none"/>
                    </w:rPr>
                    <w:t>最高允许排放浓度（mg/m</w:t>
                  </w:r>
                  <w:r>
                    <w:rPr>
                      <w:b/>
                      <w:bCs/>
                      <w:color w:val="auto"/>
                      <w:highlight w:val="none"/>
                      <w:vertAlign w:val="superscript"/>
                    </w:rPr>
                    <w:t>3</w:t>
                  </w:r>
                  <w:r>
                    <w:rPr>
                      <w:b/>
                      <w:bCs/>
                      <w:color w:val="auto"/>
                      <w:highlight w:val="none"/>
                    </w:rPr>
                    <w:t>）</w:t>
                  </w:r>
                </w:p>
              </w:tc>
              <w:tc>
                <w:tcPr>
                  <w:tcW w:w="1709" w:type="pct"/>
                  <w:tcBorders>
                    <w:tl2br w:val="nil"/>
                    <w:tr2bl w:val="nil"/>
                  </w:tcBorders>
                  <w:vAlign w:val="center"/>
                </w:tcPr>
                <w:p w14:paraId="0D1E8074">
                  <w:pPr>
                    <w:pStyle w:val="41"/>
                    <w:widowControl w:val="0"/>
                    <w:bidi w:val="0"/>
                    <w:jc w:val="center"/>
                    <w:rPr>
                      <w:b/>
                      <w:bCs/>
                      <w:color w:val="auto"/>
                      <w:highlight w:val="none"/>
                    </w:rPr>
                  </w:pPr>
                  <w:r>
                    <w:rPr>
                      <w:b/>
                      <w:bCs/>
                      <w:color w:val="auto"/>
                      <w:highlight w:val="none"/>
                    </w:rPr>
                    <w:t>标准来源</w:t>
                  </w:r>
                </w:p>
              </w:tc>
            </w:tr>
            <w:tr w14:paraId="2B43A8D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90" w:type="pct"/>
                  <w:vMerge w:val="restart"/>
                  <w:tcBorders>
                    <w:tl2br w:val="nil"/>
                    <w:tr2bl w:val="nil"/>
                  </w:tcBorders>
                  <w:vAlign w:val="center"/>
                </w:tcPr>
                <w:p w14:paraId="0931766F">
                  <w:pPr>
                    <w:pStyle w:val="41"/>
                    <w:widowControl w:val="0"/>
                    <w:bidi w:val="0"/>
                    <w:jc w:val="center"/>
                    <w:rPr>
                      <w:rFonts w:hint="eastAsia"/>
                      <w:color w:val="auto"/>
                      <w:highlight w:val="none"/>
                      <w:lang w:val="en-US" w:eastAsia="zh-CN"/>
                    </w:rPr>
                  </w:pPr>
                  <w:r>
                    <w:rPr>
                      <w:rFonts w:hint="eastAsia"/>
                      <w:color w:val="auto"/>
                      <w:highlight w:val="none"/>
                      <w:lang w:val="en-US" w:eastAsia="zh-CN"/>
                    </w:rPr>
                    <w:t>DA005</w:t>
                  </w:r>
                </w:p>
                <w:p w14:paraId="4F411851">
                  <w:pPr>
                    <w:pStyle w:val="41"/>
                    <w:widowControl w:val="0"/>
                    <w:bidi w:val="0"/>
                    <w:jc w:val="center"/>
                    <w:rPr>
                      <w:rFonts w:hint="default"/>
                      <w:color w:val="auto"/>
                      <w:highlight w:val="none"/>
                      <w:lang w:val="en-US" w:eastAsia="zh-CN"/>
                    </w:rPr>
                  </w:pPr>
                  <w:r>
                    <w:rPr>
                      <w:rFonts w:hint="eastAsia"/>
                      <w:color w:val="auto"/>
                      <w:highlight w:val="none"/>
                      <w:lang w:val="en-US" w:eastAsia="zh-CN"/>
                    </w:rPr>
                    <w:t>DA006</w:t>
                  </w:r>
                </w:p>
              </w:tc>
              <w:tc>
                <w:tcPr>
                  <w:tcW w:w="758" w:type="pct"/>
                  <w:vMerge w:val="restart"/>
                  <w:tcBorders>
                    <w:tl2br w:val="nil"/>
                    <w:tr2bl w:val="nil"/>
                  </w:tcBorders>
                  <w:vAlign w:val="center"/>
                </w:tcPr>
                <w:p w14:paraId="0BFA5EC0">
                  <w:pPr>
                    <w:pStyle w:val="41"/>
                    <w:widowControl w:val="0"/>
                    <w:bidi w:val="0"/>
                    <w:jc w:val="center"/>
                    <w:rPr>
                      <w:rFonts w:hint="default"/>
                      <w:color w:val="auto"/>
                      <w:highlight w:val="none"/>
                      <w:lang w:val="en-US" w:eastAsia="zh-CN"/>
                    </w:rPr>
                  </w:pPr>
                  <w:r>
                    <w:rPr>
                      <w:rFonts w:hint="eastAsia"/>
                      <w:color w:val="auto"/>
                      <w:highlight w:val="none"/>
                      <w:lang w:val="en-US" w:eastAsia="zh-CN"/>
                    </w:rPr>
                    <w:t>1号楼</w:t>
                  </w:r>
                </w:p>
              </w:tc>
              <w:tc>
                <w:tcPr>
                  <w:tcW w:w="978" w:type="pct"/>
                  <w:tcBorders>
                    <w:tl2br w:val="nil"/>
                    <w:tr2bl w:val="nil"/>
                  </w:tcBorders>
                  <w:shd w:val="clear" w:color="auto" w:fill="auto"/>
                  <w:vAlign w:val="center"/>
                </w:tcPr>
                <w:p w14:paraId="2E2F5CF7">
                  <w:pPr>
                    <w:pStyle w:val="41"/>
                    <w:widowControl w:val="0"/>
                    <w:bidi w:val="0"/>
                    <w:ind w:firstLine="0" w:firstLineChars="0"/>
                    <w:jc w:val="center"/>
                    <w:rPr>
                      <w:rFonts w:hint="eastAsia" w:ascii="Times New Roman" w:hAnsi="Times New Roman" w:eastAsia="宋体" w:cs="Times New Roman"/>
                      <w:bCs/>
                      <w:color w:val="auto"/>
                      <w:kern w:val="0"/>
                      <w:sz w:val="21"/>
                      <w:szCs w:val="24"/>
                      <w:highlight w:val="none"/>
                      <w:lang w:val="en-US" w:eastAsia="zh-CN" w:bidi="ar-SA"/>
                    </w:rPr>
                  </w:pPr>
                  <w:r>
                    <w:rPr>
                      <w:rFonts w:hint="eastAsia" w:eastAsia="宋体"/>
                      <w:color w:val="auto"/>
                      <w:highlight w:val="none"/>
                      <w:lang w:val="en-US" w:eastAsia="zh-CN"/>
                    </w:rPr>
                    <w:t>非甲烷总烃</w:t>
                  </w:r>
                </w:p>
              </w:tc>
              <w:tc>
                <w:tcPr>
                  <w:tcW w:w="1062" w:type="pct"/>
                  <w:tcBorders>
                    <w:tl2br w:val="nil"/>
                    <w:tr2bl w:val="nil"/>
                  </w:tcBorders>
                  <w:shd w:val="clear" w:color="auto" w:fill="auto"/>
                  <w:vAlign w:val="center"/>
                </w:tcPr>
                <w:p w14:paraId="5A6361A7">
                  <w:pPr>
                    <w:pStyle w:val="41"/>
                    <w:widowControl w:val="0"/>
                    <w:bidi w:val="0"/>
                    <w:ind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eastAsia="宋体"/>
                      <w:color w:val="auto"/>
                      <w:highlight w:val="none"/>
                      <w:lang w:val="en-US" w:eastAsia="zh-CN"/>
                    </w:rPr>
                    <w:t>60</w:t>
                  </w:r>
                </w:p>
              </w:tc>
              <w:tc>
                <w:tcPr>
                  <w:tcW w:w="1709" w:type="pct"/>
                  <w:tcBorders>
                    <w:tl2br w:val="nil"/>
                    <w:tr2bl w:val="nil"/>
                  </w:tcBorders>
                  <w:shd w:val="clear" w:color="auto" w:fill="auto"/>
                  <w:vAlign w:val="center"/>
                </w:tcPr>
                <w:p w14:paraId="724C82BE">
                  <w:pPr>
                    <w:pStyle w:val="41"/>
                    <w:widowControl w:val="0"/>
                    <w:bidi w:val="0"/>
                    <w:jc w:val="center"/>
                    <w:rPr>
                      <w:rFonts w:hint="default" w:ascii="Times New Roman" w:hAnsi="Times New Roman" w:eastAsia="宋体" w:cs="Times New Roman"/>
                      <w:color w:val="auto"/>
                      <w:kern w:val="0"/>
                      <w:sz w:val="21"/>
                      <w:szCs w:val="24"/>
                      <w:highlight w:val="none"/>
                      <w:lang w:val="zh-TW" w:eastAsia="zh-CN" w:bidi="ar-SA"/>
                    </w:rPr>
                  </w:pPr>
                  <w:r>
                    <w:rPr>
                      <w:rFonts w:hint="default" w:ascii="Times New Roman" w:hAnsi="Times New Roman" w:cs="Times New Roman"/>
                      <w:color w:val="auto"/>
                      <w:sz w:val="21"/>
                      <w:highlight w:val="none"/>
                      <w:lang w:val="zh-TW"/>
                    </w:rPr>
                    <w:t>《制药工业大气污染物排放标准》（DB32/4042-2021）</w:t>
                  </w:r>
                  <w:r>
                    <w:rPr>
                      <w:rFonts w:hint="eastAsia" w:cs="Times New Roman"/>
                      <w:color w:val="auto"/>
                      <w:sz w:val="21"/>
                      <w:highlight w:val="none"/>
                      <w:lang w:val="en-US" w:eastAsia="zh-CN"/>
                    </w:rPr>
                    <w:t>表1</w:t>
                  </w:r>
                </w:p>
              </w:tc>
            </w:tr>
            <w:tr w14:paraId="795EE9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90" w:type="pct"/>
                  <w:vMerge w:val="continue"/>
                  <w:tcBorders>
                    <w:tl2br w:val="nil"/>
                    <w:tr2bl w:val="nil"/>
                  </w:tcBorders>
                  <w:vAlign w:val="center"/>
                </w:tcPr>
                <w:p w14:paraId="43ED97B2">
                  <w:pPr>
                    <w:pStyle w:val="41"/>
                    <w:widowControl w:val="0"/>
                    <w:bidi w:val="0"/>
                    <w:jc w:val="center"/>
                    <w:rPr>
                      <w:rFonts w:hint="eastAsia"/>
                      <w:color w:val="auto"/>
                      <w:highlight w:val="none"/>
                      <w:lang w:val="en-US" w:eastAsia="zh-CN"/>
                    </w:rPr>
                  </w:pPr>
                </w:p>
              </w:tc>
              <w:tc>
                <w:tcPr>
                  <w:tcW w:w="758" w:type="pct"/>
                  <w:vMerge w:val="continue"/>
                  <w:tcBorders>
                    <w:tl2br w:val="nil"/>
                    <w:tr2bl w:val="nil"/>
                  </w:tcBorders>
                  <w:vAlign w:val="center"/>
                </w:tcPr>
                <w:p w14:paraId="4054367A">
                  <w:pPr>
                    <w:pStyle w:val="41"/>
                    <w:widowControl w:val="0"/>
                    <w:bidi w:val="0"/>
                    <w:jc w:val="center"/>
                    <w:rPr>
                      <w:rFonts w:hint="eastAsia"/>
                      <w:color w:val="auto"/>
                      <w:highlight w:val="none"/>
                      <w:lang w:val="en-US" w:eastAsia="zh-CN"/>
                    </w:rPr>
                  </w:pPr>
                </w:p>
              </w:tc>
              <w:tc>
                <w:tcPr>
                  <w:tcW w:w="978" w:type="pct"/>
                  <w:tcBorders>
                    <w:tl2br w:val="nil"/>
                    <w:tr2bl w:val="nil"/>
                  </w:tcBorders>
                  <w:shd w:val="clear" w:color="auto" w:fill="auto"/>
                  <w:vAlign w:val="center"/>
                </w:tcPr>
                <w:p w14:paraId="4FE93EB2">
                  <w:pPr>
                    <w:pStyle w:val="41"/>
                    <w:widowControl w:val="0"/>
                    <w:bidi w:val="0"/>
                    <w:ind w:firstLine="0" w:firstLineChars="0"/>
                    <w:jc w:val="center"/>
                    <w:rPr>
                      <w:rFonts w:hint="eastAsia" w:eastAsia="宋体"/>
                      <w:color w:val="auto"/>
                      <w:highlight w:val="none"/>
                      <w:lang w:val="en-US" w:eastAsia="zh-CN"/>
                    </w:rPr>
                  </w:pPr>
                  <w:r>
                    <w:rPr>
                      <w:rFonts w:hint="eastAsia" w:eastAsia="宋体"/>
                      <w:color w:val="auto"/>
                      <w:highlight w:val="none"/>
                      <w:lang w:val="en-US" w:eastAsia="zh-CN"/>
                    </w:rPr>
                    <w:t>乙酸乙酯</w:t>
                  </w:r>
                </w:p>
              </w:tc>
              <w:tc>
                <w:tcPr>
                  <w:tcW w:w="1062" w:type="pct"/>
                  <w:tcBorders>
                    <w:tl2br w:val="nil"/>
                    <w:tr2bl w:val="nil"/>
                  </w:tcBorders>
                  <w:shd w:val="clear" w:color="auto" w:fill="auto"/>
                  <w:vAlign w:val="center"/>
                </w:tcPr>
                <w:p w14:paraId="19F12E0D">
                  <w:pPr>
                    <w:pStyle w:val="41"/>
                    <w:widowControl w:val="0"/>
                    <w:bidi w:val="0"/>
                    <w:ind w:firstLine="0" w:firstLineChars="0"/>
                    <w:jc w:val="center"/>
                    <w:rPr>
                      <w:rFonts w:hint="default" w:eastAsia="宋体"/>
                      <w:color w:val="auto"/>
                      <w:highlight w:val="none"/>
                      <w:lang w:val="en-US" w:eastAsia="zh-CN"/>
                    </w:rPr>
                  </w:pPr>
                  <w:r>
                    <w:rPr>
                      <w:rFonts w:hint="eastAsia"/>
                      <w:color w:val="auto"/>
                      <w:highlight w:val="none"/>
                      <w:lang w:val="en-US" w:eastAsia="zh-CN"/>
                    </w:rPr>
                    <w:t>40</w:t>
                  </w:r>
                </w:p>
              </w:tc>
              <w:tc>
                <w:tcPr>
                  <w:tcW w:w="1709" w:type="pct"/>
                  <w:vMerge w:val="restart"/>
                  <w:tcBorders>
                    <w:tl2br w:val="nil"/>
                    <w:tr2bl w:val="nil"/>
                  </w:tcBorders>
                  <w:shd w:val="clear" w:color="auto" w:fill="auto"/>
                  <w:vAlign w:val="center"/>
                </w:tcPr>
                <w:p w14:paraId="7117C138">
                  <w:pPr>
                    <w:pStyle w:val="41"/>
                    <w:widowControl w:val="0"/>
                    <w:bidi w:val="0"/>
                    <w:jc w:val="center"/>
                    <w:rPr>
                      <w:rFonts w:hint="default" w:ascii="Times New Roman" w:hAnsi="Times New Roman" w:cs="Times New Roman"/>
                      <w:color w:val="auto"/>
                      <w:sz w:val="21"/>
                      <w:highlight w:val="none"/>
                      <w:lang w:val="zh-TW"/>
                    </w:rPr>
                  </w:pPr>
                  <w:r>
                    <w:rPr>
                      <w:rFonts w:hint="default" w:ascii="Times New Roman" w:hAnsi="Times New Roman" w:cs="Times New Roman"/>
                      <w:color w:val="auto"/>
                      <w:sz w:val="21"/>
                      <w:highlight w:val="none"/>
                      <w:lang w:val="zh-TW"/>
                    </w:rPr>
                    <w:t>《制药工业大气污染物排放标准》（DB32/4042-2021）</w:t>
                  </w:r>
                  <w:r>
                    <w:rPr>
                      <w:rFonts w:hint="eastAsia" w:cs="Times New Roman"/>
                      <w:color w:val="auto"/>
                      <w:sz w:val="21"/>
                      <w:highlight w:val="none"/>
                      <w:lang w:val="en-US" w:eastAsia="zh-CN"/>
                    </w:rPr>
                    <w:t>表2</w:t>
                  </w:r>
                </w:p>
              </w:tc>
            </w:tr>
            <w:tr w14:paraId="6A05179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90" w:type="pct"/>
                  <w:vMerge w:val="continue"/>
                  <w:tcBorders>
                    <w:tl2br w:val="nil"/>
                    <w:tr2bl w:val="nil"/>
                  </w:tcBorders>
                  <w:vAlign w:val="center"/>
                </w:tcPr>
                <w:p w14:paraId="7F819D9F">
                  <w:pPr>
                    <w:pStyle w:val="41"/>
                    <w:widowControl w:val="0"/>
                    <w:bidi w:val="0"/>
                    <w:jc w:val="center"/>
                    <w:rPr>
                      <w:rFonts w:hint="eastAsia"/>
                      <w:color w:val="auto"/>
                      <w:highlight w:val="none"/>
                      <w:lang w:val="en-US" w:eastAsia="zh-CN"/>
                    </w:rPr>
                  </w:pPr>
                </w:p>
              </w:tc>
              <w:tc>
                <w:tcPr>
                  <w:tcW w:w="758" w:type="pct"/>
                  <w:vMerge w:val="continue"/>
                  <w:tcBorders>
                    <w:tl2br w:val="nil"/>
                    <w:tr2bl w:val="nil"/>
                  </w:tcBorders>
                  <w:vAlign w:val="center"/>
                </w:tcPr>
                <w:p w14:paraId="34F4087E">
                  <w:pPr>
                    <w:pStyle w:val="41"/>
                    <w:widowControl w:val="0"/>
                    <w:bidi w:val="0"/>
                    <w:jc w:val="center"/>
                    <w:rPr>
                      <w:rFonts w:hint="eastAsia"/>
                      <w:color w:val="auto"/>
                      <w:highlight w:val="none"/>
                      <w:lang w:val="en-US" w:eastAsia="zh-CN"/>
                    </w:rPr>
                  </w:pPr>
                </w:p>
              </w:tc>
              <w:tc>
                <w:tcPr>
                  <w:tcW w:w="978" w:type="pct"/>
                  <w:tcBorders>
                    <w:tl2br w:val="nil"/>
                    <w:tr2bl w:val="nil"/>
                  </w:tcBorders>
                  <w:shd w:val="clear" w:color="auto" w:fill="auto"/>
                  <w:vAlign w:val="center"/>
                </w:tcPr>
                <w:p w14:paraId="0BFDCF13">
                  <w:pPr>
                    <w:pStyle w:val="41"/>
                    <w:widowControl w:val="0"/>
                    <w:bidi w:val="0"/>
                    <w:ind w:firstLine="0" w:firstLineChars="0"/>
                    <w:jc w:val="center"/>
                    <w:rPr>
                      <w:rFonts w:hint="eastAsia" w:eastAsia="宋体"/>
                      <w:color w:val="auto"/>
                      <w:highlight w:val="none"/>
                      <w:lang w:val="en-US" w:eastAsia="zh-CN"/>
                    </w:rPr>
                  </w:pPr>
                  <w:r>
                    <w:rPr>
                      <w:rFonts w:hint="eastAsia" w:eastAsia="宋体"/>
                      <w:color w:val="auto"/>
                      <w:highlight w:val="none"/>
                      <w:lang w:val="en-US" w:eastAsia="zh-CN"/>
                    </w:rPr>
                    <w:t>甲醇</w:t>
                  </w:r>
                </w:p>
              </w:tc>
              <w:tc>
                <w:tcPr>
                  <w:tcW w:w="1062" w:type="pct"/>
                  <w:tcBorders>
                    <w:tl2br w:val="nil"/>
                    <w:tr2bl w:val="nil"/>
                  </w:tcBorders>
                  <w:shd w:val="clear" w:color="auto" w:fill="auto"/>
                  <w:vAlign w:val="center"/>
                </w:tcPr>
                <w:p w14:paraId="5324C946">
                  <w:pPr>
                    <w:pStyle w:val="41"/>
                    <w:widowControl w:val="0"/>
                    <w:bidi w:val="0"/>
                    <w:ind w:firstLine="0" w:firstLineChars="0"/>
                    <w:jc w:val="center"/>
                    <w:rPr>
                      <w:rFonts w:hint="default" w:eastAsia="宋体"/>
                      <w:color w:val="auto"/>
                      <w:highlight w:val="none"/>
                      <w:lang w:val="en-US" w:eastAsia="zh-CN"/>
                    </w:rPr>
                  </w:pPr>
                  <w:r>
                    <w:rPr>
                      <w:rFonts w:hint="eastAsia"/>
                      <w:color w:val="auto"/>
                      <w:highlight w:val="none"/>
                      <w:lang w:val="en-US" w:eastAsia="zh-CN"/>
                    </w:rPr>
                    <w:t>50</w:t>
                  </w:r>
                </w:p>
              </w:tc>
              <w:tc>
                <w:tcPr>
                  <w:tcW w:w="1709" w:type="pct"/>
                  <w:vMerge w:val="continue"/>
                  <w:tcBorders>
                    <w:tl2br w:val="nil"/>
                    <w:tr2bl w:val="nil"/>
                  </w:tcBorders>
                  <w:shd w:val="clear" w:color="auto" w:fill="auto"/>
                  <w:vAlign w:val="center"/>
                </w:tcPr>
                <w:p w14:paraId="15BF7D70">
                  <w:pPr>
                    <w:pStyle w:val="41"/>
                    <w:widowControl w:val="0"/>
                    <w:bidi w:val="0"/>
                    <w:jc w:val="center"/>
                    <w:rPr>
                      <w:rFonts w:hint="default" w:ascii="Times New Roman" w:hAnsi="Times New Roman" w:cs="Times New Roman"/>
                      <w:color w:val="auto"/>
                      <w:sz w:val="21"/>
                      <w:highlight w:val="none"/>
                      <w:lang w:val="zh-TW"/>
                    </w:rPr>
                  </w:pPr>
                </w:p>
              </w:tc>
            </w:tr>
            <w:tr w14:paraId="394655D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0" w:hRule="atLeast"/>
              </w:trPr>
              <w:tc>
                <w:tcPr>
                  <w:tcW w:w="490" w:type="pct"/>
                  <w:vMerge w:val="continue"/>
                  <w:tcBorders>
                    <w:tl2br w:val="nil"/>
                    <w:tr2bl w:val="nil"/>
                  </w:tcBorders>
                  <w:vAlign w:val="center"/>
                </w:tcPr>
                <w:p w14:paraId="12E64218">
                  <w:pPr>
                    <w:pStyle w:val="41"/>
                    <w:widowControl w:val="0"/>
                    <w:bidi w:val="0"/>
                    <w:jc w:val="center"/>
                    <w:rPr>
                      <w:rFonts w:hint="eastAsia"/>
                      <w:color w:val="auto"/>
                      <w:highlight w:val="none"/>
                      <w:lang w:val="en-US" w:eastAsia="zh-CN"/>
                    </w:rPr>
                  </w:pPr>
                </w:p>
              </w:tc>
              <w:tc>
                <w:tcPr>
                  <w:tcW w:w="758" w:type="pct"/>
                  <w:vMerge w:val="continue"/>
                  <w:tcBorders>
                    <w:tl2br w:val="nil"/>
                    <w:tr2bl w:val="nil"/>
                  </w:tcBorders>
                  <w:vAlign w:val="center"/>
                </w:tcPr>
                <w:p w14:paraId="671164B0">
                  <w:pPr>
                    <w:pStyle w:val="41"/>
                    <w:widowControl w:val="0"/>
                    <w:bidi w:val="0"/>
                    <w:jc w:val="center"/>
                    <w:rPr>
                      <w:rFonts w:hint="eastAsia"/>
                      <w:color w:val="auto"/>
                      <w:highlight w:val="none"/>
                      <w:lang w:val="en-US" w:eastAsia="zh-CN"/>
                    </w:rPr>
                  </w:pPr>
                </w:p>
              </w:tc>
              <w:tc>
                <w:tcPr>
                  <w:tcW w:w="978" w:type="pct"/>
                  <w:tcBorders>
                    <w:tl2br w:val="nil"/>
                    <w:tr2bl w:val="nil"/>
                  </w:tcBorders>
                  <w:shd w:val="clear" w:color="auto" w:fill="auto"/>
                  <w:vAlign w:val="center"/>
                </w:tcPr>
                <w:p w14:paraId="6D2F34D5">
                  <w:pPr>
                    <w:pStyle w:val="41"/>
                    <w:widowControl w:val="0"/>
                    <w:bidi w:val="0"/>
                    <w:ind w:firstLine="0" w:firstLineChars="0"/>
                    <w:jc w:val="center"/>
                    <w:rPr>
                      <w:rFonts w:hint="eastAsia" w:eastAsia="宋体"/>
                      <w:color w:val="auto"/>
                      <w:highlight w:val="none"/>
                      <w:lang w:val="en-US" w:eastAsia="zh-CN"/>
                    </w:rPr>
                  </w:pPr>
                  <w:r>
                    <w:rPr>
                      <w:rFonts w:hint="eastAsia" w:eastAsia="宋体"/>
                      <w:color w:val="auto"/>
                      <w:highlight w:val="none"/>
                      <w:lang w:val="en-US" w:eastAsia="zh-CN"/>
                    </w:rPr>
                    <w:t>二氯甲烷</w:t>
                  </w:r>
                </w:p>
              </w:tc>
              <w:tc>
                <w:tcPr>
                  <w:tcW w:w="1062" w:type="pct"/>
                  <w:tcBorders>
                    <w:tl2br w:val="nil"/>
                    <w:tr2bl w:val="nil"/>
                  </w:tcBorders>
                  <w:shd w:val="clear" w:color="auto" w:fill="auto"/>
                  <w:vAlign w:val="center"/>
                </w:tcPr>
                <w:p w14:paraId="02AAC456">
                  <w:pPr>
                    <w:pStyle w:val="41"/>
                    <w:widowControl w:val="0"/>
                    <w:bidi w:val="0"/>
                    <w:ind w:firstLine="0" w:firstLineChars="0"/>
                    <w:jc w:val="center"/>
                    <w:rPr>
                      <w:rFonts w:hint="default" w:eastAsia="宋体"/>
                      <w:color w:val="auto"/>
                      <w:highlight w:val="none"/>
                      <w:lang w:val="en-US" w:eastAsia="zh-CN"/>
                    </w:rPr>
                  </w:pPr>
                  <w:r>
                    <w:rPr>
                      <w:rFonts w:hint="eastAsia"/>
                      <w:color w:val="auto"/>
                      <w:highlight w:val="none"/>
                      <w:lang w:val="en-US" w:eastAsia="zh-CN"/>
                    </w:rPr>
                    <w:t>20</w:t>
                  </w:r>
                </w:p>
              </w:tc>
              <w:tc>
                <w:tcPr>
                  <w:tcW w:w="1709" w:type="pct"/>
                  <w:vMerge w:val="continue"/>
                  <w:tcBorders>
                    <w:tl2br w:val="nil"/>
                    <w:tr2bl w:val="nil"/>
                  </w:tcBorders>
                  <w:shd w:val="clear" w:color="auto" w:fill="auto"/>
                  <w:vAlign w:val="center"/>
                </w:tcPr>
                <w:p w14:paraId="49DF8160">
                  <w:pPr>
                    <w:pStyle w:val="41"/>
                    <w:widowControl w:val="0"/>
                    <w:bidi w:val="0"/>
                    <w:jc w:val="center"/>
                    <w:rPr>
                      <w:rFonts w:hint="default" w:ascii="Times New Roman" w:hAnsi="Times New Roman" w:cs="Times New Roman"/>
                      <w:color w:val="auto"/>
                      <w:sz w:val="21"/>
                      <w:highlight w:val="none"/>
                      <w:lang w:val="zh-TW"/>
                    </w:rPr>
                  </w:pPr>
                </w:p>
              </w:tc>
            </w:tr>
            <w:tr w14:paraId="5C40D4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90" w:type="pct"/>
                  <w:vMerge w:val="continue"/>
                  <w:tcBorders>
                    <w:tl2br w:val="nil"/>
                    <w:tr2bl w:val="nil"/>
                  </w:tcBorders>
                  <w:vAlign w:val="center"/>
                </w:tcPr>
                <w:p w14:paraId="58FC6A62">
                  <w:pPr>
                    <w:pStyle w:val="41"/>
                    <w:widowControl w:val="0"/>
                    <w:bidi w:val="0"/>
                    <w:jc w:val="center"/>
                    <w:rPr>
                      <w:rFonts w:hint="eastAsia"/>
                      <w:color w:val="auto"/>
                      <w:highlight w:val="none"/>
                      <w:lang w:val="en-US" w:eastAsia="zh-CN"/>
                    </w:rPr>
                  </w:pPr>
                </w:p>
              </w:tc>
              <w:tc>
                <w:tcPr>
                  <w:tcW w:w="758" w:type="pct"/>
                  <w:vMerge w:val="continue"/>
                  <w:tcBorders>
                    <w:tl2br w:val="nil"/>
                    <w:tr2bl w:val="nil"/>
                  </w:tcBorders>
                  <w:vAlign w:val="center"/>
                </w:tcPr>
                <w:p w14:paraId="5F6F188A">
                  <w:pPr>
                    <w:pStyle w:val="41"/>
                    <w:widowControl w:val="0"/>
                    <w:bidi w:val="0"/>
                    <w:jc w:val="center"/>
                    <w:rPr>
                      <w:rFonts w:hint="eastAsia"/>
                      <w:color w:val="auto"/>
                      <w:highlight w:val="none"/>
                      <w:lang w:val="en-US" w:eastAsia="zh-CN"/>
                    </w:rPr>
                  </w:pPr>
                </w:p>
              </w:tc>
              <w:tc>
                <w:tcPr>
                  <w:tcW w:w="978" w:type="pct"/>
                  <w:tcBorders>
                    <w:tl2br w:val="nil"/>
                    <w:tr2bl w:val="nil"/>
                  </w:tcBorders>
                  <w:shd w:val="clear" w:color="auto" w:fill="auto"/>
                  <w:vAlign w:val="center"/>
                </w:tcPr>
                <w:p w14:paraId="2F293589">
                  <w:pPr>
                    <w:pStyle w:val="41"/>
                    <w:widowControl w:val="0"/>
                    <w:bidi w:val="0"/>
                    <w:ind w:firstLine="0" w:firstLineChars="0"/>
                    <w:jc w:val="center"/>
                    <w:rPr>
                      <w:rFonts w:hint="eastAsia" w:eastAsia="宋体"/>
                      <w:color w:val="auto"/>
                      <w:highlight w:val="none"/>
                      <w:lang w:val="en-US" w:eastAsia="zh-CN"/>
                    </w:rPr>
                  </w:pPr>
                  <w:r>
                    <w:rPr>
                      <w:rFonts w:hint="eastAsia" w:eastAsia="宋体"/>
                      <w:color w:val="auto"/>
                      <w:highlight w:val="none"/>
                      <w:lang w:val="en-US" w:eastAsia="zh-CN"/>
                    </w:rPr>
                    <w:t>乙腈</w:t>
                  </w:r>
                </w:p>
              </w:tc>
              <w:tc>
                <w:tcPr>
                  <w:tcW w:w="1062" w:type="pct"/>
                  <w:tcBorders>
                    <w:tl2br w:val="nil"/>
                    <w:tr2bl w:val="nil"/>
                  </w:tcBorders>
                  <w:shd w:val="clear" w:color="auto" w:fill="auto"/>
                  <w:vAlign w:val="center"/>
                </w:tcPr>
                <w:p w14:paraId="25A803A7">
                  <w:pPr>
                    <w:pStyle w:val="41"/>
                    <w:widowControl w:val="0"/>
                    <w:bidi w:val="0"/>
                    <w:ind w:firstLine="0" w:firstLineChars="0"/>
                    <w:jc w:val="center"/>
                    <w:rPr>
                      <w:rFonts w:hint="default" w:eastAsia="宋体"/>
                      <w:color w:val="auto"/>
                      <w:highlight w:val="none"/>
                      <w:lang w:val="en-US" w:eastAsia="zh-CN"/>
                    </w:rPr>
                  </w:pPr>
                  <w:r>
                    <w:rPr>
                      <w:rFonts w:hint="eastAsia"/>
                      <w:color w:val="auto"/>
                      <w:highlight w:val="none"/>
                      <w:lang w:val="en-US" w:eastAsia="zh-CN"/>
                    </w:rPr>
                    <w:t>20</w:t>
                  </w:r>
                </w:p>
              </w:tc>
              <w:tc>
                <w:tcPr>
                  <w:tcW w:w="1709" w:type="pct"/>
                  <w:vMerge w:val="continue"/>
                  <w:tcBorders>
                    <w:tl2br w:val="nil"/>
                    <w:tr2bl w:val="nil"/>
                  </w:tcBorders>
                  <w:shd w:val="clear" w:color="auto" w:fill="auto"/>
                  <w:vAlign w:val="center"/>
                </w:tcPr>
                <w:p w14:paraId="02F4AB97">
                  <w:pPr>
                    <w:pStyle w:val="41"/>
                    <w:widowControl w:val="0"/>
                    <w:bidi w:val="0"/>
                    <w:jc w:val="center"/>
                    <w:rPr>
                      <w:rFonts w:hint="default" w:ascii="Times New Roman" w:hAnsi="Times New Roman" w:cs="Times New Roman"/>
                      <w:color w:val="auto"/>
                      <w:sz w:val="21"/>
                      <w:highlight w:val="none"/>
                      <w:lang w:val="zh-TW"/>
                    </w:rPr>
                  </w:pPr>
                </w:p>
              </w:tc>
            </w:tr>
            <w:tr w14:paraId="28E2E5A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90" w:type="pct"/>
                  <w:vMerge w:val="continue"/>
                  <w:tcBorders>
                    <w:tl2br w:val="nil"/>
                    <w:tr2bl w:val="nil"/>
                  </w:tcBorders>
                  <w:vAlign w:val="center"/>
                </w:tcPr>
                <w:p w14:paraId="59581D6C">
                  <w:pPr>
                    <w:pStyle w:val="41"/>
                    <w:widowControl w:val="0"/>
                    <w:bidi w:val="0"/>
                    <w:jc w:val="center"/>
                    <w:rPr>
                      <w:rFonts w:hint="eastAsia"/>
                      <w:color w:val="auto"/>
                      <w:highlight w:val="none"/>
                      <w:lang w:val="en-US" w:eastAsia="zh-CN"/>
                    </w:rPr>
                  </w:pPr>
                </w:p>
              </w:tc>
              <w:tc>
                <w:tcPr>
                  <w:tcW w:w="758" w:type="pct"/>
                  <w:vMerge w:val="continue"/>
                  <w:tcBorders>
                    <w:tl2br w:val="nil"/>
                    <w:tr2bl w:val="nil"/>
                  </w:tcBorders>
                  <w:vAlign w:val="center"/>
                </w:tcPr>
                <w:p w14:paraId="126F60F8">
                  <w:pPr>
                    <w:pStyle w:val="41"/>
                    <w:widowControl w:val="0"/>
                    <w:bidi w:val="0"/>
                    <w:jc w:val="center"/>
                    <w:rPr>
                      <w:rFonts w:hint="eastAsia"/>
                      <w:color w:val="auto"/>
                      <w:highlight w:val="none"/>
                      <w:lang w:val="en-US" w:eastAsia="zh-CN"/>
                    </w:rPr>
                  </w:pPr>
                </w:p>
              </w:tc>
              <w:tc>
                <w:tcPr>
                  <w:tcW w:w="978" w:type="pct"/>
                  <w:tcBorders>
                    <w:tl2br w:val="nil"/>
                    <w:tr2bl w:val="nil"/>
                  </w:tcBorders>
                  <w:shd w:val="clear" w:color="auto" w:fill="auto"/>
                  <w:vAlign w:val="center"/>
                </w:tcPr>
                <w:p w14:paraId="36876F48">
                  <w:pPr>
                    <w:pStyle w:val="41"/>
                    <w:widowControl w:val="0"/>
                    <w:bidi w:val="0"/>
                    <w:ind w:firstLine="0" w:firstLineChars="0"/>
                    <w:jc w:val="center"/>
                    <w:rPr>
                      <w:rFonts w:hint="eastAsia" w:eastAsia="宋体"/>
                      <w:color w:val="auto"/>
                      <w:highlight w:val="none"/>
                      <w:lang w:val="en-US" w:eastAsia="zh-CN"/>
                    </w:rPr>
                  </w:pPr>
                  <w:r>
                    <w:rPr>
                      <w:rFonts w:hint="eastAsia" w:eastAsia="宋体"/>
                      <w:color w:val="auto"/>
                      <w:highlight w:val="none"/>
                      <w:lang w:val="en-US" w:eastAsia="zh-CN"/>
                    </w:rPr>
                    <w:t>氨</w:t>
                  </w:r>
                </w:p>
              </w:tc>
              <w:tc>
                <w:tcPr>
                  <w:tcW w:w="1062" w:type="pct"/>
                  <w:tcBorders>
                    <w:tl2br w:val="nil"/>
                    <w:tr2bl w:val="nil"/>
                  </w:tcBorders>
                  <w:shd w:val="clear" w:color="auto" w:fill="auto"/>
                  <w:vAlign w:val="center"/>
                </w:tcPr>
                <w:p w14:paraId="4D54B08C">
                  <w:pPr>
                    <w:pStyle w:val="41"/>
                    <w:widowControl w:val="0"/>
                    <w:bidi w:val="0"/>
                    <w:ind w:firstLine="0" w:firstLineChars="0"/>
                    <w:jc w:val="center"/>
                    <w:rPr>
                      <w:rFonts w:hint="default" w:eastAsia="宋体"/>
                      <w:color w:val="auto"/>
                      <w:highlight w:val="none"/>
                      <w:lang w:val="en-US" w:eastAsia="zh-CN"/>
                    </w:rPr>
                  </w:pPr>
                  <w:r>
                    <w:rPr>
                      <w:rFonts w:hint="eastAsia"/>
                      <w:color w:val="auto"/>
                      <w:highlight w:val="none"/>
                      <w:lang w:val="en-US" w:eastAsia="zh-CN"/>
                    </w:rPr>
                    <w:t>10</w:t>
                  </w:r>
                </w:p>
              </w:tc>
              <w:tc>
                <w:tcPr>
                  <w:tcW w:w="1709" w:type="pct"/>
                  <w:vMerge w:val="continue"/>
                  <w:tcBorders>
                    <w:tl2br w:val="nil"/>
                    <w:tr2bl w:val="nil"/>
                  </w:tcBorders>
                  <w:shd w:val="clear" w:color="auto" w:fill="auto"/>
                  <w:vAlign w:val="center"/>
                </w:tcPr>
                <w:p w14:paraId="190EE81F">
                  <w:pPr>
                    <w:pStyle w:val="41"/>
                    <w:widowControl w:val="0"/>
                    <w:bidi w:val="0"/>
                    <w:jc w:val="center"/>
                    <w:rPr>
                      <w:rFonts w:hint="default" w:ascii="Times New Roman" w:hAnsi="Times New Roman" w:cs="Times New Roman"/>
                      <w:color w:val="auto"/>
                      <w:sz w:val="21"/>
                      <w:highlight w:val="none"/>
                      <w:lang w:val="zh-TW"/>
                    </w:rPr>
                  </w:pPr>
                </w:p>
              </w:tc>
            </w:tr>
            <w:tr w14:paraId="0A50088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90" w:type="pct"/>
                  <w:vMerge w:val="restart"/>
                  <w:tcBorders>
                    <w:tl2br w:val="nil"/>
                    <w:tr2bl w:val="nil"/>
                  </w:tcBorders>
                  <w:vAlign w:val="center"/>
                </w:tcPr>
                <w:p w14:paraId="6FA7FEB8">
                  <w:pPr>
                    <w:pStyle w:val="41"/>
                    <w:widowControl w:val="0"/>
                    <w:bidi w:val="0"/>
                    <w:jc w:val="center"/>
                    <w:rPr>
                      <w:rFonts w:hint="default" w:eastAsia="宋体"/>
                      <w:color w:val="auto"/>
                      <w:highlight w:val="none"/>
                      <w:lang w:val="en-US" w:eastAsia="zh-CN"/>
                    </w:rPr>
                  </w:pPr>
                  <w:r>
                    <w:rPr>
                      <w:rFonts w:hint="eastAsia"/>
                      <w:color w:val="auto"/>
                      <w:highlight w:val="none"/>
                      <w:lang w:val="en-US" w:eastAsia="zh-CN"/>
                    </w:rPr>
                    <w:t>DA007</w:t>
                  </w:r>
                </w:p>
              </w:tc>
              <w:tc>
                <w:tcPr>
                  <w:tcW w:w="758" w:type="pct"/>
                  <w:vMerge w:val="restart"/>
                  <w:tcBorders>
                    <w:tl2br w:val="nil"/>
                    <w:tr2bl w:val="nil"/>
                  </w:tcBorders>
                  <w:vAlign w:val="center"/>
                </w:tcPr>
                <w:p w14:paraId="10E3F6B0">
                  <w:pPr>
                    <w:pStyle w:val="41"/>
                    <w:widowControl w:val="0"/>
                    <w:bidi w:val="0"/>
                    <w:jc w:val="center"/>
                    <w:rPr>
                      <w:rFonts w:hint="eastAsia"/>
                      <w:color w:val="auto"/>
                      <w:highlight w:val="none"/>
                      <w:lang w:val="en-US" w:eastAsia="zh-CN"/>
                    </w:rPr>
                  </w:pPr>
                  <w:r>
                    <w:rPr>
                      <w:rFonts w:hint="eastAsia"/>
                      <w:color w:val="auto"/>
                      <w:highlight w:val="none"/>
                      <w:lang w:val="en-US" w:eastAsia="zh-CN"/>
                    </w:rPr>
                    <w:t>污水站</w:t>
                  </w:r>
                </w:p>
              </w:tc>
              <w:tc>
                <w:tcPr>
                  <w:tcW w:w="978" w:type="pct"/>
                  <w:tcBorders>
                    <w:tl2br w:val="nil"/>
                    <w:tr2bl w:val="nil"/>
                  </w:tcBorders>
                  <w:vAlign w:val="center"/>
                </w:tcPr>
                <w:p w14:paraId="55239AE3">
                  <w:pPr>
                    <w:pStyle w:val="41"/>
                    <w:widowControl w:val="0"/>
                    <w:bidi w:val="0"/>
                    <w:jc w:val="center"/>
                    <w:rPr>
                      <w:rFonts w:hint="eastAsia" w:eastAsia="宋体"/>
                      <w:color w:val="auto"/>
                      <w:highlight w:val="none"/>
                      <w:lang w:eastAsia="zh-CN"/>
                    </w:rPr>
                  </w:pPr>
                  <w:r>
                    <w:rPr>
                      <w:rFonts w:hint="eastAsia"/>
                      <w:color w:val="auto"/>
                      <w:highlight w:val="none"/>
                      <w:lang w:val="en-US" w:eastAsia="zh-CN"/>
                    </w:rPr>
                    <w:t>氨</w:t>
                  </w:r>
                </w:p>
              </w:tc>
              <w:tc>
                <w:tcPr>
                  <w:tcW w:w="1062" w:type="pct"/>
                  <w:tcBorders>
                    <w:tl2br w:val="nil"/>
                    <w:tr2bl w:val="nil"/>
                  </w:tcBorders>
                  <w:vAlign w:val="center"/>
                </w:tcPr>
                <w:p w14:paraId="163D7175">
                  <w:pPr>
                    <w:pStyle w:val="41"/>
                    <w:widowControl w:val="0"/>
                    <w:bidi w:val="0"/>
                    <w:jc w:val="center"/>
                    <w:rPr>
                      <w:rFonts w:hint="default" w:eastAsia="宋体"/>
                      <w:color w:val="auto"/>
                      <w:highlight w:val="none"/>
                      <w:lang w:val="en-US" w:eastAsia="zh-CN"/>
                    </w:rPr>
                  </w:pPr>
                  <w:r>
                    <w:rPr>
                      <w:rFonts w:hint="eastAsia"/>
                      <w:color w:val="auto"/>
                      <w:highlight w:val="none"/>
                      <w:lang w:val="en-US" w:eastAsia="zh-CN"/>
                    </w:rPr>
                    <w:t>20</w:t>
                  </w:r>
                </w:p>
              </w:tc>
              <w:tc>
                <w:tcPr>
                  <w:tcW w:w="1709" w:type="pct"/>
                  <w:vMerge w:val="restart"/>
                  <w:tcBorders>
                    <w:tl2br w:val="nil"/>
                    <w:tr2bl w:val="nil"/>
                  </w:tcBorders>
                  <w:vAlign w:val="center"/>
                </w:tcPr>
                <w:p w14:paraId="017C19CA">
                  <w:pPr>
                    <w:pStyle w:val="41"/>
                    <w:widowControl w:val="0"/>
                    <w:bidi w:val="0"/>
                    <w:jc w:val="center"/>
                    <w:rPr>
                      <w:rFonts w:hint="default" w:eastAsia="宋体"/>
                      <w:color w:val="auto"/>
                      <w:highlight w:val="none"/>
                      <w:lang w:val="en-US" w:eastAsia="zh-CN"/>
                    </w:rPr>
                  </w:pPr>
                  <w:r>
                    <w:rPr>
                      <w:rFonts w:hint="default" w:ascii="Times New Roman" w:hAnsi="Times New Roman" w:cs="Times New Roman"/>
                      <w:color w:val="auto"/>
                      <w:sz w:val="21"/>
                      <w:highlight w:val="none"/>
                      <w:lang w:val="zh-TW"/>
                    </w:rPr>
                    <w:t>《制药工业大气污染物排放标准》（DB32/4042-2021）</w:t>
                  </w:r>
                  <w:r>
                    <w:rPr>
                      <w:rFonts w:hint="eastAsia" w:cs="Times New Roman"/>
                      <w:color w:val="auto"/>
                      <w:sz w:val="21"/>
                      <w:highlight w:val="none"/>
                      <w:lang w:val="en-US" w:eastAsia="zh-CN"/>
                    </w:rPr>
                    <w:t>表3</w:t>
                  </w:r>
                </w:p>
              </w:tc>
            </w:tr>
            <w:tr w14:paraId="3E9B8D0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90" w:type="pct"/>
                  <w:vMerge w:val="continue"/>
                  <w:tcBorders>
                    <w:tl2br w:val="nil"/>
                    <w:tr2bl w:val="nil"/>
                  </w:tcBorders>
                  <w:vAlign w:val="center"/>
                </w:tcPr>
                <w:p w14:paraId="28A30D25">
                  <w:pPr>
                    <w:pStyle w:val="41"/>
                    <w:widowControl w:val="0"/>
                    <w:bidi w:val="0"/>
                    <w:jc w:val="center"/>
                    <w:rPr>
                      <w:color w:val="auto"/>
                      <w:highlight w:val="none"/>
                    </w:rPr>
                  </w:pPr>
                </w:p>
              </w:tc>
              <w:tc>
                <w:tcPr>
                  <w:tcW w:w="758" w:type="pct"/>
                  <w:vMerge w:val="continue"/>
                  <w:tcBorders>
                    <w:tl2br w:val="nil"/>
                    <w:tr2bl w:val="nil"/>
                  </w:tcBorders>
                  <w:vAlign w:val="center"/>
                </w:tcPr>
                <w:p w14:paraId="6793DEE9">
                  <w:pPr>
                    <w:pStyle w:val="41"/>
                    <w:widowControl w:val="0"/>
                    <w:bidi w:val="0"/>
                    <w:jc w:val="center"/>
                    <w:rPr>
                      <w:color w:val="auto"/>
                      <w:highlight w:val="none"/>
                    </w:rPr>
                  </w:pPr>
                </w:p>
              </w:tc>
              <w:tc>
                <w:tcPr>
                  <w:tcW w:w="978" w:type="pct"/>
                  <w:tcBorders>
                    <w:tl2br w:val="nil"/>
                    <w:tr2bl w:val="nil"/>
                  </w:tcBorders>
                  <w:vAlign w:val="center"/>
                </w:tcPr>
                <w:p w14:paraId="377A31DB">
                  <w:pPr>
                    <w:pStyle w:val="41"/>
                    <w:widowControl w:val="0"/>
                    <w:bidi w:val="0"/>
                    <w:jc w:val="center"/>
                    <w:rPr>
                      <w:rFonts w:hint="eastAsia" w:eastAsia="宋体"/>
                      <w:color w:val="auto"/>
                      <w:highlight w:val="none"/>
                      <w:lang w:eastAsia="zh-CN"/>
                    </w:rPr>
                  </w:pPr>
                  <w:r>
                    <w:rPr>
                      <w:rFonts w:hint="eastAsia"/>
                      <w:color w:val="auto"/>
                      <w:highlight w:val="none"/>
                      <w:lang w:val="en-US" w:eastAsia="zh-CN"/>
                    </w:rPr>
                    <w:t>硫化氢</w:t>
                  </w:r>
                </w:p>
              </w:tc>
              <w:tc>
                <w:tcPr>
                  <w:tcW w:w="1062" w:type="pct"/>
                  <w:tcBorders>
                    <w:tl2br w:val="nil"/>
                    <w:tr2bl w:val="nil"/>
                  </w:tcBorders>
                  <w:vAlign w:val="center"/>
                </w:tcPr>
                <w:p w14:paraId="43462DA5">
                  <w:pPr>
                    <w:pStyle w:val="41"/>
                    <w:widowControl w:val="0"/>
                    <w:bidi w:val="0"/>
                    <w:jc w:val="center"/>
                    <w:rPr>
                      <w:rFonts w:hint="eastAsia" w:eastAsia="宋体"/>
                      <w:color w:val="auto"/>
                      <w:highlight w:val="none"/>
                      <w:lang w:eastAsia="zh-CN"/>
                    </w:rPr>
                  </w:pPr>
                  <w:r>
                    <w:rPr>
                      <w:rFonts w:hint="eastAsia"/>
                      <w:color w:val="auto"/>
                      <w:highlight w:val="none"/>
                      <w:lang w:val="en-US" w:eastAsia="zh-CN"/>
                    </w:rPr>
                    <w:t>5</w:t>
                  </w:r>
                </w:p>
              </w:tc>
              <w:tc>
                <w:tcPr>
                  <w:tcW w:w="1709" w:type="pct"/>
                  <w:vMerge w:val="continue"/>
                  <w:tcBorders>
                    <w:tl2br w:val="nil"/>
                    <w:tr2bl w:val="nil"/>
                  </w:tcBorders>
                  <w:vAlign w:val="center"/>
                </w:tcPr>
                <w:p w14:paraId="5C78FB6F">
                  <w:pPr>
                    <w:pStyle w:val="41"/>
                    <w:widowControl w:val="0"/>
                    <w:bidi w:val="0"/>
                    <w:jc w:val="center"/>
                    <w:rPr>
                      <w:color w:val="auto"/>
                      <w:highlight w:val="none"/>
                    </w:rPr>
                  </w:pPr>
                </w:p>
              </w:tc>
            </w:tr>
            <w:tr w14:paraId="6ED0F2D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2" w:hRule="atLeast"/>
              </w:trPr>
              <w:tc>
                <w:tcPr>
                  <w:tcW w:w="490" w:type="pct"/>
                  <w:vMerge w:val="continue"/>
                  <w:tcBorders>
                    <w:tl2br w:val="nil"/>
                    <w:tr2bl w:val="nil"/>
                  </w:tcBorders>
                  <w:vAlign w:val="center"/>
                </w:tcPr>
                <w:p w14:paraId="3F06AC82">
                  <w:pPr>
                    <w:pStyle w:val="41"/>
                    <w:widowControl w:val="0"/>
                    <w:bidi w:val="0"/>
                    <w:ind w:firstLine="0" w:firstLineChars="0"/>
                    <w:jc w:val="center"/>
                    <w:rPr>
                      <w:color w:val="auto"/>
                      <w:highlight w:val="none"/>
                    </w:rPr>
                  </w:pPr>
                </w:p>
              </w:tc>
              <w:tc>
                <w:tcPr>
                  <w:tcW w:w="758" w:type="pct"/>
                  <w:vMerge w:val="continue"/>
                  <w:tcBorders>
                    <w:tl2br w:val="nil"/>
                    <w:tr2bl w:val="nil"/>
                  </w:tcBorders>
                  <w:vAlign w:val="center"/>
                </w:tcPr>
                <w:p w14:paraId="05FCCC21">
                  <w:pPr>
                    <w:pStyle w:val="41"/>
                    <w:widowControl w:val="0"/>
                    <w:bidi w:val="0"/>
                    <w:ind w:firstLine="0" w:firstLineChars="0"/>
                    <w:jc w:val="center"/>
                    <w:rPr>
                      <w:color w:val="auto"/>
                      <w:highlight w:val="none"/>
                    </w:rPr>
                  </w:pPr>
                </w:p>
              </w:tc>
              <w:tc>
                <w:tcPr>
                  <w:tcW w:w="978" w:type="pct"/>
                  <w:tcBorders>
                    <w:tl2br w:val="nil"/>
                    <w:tr2bl w:val="nil"/>
                  </w:tcBorders>
                  <w:vAlign w:val="center"/>
                </w:tcPr>
                <w:p w14:paraId="39FA2CEB">
                  <w:pPr>
                    <w:pStyle w:val="41"/>
                    <w:widowControl w:val="0"/>
                    <w:bidi w:val="0"/>
                    <w:ind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eastAsia="宋体"/>
                      <w:color w:val="auto"/>
                      <w:highlight w:val="none"/>
                      <w:lang w:val="en-US" w:eastAsia="zh-CN"/>
                    </w:rPr>
                    <w:t>臭气浓度</w:t>
                  </w:r>
                </w:p>
              </w:tc>
              <w:tc>
                <w:tcPr>
                  <w:tcW w:w="1062" w:type="pct"/>
                  <w:tcBorders>
                    <w:tl2br w:val="nil"/>
                    <w:tr2bl w:val="nil"/>
                  </w:tcBorders>
                  <w:vAlign w:val="center"/>
                </w:tcPr>
                <w:p w14:paraId="3F5D82BC">
                  <w:pPr>
                    <w:pStyle w:val="41"/>
                    <w:widowControl w:val="0"/>
                    <w:bidi w:val="0"/>
                    <w:ind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eastAsia="宋体"/>
                      <w:color w:val="auto"/>
                      <w:highlight w:val="none"/>
                      <w:lang w:val="en-US" w:eastAsia="zh-CN"/>
                    </w:rPr>
                    <w:t>1000</w:t>
                  </w:r>
                  <w:r>
                    <w:rPr>
                      <w:rFonts w:hint="eastAsia"/>
                      <w:color w:val="auto"/>
                      <w:highlight w:val="none"/>
                      <w:lang w:eastAsia="zh-CN"/>
                    </w:rPr>
                    <w:t>（</w:t>
                  </w:r>
                  <w:r>
                    <w:rPr>
                      <w:rFonts w:hint="eastAsia"/>
                      <w:color w:val="auto"/>
                      <w:highlight w:val="none"/>
                      <w:lang w:val="en-US" w:eastAsia="zh-CN"/>
                    </w:rPr>
                    <w:t>无量纲，最大一次值</w:t>
                  </w:r>
                  <w:r>
                    <w:rPr>
                      <w:rFonts w:hint="eastAsia"/>
                      <w:color w:val="auto"/>
                      <w:highlight w:val="none"/>
                      <w:lang w:eastAsia="zh-CN"/>
                    </w:rPr>
                    <w:t>）</w:t>
                  </w:r>
                </w:p>
              </w:tc>
              <w:tc>
                <w:tcPr>
                  <w:tcW w:w="1709" w:type="pct"/>
                  <w:vMerge w:val="continue"/>
                  <w:tcBorders>
                    <w:tl2br w:val="nil"/>
                    <w:tr2bl w:val="nil"/>
                  </w:tcBorders>
                  <w:vAlign w:val="center"/>
                </w:tcPr>
                <w:p w14:paraId="66B61174">
                  <w:pPr>
                    <w:pStyle w:val="41"/>
                    <w:widowControl w:val="0"/>
                    <w:bidi w:val="0"/>
                    <w:jc w:val="center"/>
                    <w:rPr>
                      <w:color w:val="auto"/>
                      <w:highlight w:val="none"/>
                    </w:rPr>
                  </w:pPr>
                </w:p>
              </w:tc>
            </w:tr>
          </w:tbl>
          <w:p w14:paraId="6110D256">
            <w:pPr>
              <w:pStyle w:val="41"/>
              <w:bidi w:val="0"/>
              <w:rPr>
                <w:color w:val="auto"/>
                <w:highlight w:val="none"/>
              </w:rPr>
            </w:pPr>
          </w:p>
          <w:p w14:paraId="56DD7C97">
            <w:pPr>
              <w:bidi w:val="0"/>
              <w:ind w:firstLine="480" w:firstLineChars="200"/>
              <w:rPr>
                <w:rFonts w:hint="eastAsia" w:cs="Times New Roman"/>
                <w:color w:val="auto"/>
                <w:szCs w:val="28"/>
                <w:highlight w:val="none"/>
                <w:lang w:val="en-US" w:eastAsia="zh-CN"/>
              </w:rPr>
            </w:pPr>
            <w:r>
              <w:rPr>
                <w:rFonts w:hint="eastAsia" w:cs="Times New Roman"/>
                <w:color w:val="auto"/>
                <w:szCs w:val="28"/>
                <w:highlight w:val="none"/>
              </w:rPr>
              <w:t>厂界</w:t>
            </w:r>
            <w:r>
              <w:rPr>
                <w:rFonts w:hint="eastAsia" w:cs="Times New Roman"/>
                <w:color w:val="auto"/>
                <w:szCs w:val="28"/>
                <w:highlight w:val="none"/>
                <w:lang w:val="en-US" w:eastAsia="zh-CN"/>
              </w:rPr>
              <w:t>臭气浓度</w:t>
            </w:r>
            <w:r>
              <w:rPr>
                <w:rFonts w:hint="eastAsia" w:cs="Times New Roman"/>
                <w:color w:val="auto"/>
                <w:szCs w:val="28"/>
                <w:highlight w:val="none"/>
              </w:rPr>
              <w:t>无组织</w:t>
            </w:r>
            <w:r>
              <w:rPr>
                <w:rFonts w:hint="eastAsia" w:cs="Times New Roman"/>
                <w:color w:val="auto"/>
                <w:szCs w:val="28"/>
                <w:highlight w:val="none"/>
                <w:lang w:val="en-US" w:eastAsia="zh-CN"/>
              </w:rPr>
              <w:t>排放</w:t>
            </w:r>
            <w:r>
              <w:rPr>
                <w:rFonts w:hint="eastAsia" w:cs="Times New Roman"/>
                <w:color w:val="auto"/>
                <w:szCs w:val="28"/>
                <w:highlight w:val="none"/>
              </w:rPr>
              <w:t>执行</w:t>
            </w:r>
            <w:r>
              <w:rPr>
                <w:rFonts w:cs="Times New Roman"/>
                <w:color w:val="auto"/>
                <w:szCs w:val="28"/>
                <w:highlight w:val="none"/>
                <w:lang w:val="zh-TW"/>
              </w:rPr>
              <w:t>《制药工业大气污染物排放标准》（DB32</w:t>
            </w:r>
            <w:r>
              <w:rPr>
                <w:rFonts w:eastAsia="PMingLiU" w:cs="Times New Roman"/>
                <w:color w:val="auto"/>
                <w:szCs w:val="28"/>
                <w:highlight w:val="none"/>
                <w:lang w:val="zh-TW"/>
              </w:rPr>
              <w:t>/</w:t>
            </w:r>
            <w:r>
              <w:rPr>
                <w:rFonts w:cs="Times New Roman"/>
                <w:color w:val="auto"/>
                <w:szCs w:val="28"/>
                <w:highlight w:val="none"/>
                <w:lang w:val="zh-TW"/>
              </w:rPr>
              <w:t>4042-2021）</w:t>
            </w:r>
            <w:r>
              <w:rPr>
                <w:rFonts w:hint="eastAsia" w:cs="Times New Roman"/>
                <w:color w:val="auto"/>
                <w:szCs w:val="28"/>
                <w:highlight w:val="none"/>
                <w:lang w:val="zh-TW"/>
              </w:rPr>
              <w:t>表7限值；</w:t>
            </w:r>
            <w:r>
              <w:rPr>
                <w:rFonts w:hint="eastAsia" w:cs="Times New Roman"/>
                <w:color w:val="auto"/>
                <w:szCs w:val="28"/>
                <w:highlight w:val="none"/>
              </w:rPr>
              <w:t>厂界氨、硫化氢无组织</w:t>
            </w:r>
            <w:r>
              <w:rPr>
                <w:rFonts w:hint="eastAsia" w:cs="Times New Roman"/>
                <w:color w:val="auto"/>
                <w:szCs w:val="28"/>
                <w:highlight w:val="none"/>
                <w:lang w:val="en-US" w:eastAsia="zh-CN"/>
              </w:rPr>
              <w:t>排放</w:t>
            </w:r>
            <w:r>
              <w:rPr>
                <w:rFonts w:hint="eastAsia" w:cs="Times New Roman"/>
                <w:color w:val="auto"/>
                <w:szCs w:val="28"/>
                <w:highlight w:val="none"/>
              </w:rPr>
              <w:t>执行</w:t>
            </w:r>
            <w:r>
              <w:rPr>
                <w:rFonts w:hint="eastAsia" w:cs="Times New Roman"/>
                <w:color w:val="auto"/>
                <w:szCs w:val="28"/>
                <w:highlight w:val="none"/>
                <w:lang w:val="zh-TW"/>
              </w:rPr>
              <w:t>《恶臭污染物排放标准》（GB14554-93）表1</w:t>
            </w:r>
            <w:r>
              <w:rPr>
                <w:rFonts w:hint="eastAsia" w:cs="Times New Roman"/>
                <w:color w:val="auto"/>
                <w:szCs w:val="28"/>
                <w:highlight w:val="none"/>
                <w:lang w:val="en-US" w:eastAsia="zh-CN"/>
              </w:rPr>
              <w:t>限值</w:t>
            </w:r>
            <w:r>
              <w:rPr>
                <w:rFonts w:hint="eastAsia" w:cs="Times New Roman"/>
                <w:color w:val="auto"/>
                <w:szCs w:val="28"/>
                <w:highlight w:val="none"/>
                <w:lang w:val="zh-TW"/>
              </w:rPr>
              <w:t>；</w:t>
            </w:r>
            <w:r>
              <w:rPr>
                <w:rFonts w:hint="eastAsia" w:cs="Times New Roman"/>
                <w:color w:val="auto"/>
                <w:szCs w:val="28"/>
                <w:highlight w:val="none"/>
              </w:rPr>
              <w:t>厂界</w:t>
            </w:r>
            <w:r>
              <w:rPr>
                <w:rFonts w:hint="eastAsia" w:cs="Times New Roman"/>
                <w:color w:val="auto"/>
                <w:szCs w:val="28"/>
                <w:highlight w:val="none"/>
                <w:lang w:val="en-US" w:eastAsia="zh-CN"/>
              </w:rPr>
              <w:t>非甲烷总烃、颗粒物、甲醇、二氯甲烷</w:t>
            </w:r>
            <w:r>
              <w:rPr>
                <w:rFonts w:hint="eastAsia" w:cs="Times New Roman"/>
                <w:color w:val="auto"/>
                <w:szCs w:val="28"/>
                <w:highlight w:val="none"/>
              </w:rPr>
              <w:t>无组织</w:t>
            </w:r>
            <w:r>
              <w:rPr>
                <w:rFonts w:hint="eastAsia" w:cs="Times New Roman"/>
                <w:color w:val="auto"/>
                <w:szCs w:val="28"/>
                <w:highlight w:val="none"/>
                <w:lang w:val="en-US" w:eastAsia="zh-CN"/>
              </w:rPr>
              <w:t>排放</w:t>
            </w:r>
            <w:r>
              <w:rPr>
                <w:rFonts w:hint="eastAsia" w:cs="Times New Roman"/>
                <w:color w:val="auto"/>
                <w:szCs w:val="28"/>
                <w:highlight w:val="none"/>
              </w:rPr>
              <w:t>执行</w:t>
            </w:r>
            <w:r>
              <w:rPr>
                <w:rFonts w:hint="eastAsia" w:cs="Times New Roman"/>
                <w:color w:val="auto"/>
                <w:szCs w:val="28"/>
                <w:highlight w:val="none"/>
                <w:lang w:eastAsia="zh-CN"/>
              </w:rPr>
              <w:t>《大气污染物综合排放标准》（DB32/4041-2021）表3</w:t>
            </w:r>
            <w:r>
              <w:rPr>
                <w:rFonts w:hint="eastAsia" w:cs="Times New Roman"/>
                <w:color w:val="auto"/>
                <w:szCs w:val="28"/>
                <w:highlight w:val="none"/>
                <w:lang w:val="en-US" w:eastAsia="zh-CN"/>
              </w:rPr>
              <w:t>限值</w:t>
            </w:r>
            <w:r>
              <w:rPr>
                <w:rFonts w:hint="eastAsia" w:cs="Times New Roman"/>
                <w:color w:val="auto"/>
                <w:szCs w:val="28"/>
                <w:highlight w:val="none"/>
              </w:rPr>
              <w:t>。</w:t>
            </w:r>
            <w:r>
              <w:rPr>
                <w:rFonts w:hint="eastAsia" w:cs="Times New Roman"/>
                <w:color w:val="auto"/>
                <w:szCs w:val="28"/>
                <w:highlight w:val="none"/>
                <w:lang w:val="en-US" w:eastAsia="zh-CN"/>
              </w:rPr>
              <w:t>厂界无组织废气排放标准见下表。</w:t>
            </w:r>
          </w:p>
          <w:p w14:paraId="578FE295">
            <w:pPr>
              <w:pStyle w:val="40"/>
              <w:bidi w:val="0"/>
              <w:rPr>
                <w:color w:val="auto"/>
                <w:highlight w:val="none"/>
              </w:rPr>
            </w:pPr>
            <w:r>
              <w:rPr>
                <w:rFonts w:hint="eastAsia"/>
                <w:color w:val="auto"/>
                <w:highlight w:val="none"/>
              </w:rPr>
              <w:t>单位边界大气污染物排放监控浓度限值</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118"/>
              <w:gridCol w:w="1391"/>
              <w:gridCol w:w="4829"/>
            </w:tblGrid>
            <w:tr w14:paraId="52558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1" w:hRule="atLeast"/>
                <w:tblHeader/>
                <w:jc w:val="center"/>
              </w:trPr>
              <w:tc>
                <w:tcPr>
                  <w:tcW w:w="1270" w:type="pct"/>
                  <w:vAlign w:val="center"/>
                </w:tcPr>
                <w:p w14:paraId="63939486">
                  <w:pPr>
                    <w:adjustRightInd w:val="0"/>
                    <w:snapToGrid w:val="0"/>
                    <w:spacing w:line="240" w:lineRule="auto"/>
                    <w:ind w:firstLine="0" w:firstLineChars="0"/>
                    <w:jc w:val="center"/>
                    <w:textAlignment w:val="baseline"/>
                    <w:rPr>
                      <w:rFonts w:cs="Times New Roman"/>
                      <w:b/>
                      <w:color w:val="auto"/>
                      <w:sz w:val="21"/>
                      <w:highlight w:val="none"/>
                    </w:rPr>
                  </w:pPr>
                  <w:r>
                    <w:rPr>
                      <w:rFonts w:cs="Times New Roman"/>
                      <w:b/>
                      <w:color w:val="auto"/>
                      <w:sz w:val="21"/>
                      <w:highlight w:val="none"/>
                    </w:rPr>
                    <w:t>污染物</w:t>
                  </w:r>
                </w:p>
              </w:tc>
              <w:tc>
                <w:tcPr>
                  <w:tcW w:w="834" w:type="pct"/>
                  <w:vAlign w:val="center"/>
                </w:tcPr>
                <w:p w14:paraId="3FA108EE">
                  <w:pPr>
                    <w:adjustRightInd w:val="0"/>
                    <w:snapToGrid w:val="0"/>
                    <w:spacing w:line="240" w:lineRule="auto"/>
                    <w:ind w:firstLine="0" w:firstLineChars="0"/>
                    <w:jc w:val="center"/>
                    <w:textAlignment w:val="baseline"/>
                    <w:rPr>
                      <w:rFonts w:cs="Times New Roman"/>
                      <w:b/>
                      <w:color w:val="auto"/>
                      <w:sz w:val="21"/>
                      <w:highlight w:val="none"/>
                      <w:vertAlign w:val="superscript"/>
                    </w:rPr>
                  </w:pPr>
                  <w:r>
                    <w:rPr>
                      <w:rFonts w:cs="Times New Roman"/>
                      <w:b/>
                      <w:color w:val="auto"/>
                      <w:sz w:val="21"/>
                      <w:highlight w:val="none"/>
                    </w:rPr>
                    <w:t>排放限值mg/m</w:t>
                  </w:r>
                  <w:r>
                    <w:rPr>
                      <w:rFonts w:cs="Times New Roman"/>
                      <w:b/>
                      <w:color w:val="auto"/>
                      <w:sz w:val="21"/>
                      <w:highlight w:val="none"/>
                      <w:vertAlign w:val="superscript"/>
                    </w:rPr>
                    <w:t>3</w:t>
                  </w:r>
                </w:p>
              </w:tc>
              <w:tc>
                <w:tcPr>
                  <w:tcW w:w="2895" w:type="pct"/>
                  <w:vAlign w:val="center"/>
                </w:tcPr>
                <w:p w14:paraId="744FD3CD">
                  <w:pPr>
                    <w:adjustRightInd w:val="0"/>
                    <w:snapToGrid w:val="0"/>
                    <w:spacing w:line="240" w:lineRule="auto"/>
                    <w:ind w:firstLine="0" w:firstLineChars="0"/>
                    <w:jc w:val="center"/>
                    <w:textAlignment w:val="baseline"/>
                    <w:rPr>
                      <w:rFonts w:cs="Times New Roman"/>
                      <w:b/>
                      <w:color w:val="auto"/>
                      <w:sz w:val="21"/>
                      <w:highlight w:val="none"/>
                    </w:rPr>
                  </w:pPr>
                  <w:r>
                    <w:rPr>
                      <w:rFonts w:cs="Times New Roman"/>
                      <w:b/>
                      <w:color w:val="auto"/>
                      <w:sz w:val="21"/>
                      <w:highlight w:val="none"/>
                    </w:rPr>
                    <w:t>标准来源</w:t>
                  </w:r>
                </w:p>
              </w:tc>
            </w:tr>
            <w:tr w14:paraId="397FC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1" w:hRule="atLeast"/>
                <w:jc w:val="center"/>
              </w:trPr>
              <w:tc>
                <w:tcPr>
                  <w:tcW w:w="1270" w:type="pct"/>
                  <w:shd w:val="clear" w:color="auto" w:fill="auto"/>
                  <w:vAlign w:val="center"/>
                </w:tcPr>
                <w:p w14:paraId="51B25303">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kern w:val="2"/>
                      <w:sz w:val="21"/>
                      <w:szCs w:val="24"/>
                      <w:highlight w:val="none"/>
                      <w:lang w:val="en-US" w:eastAsia="zh-CN" w:bidi="ar-SA"/>
                    </w:rPr>
                  </w:pPr>
                  <w:r>
                    <w:rPr>
                      <w:rFonts w:hint="eastAsia" w:cs="Times New Roman"/>
                      <w:color w:val="auto"/>
                      <w:sz w:val="21"/>
                      <w:highlight w:val="none"/>
                      <w:lang w:val="en-US" w:eastAsia="zh-CN"/>
                    </w:rPr>
                    <w:t>臭气浓度</w:t>
                  </w:r>
                </w:p>
              </w:tc>
              <w:tc>
                <w:tcPr>
                  <w:tcW w:w="834" w:type="pct"/>
                  <w:shd w:val="clear" w:color="auto" w:fill="auto"/>
                  <w:vAlign w:val="center"/>
                </w:tcPr>
                <w:p w14:paraId="1B5F6255">
                  <w:pPr>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kern w:val="2"/>
                      <w:sz w:val="21"/>
                      <w:szCs w:val="24"/>
                      <w:highlight w:val="none"/>
                      <w:lang w:val="en-US" w:eastAsia="zh-CN" w:bidi="ar-SA"/>
                    </w:rPr>
                  </w:pPr>
                  <w:r>
                    <w:rPr>
                      <w:rFonts w:hint="eastAsia" w:cs="Times New Roman"/>
                      <w:color w:val="auto"/>
                      <w:sz w:val="21"/>
                      <w:highlight w:val="none"/>
                      <w:lang w:val="en-US" w:eastAsia="zh-CN"/>
                    </w:rPr>
                    <w:t>20（无量纲）</w:t>
                  </w:r>
                </w:p>
              </w:tc>
              <w:tc>
                <w:tcPr>
                  <w:tcW w:w="2895" w:type="pct"/>
                  <w:vAlign w:val="center"/>
                </w:tcPr>
                <w:p w14:paraId="4B2AE3CA">
                  <w:pPr>
                    <w:adjustRightInd w:val="0"/>
                    <w:snapToGrid w:val="0"/>
                    <w:spacing w:line="240" w:lineRule="auto"/>
                    <w:ind w:firstLine="0" w:firstLineChars="0"/>
                    <w:jc w:val="center"/>
                    <w:textAlignment w:val="baseline"/>
                    <w:rPr>
                      <w:rFonts w:hint="default" w:eastAsia="宋体" w:cs="Times New Roman"/>
                      <w:color w:val="auto"/>
                      <w:sz w:val="21"/>
                      <w:highlight w:val="none"/>
                      <w:lang w:val="en-US" w:eastAsia="zh-CN"/>
                    </w:rPr>
                  </w:pPr>
                  <w:r>
                    <w:rPr>
                      <w:rFonts w:cs="Times New Roman"/>
                      <w:color w:val="auto"/>
                      <w:sz w:val="21"/>
                      <w:highlight w:val="none"/>
                      <w:lang w:val="zh-TW"/>
                    </w:rPr>
                    <w:t>《制药工业大气污染物排放标准》（DB32/4042-2021）</w:t>
                  </w:r>
                  <w:r>
                    <w:rPr>
                      <w:rFonts w:hint="eastAsia" w:cs="Times New Roman"/>
                      <w:color w:val="auto"/>
                      <w:sz w:val="21"/>
                      <w:highlight w:val="none"/>
                      <w:lang w:val="en-US" w:eastAsia="zh-CN"/>
                    </w:rPr>
                    <w:t>表7</w:t>
                  </w:r>
                </w:p>
              </w:tc>
            </w:tr>
            <w:tr w14:paraId="2944F3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70" w:type="pct"/>
                  <w:vAlign w:val="center"/>
                </w:tcPr>
                <w:p w14:paraId="6603A8A1">
                  <w:pPr>
                    <w:adjustRightInd w:val="0"/>
                    <w:snapToGrid w:val="0"/>
                    <w:spacing w:line="240" w:lineRule="auto"/>
                    <w:ind w:firstLine="0" w:firstLineChars="0"/>
                    <w:jc w:val="center"/>
                    <w:textAlignment w:val="baseline"/>
                    <w:rPr>
                      <w:rFonts w:cs="Times New Roman"/>
                      <w:color w:val="auto"/>
                      <w:sz w:val="21"/>
                      <w:highlight w:val="none"/>
                    </w:rPr>
                  </w:pPr>
                  <w:r>
                    <w:rPr>
                      <w:rFonts w:cs="Times New Roman"/>
                      <w:color w:val="auto"/>
                      <w:sz w:val="21"/>
                      <w:highlight w:val="none"/>
                    </w:rPr>
                    <w:t>氨</w:t>
                  </w:r>
                </w:p>
              </w:tc>
              <w:tc>
                <w:tcPr>
                  <w:tcW w:w="834" w:type="pct"/>
                  <w:vAlign w:val="center"/>
                </w:tcPr>
                <w:p w14:paraId="4DF1EDE2">
                  <w:pPr>
                    <w:adjustRightInd w:val="0"/>
                    <w:snapToGrid w:val="0"/>
                    <w:spacing w:line="240" w:lineRule="auto"/>
                    <w:ind w:firstLine="0" w:firstLineChars="0"/>
                    <w:jc w:val="center"/>
                    <w:textAlignment w:val="baseline"/>
                    <w:rPr>
                      <w:rFonts w:cs="Times New Roman"/>
                      <w:color w:val="auto"/>
                      <w:sz w:val="21"/>
                      <w:highlight w:val="none"/>
                    </w:rPr>
                  </w:pPr>
                  <w:r>
                    <w:rPr>
                      <w:rFonts w:hint="eastAsia" w:cs="Times New Roman"/>
                      <w:color w:val="auto"/>
                      <w:sz w:val="21"/>
                      <w:highlight w:val="none"/>
                    </w:rPr>
                    <w:t>1.5</w:t>
                  </w:r>
                </w:p>
              </w:tc>
              <w:tc>
                <w:tcPr>
                  <w:tcW w:w="2895" w:type="pct"/>
                  <w:vMerge w:val="restart"/>
                  <w:vAlign w:val="center"/>
                </w:tcPr>
                <w:p w14:paraId="4E6B0867">
                  <w:pPr>
                    <w:adjustRightInd w:val="0"/>
                    <w:snapToGrid w:val="0"/>
                    <w:spacing w:line="240" w:lineRule="auto"/>
                    <w:ind w:firstLine="0" w:firstLineChars="0"/>
                    <w:jc w:val="center"/>
                    <w:textAlignment w:val="baseline"/>
                    <w:rPr>
                      <w:rFonts w:hint="default" w:eastAsia="宋体" w:cs="Times New Roman"/>
                      <w:color w:val="auto"/>
                      <w:sz w:val="21"/>
                      <w:highlight w:val="none"/>
                      <w:lang w:val="en-US" w:eastAsia="zh-CN"/>
                    </w:rPr>
                  </w:pPr>
                  <w:r>
                    <w:rPr>
                      <w:rFonts w:cs="Times New Roman"/>
                      <w:color w:val="auto"/>
                      <w:sz w:val="21"/>
                      <w:highlight w:val="none"/>
                    </w:rPr>
                    <w:t>《恶臭污染物排放标准》（GB14554-93）</w:t>
                  </w:r>
                  <w:r>
                    <w:rPr>
                      <w:rFonts w:hint="eastAsia" w:cs="Times New Roman"/>
                      <w:color w:val="auto"/>
                      <w:sz w:val="21"/>
                      <w:highlight w:val="none"/>
                      <w:lang w:val="en-US" w:eastAsia="zh-CN"/>
                    </w:rPr>
                    <w:t>表1</w:t>
                  </w:r>
                </w:p>
              </w:tc>
            </w:tr>
            <w:tr w14:paraId="152A5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70" w:type="pct"/>
                  <w:vAlign w:val="center"/>
                </w:tcPr>
                <w:p w14:paraId="04832C92">
                  <w:pPr>
                    <w:adjustRightInd w:val="0"/>
                    <w:snapToGrid w:val="0"/>
                    <w:spacing w:line="240" w:lineRule="auto"/>
                    <w:ind w:firstLine="0" w:firstLineChars="0"/>
                    <w:jc w:val="center"/>
                    <w:textAlignment w:val="baseline"/>
                    <w:rPr>
                      <w:rFonts w:cs="Times New Roman"/>
                      <w:color w:val="auto"/>
                      <w:sz w:val="21"/>
                      <w:highlight w:val="none"/>
                    </w:rPr>
                  </w:pPr>
                  <w:r>
                    <w:rPr>
                      <w:rFonts w:cs="Times New Roman"/>
                      <w:color w:val="auto"/>
                      <w:sz w:val="21"/>
                      <w:highlight w:val="none"/>
                    </w:rPr>
                    <w:t>硫化氢</w:t>
                  </w:r>
                </w:p>
              </w:tc>
              <w:tc>
                <w:tcPr>
                  <w:tcW w:w="834" w:type="pct"/>
                  <w:vAlign w:val="center"/>
                </w:tcPr>
                <w:p w14:paraId="06A1239F">
                  <w:pPr>
                    <w:adjustRightInd w:val="0"/>
                    <w:snapToGrid w:val="0"/>
                    <w:spacing w:line="240" w:lineRule="auto"/>
                    <w:ind w:firstLine="0" w:firstLineChars="0"/>
                    <w:jc w:val="center"/>
                    <w:textAlignment w:val="baseline"/>
                    <w:rPr>
                      <w:rFonts w:cs="Times New Roman"/>
                      <w:color w:val="auto"/>
                      <w:sz w:val="21"/>
                      <w:highlight w:val="none"/>
                    </w:rPr>
                  </w:pPr>
                  <w:r>
                    <w:rPr>
                      <w:rFonts w:hint="eastAsia" w:cs="Times New Roman"/>
                      <w:color w:val="auto"/>
                      <w:sz w:val="21"/>
                      <w:highlight w:val="none"/>
                    </w:rPr>
                    <w:t>0.06</w:t>
                  </w:r>
                </w:p>
              </w:tc>
              <w:tc>
                <w:tcPr>
                  <w:tcW w:w="2895" w:type="pct"/>
                  <w:vMerge w:val="continue"/>
                  <w:vAlign w:val="center"/>
                </w:tcPr>
                <w:p w14:paraId="64F45927">
                  <w:pPr>
                    <w:adjustRightInd w:val="0"/>
                    <w:snapToGrid w:val="0"/>
                    <w:spacing w:line="240" w:lineRule="auto"/>
                    <w:ind w:firstLine="0" w:firstLineChars="0"/>
                    <w:jc w:val="center"/>
                    <w:textAlignment w:val="baseline"/>
                    <w:rPr>
                      <w:rFonts w:cs="Times New Roman"/>
                      <w:color w:val="auto"/>
                      <w:sz w:val="21"/>
                      <w:highlight w:val="none"/>
                      <w:lang w:val="zh-TW"/>
                    </w:rPr>
                  </w:pPr>
                </w:p>
              </w:tc>
            </w:tr>
            <w:tr w14:paraId="44E23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70" w:type="pct"/>
                  <w:vAlign w:val="center"/>
                </w:tcPr>
                <w:p w14:paraId="7EB0FC3B">
                  <w:pPr>
                    <w:adjustRightInd w:val="0"/>
                    <w:snapToGrid w:val="0"/>
                    <w:spacing w:line="240" w:lineRule="auto"/>
                    <w:ind w:firstLine="0" w:firstLineChars="0"/>
                    <w:jc w:val="center"/>
                    <w:textAlignment w:val="baseline"/>
                    <w:rPr>
                      <w:rFonts w:cs="Times New Roman"/>
                      <w:color w:val="auto"/>
                      <w:sz w:val="21"/>
                      <w:highlight w:val="none"/>
                    </w:rPr>
                  </w:pPr>
                  <w:r>
                    <w:rPr>
                      <w:rFonts w:hint="eastAsia" w:cs="Times New Roman"/>
                      <w:color w:val="auto"/>
                      <w:sz w:val="21"/>
                      <w:highlight w:val="none"/>
                    </w:rPr>
                    <w:t>非甲烷总烃</w:t>
                  </w:r>
                </w:p>
              </w:tc>
              <w:tc>
                <w:tcPr>
                  <w:tcW w:w="834" w:type="pct"/>
                  <w:vAlign w:val="center"/>
                </w:tcPr>
                <w:p w14:paraId="489C4B21">
                  <w:pPr>
                    <w:adjustRightInd w:val="0"/>
                    <w:snapToGrid w:val="0"/>
                    <w:spacing w:line="240" w:lineRule="auto"/>
                    <w:ind w:firstLine="0" w:firstLineChars="0"/>
                    <w:jc w:val="center"/>
                    <w:textAlignment w:val="baseline"/>
                    <w:rPr>
                      <w:rFonts w:cs="Times New Roman"/>
                      <w:color w:val="auto"/>
                      <w:sz w:val="21"/>
                      <w:highlight w:val="none"/>
                    </w:rPr>
                  </w:pPr>
                  <w:r>
                    <w:rPr>
                      <w:rFonts w:hint="eastAsia" w:cs="Times New Roman"/>
                      <w:color w:val="auto"/>
                      <w:sz w:val="21"/>
                      <w:highlight w:val="none"/>
                    </w:rPr>
                    <w:t>4</w:t>
                  </w:r>
                </w:p>
              </w:tc>
              <w:tc>
                <w:tcPr>
                  <w:tcW w:w="2895" w:type="pct"/>
                  <w:vMerge w:val="restart"/>
                  <w:vAlign w:val="center"/>
                </w:tcPr>
                <w:p w14:paraId="00052503">
                  <w:pPr>
                    <w:adjustRightInd w:val="0"/>
                    <w:snapToGrid w:val="0"/>
                    <w:spacing w:line="240" w:lineRule="auto"/>
                    <w:ind w:firstLine="0" w:firstLineChars="0"/>
                    <w:jc w:val="center"/>
                    <w:textAlignment w:val="baseline"/>
                    <w:rPr>
                      <w:rFonts w:hint="default" w:cs="Times New Roman"/>
                      <w:color w:val="auto"/>
                      <w:sz w:val="21"/>
                      <w:highlight w:val="none"/>
                      <w:lang w:val="en-US" w:eastAsia="zh-CN"/>
                    </w:rPr>
                  </w:pPr>
                  <w:r>
                    <w:rPr>
                      <w:rFonts w:hint="eastAsia"/>
                      <w:color w:val="auto"/>
                      <w:sz w:val="21"/>
                      <w:szCs w:val="21"/>
                      <w:highlight w:val="none"/>
                      <w:lang w:val="zh-CN"/>
                    </w:rPr>
                    <w:t>《大气污染物综合排放标准》（DB32/4041-2021）</w:t>
                  </w:r>
                  <w:r>
                    <w:rPr>
                      <w:rFonts w:hint="eastAsia"/>
                      <w:color w:val="auto"/>
                      <w:sz w:val="21"/>
                      <w:szCs w:val="21"/>
                      <w:highlight w:val="none"/>
                      <w:lang w:val="en-US" w:eastAsia="zh-CN"/>
                    </w:rPr>
                    <w:t>表3</w:t>
                  </w:r>
                </w:p>
              </w:tc>
            </w:tr>
            <w:tr w14:paraId="375DF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70" w:type="pct"/>
                  <w:vAlign w:val="center"/>
                </w:tcPr>
                <w:p w14:paraId="73E9ABE5">
                  <w:pPr>
                    <w:adjustRightInd w:val="0"/>
                    <w:snapToGrid w:val="0"/>
                    <w:spacing w:line="240" w:lineRule="auto"/>
                    <w:ind w:firstLine="0" w:firstLineChars="0"/>
                    <w:jc w:val="center"/>
                    <w:textAlignment w:val="baseline"/>
                    <w:rPr>
                      <w:rFonts w:hint="eastAsia" w:eastAsia="宋体" w:cs="Times New Roman"/>
                      <w:color w:val="auto"/>
                      <w:sz w:val="21"/>
                      <w:highlight w:val="none"/>
                      <w:lang w:val="en-US" w:eastAsia="zh-CN"/>
                    </w:rPr>
                  </w:pPr>
                  <w:r>
                    <w:rPr>
                      <w:rFonts w:hint="eastAsia" w:cs="Times New Roman"/>
                      <w:color w:val="auto"/>
                      <w:sz w:val="21"/>
                      <w:highlight w:val="none"/>
                      <w:lang w:val="en-US" w:eastAsia="zh-CN"/>
                    </w:rPr>
                    <w:t>颗粒物</w:t>
                  </w:r>
                </w:p>
              </w:tc>
              <w:tc>
                <w:tcPr>
                  <w:tcW w:w="834" w:type="pct"/>
                  <w:vAlign w:val="center"/>
                </w:tcPr>
                <w:p w14:paraId="36427E6E">
                  <w:pPr>
                    <w:adjustRightInd w:val="0"/>
                    <w:snapToGrid w:val="0"/>
                    <w:spacing w:line="240" w:lineRule="auto"/>
                    <w:ind w:firstLine="0" w:firstLineChars="0"/>
                    <w:jc w:val="center"/>
                    <w:textAlignment w:val="baseline"/>
                    <w:rPr>
                      <w:rFonts w:hint="default" w:eastAsia="宋体" w:cs="Times New Roman"/>
                      <w:color w:val="auto"/>
                      <w:sz w:val="21"/>
                      <w:highlight w:val="none"/>
                      <w:lang w:val="en-US" w:eastAsia="zh-CN"/>
                    </w:rPr>
                  </w:pPr>
                  <w:r>
                    <w:rPr>
                      <w:rFonts w:hint="eastAsia" w:cs="Times New Roman"/>
                      <w:color w:val="auto"/>
                      <w:sz w:val="21"/>
                      <w:highlight w:val="none"/>
                      <w:lang w:val="en-US" w:eastAsia="zh-CN"/>
                    </w:rPr>
                    <w:t>0.5</w:t>
                  </w:r>
                </w:p>
              </w:tc>
              <w:tc>
                <w:tcPr>
                  <w:tcW w:w="2895" w:type="pct"/>
                  <w:vMerge w:val="continue"/>
                  <w:vAlign w:val="center"/>
                </w:tcPr>
                <w:p w14:paraId="25FEF78A">
                  <w:pPr>
                    <w:adjustRightInd w:val="0"/>
                    <w:snapToGrid w:val="0"/>
                    <w:spacing w:line="240" w:lineRule="auto"/>
                    <w:ind w:firstLine="0" w:firstLineChars="0"/>
                    <w:jc w:val="center"/>
                    <w:textAlignment w:val="baseline"/>
                    <w:rPr>
                      <w:rFonts w:hint="default" w:cs="Times New Roman"/>
                      <w:color w:val="auto"/>
                      <w:sz w:val="21"/>
                      <w:highlight w:val="none"/>
                      <w:lang w:val="en-US" w:eastAsia="zh-CN"/>
                    </w:rPr>
                  </w:pPr>
                </w:p>
              </w:tc>
            </w:tr>
            <w:tr w14:paraId="00B5D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70" w:type="pct"/>
                  <w:shd w:val="clear" w:color="auto" w:fill="auto"/>
                  <w:vAlign w:val="center"/>
                </w:tcPr>
                <w:p w14:paraId="149A3151">
                  <w:pPr>
                    <w:pStyle w:val="41"/>
                    <w:widowControl w:val="0"/>
                    <w:bidi w:val="0"/>
                    <w:ind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eastAsia="宋体"/>
                      <w:color w:val="auto"/>
                      <w:highlight w:val="none"/>
                      <w:lang w:val="en-US" w:eastAsia="zh-CN"/>
                    </w:rPr>
                    <w:t>甲醇</w:t>
                  </w:r>
                </w:p>
              </w:tc>
              <w:tc>
                <w:tcPr>
                  <w:tcW w:w="834" w:type="pct"/>
                </w:tcPr>
                <w:p w14:paraId="67633D24">
                  <w:pPr>
                    <w:adjustRightInd w:val="0"/>
                    <w:snapToGrid w:val="0"/>
                    <w:spacing w:line="240" w:lineRule="auto"/>
                    <w:ind w:firstLine="0" w:firstLineChars="0"/>
                    <w:jc w:val="center"/>
                    <w:textAlignment w:val="baseline"/>
                    <w:rPr>
                      <w:rFonts w:hint="default" w:cs="Times New Roman"/>
                      <w:color w:val="auto"/>
                      <w:sz w:val="21"/>
                      <w:highlight w:val="none"/>
                      <w:lang w:val="en-US" w:eastAsia="zh-CN"/>
                    </w:rPr>
                  </w:pPr>
                  <w:r>
                    <w:rPr>
                      <w:rFonts w:hint="eastAsia" w:cs="Times New Roman"/>
                      <w:color w:val="auto"/>
                      <w:sz w:val="21"/>
                      <w:highlight w:val="none"/>
                      <w:lang w:val="en-US" w:eastAsia="zh-CN"/>
                    </w:rPr>
                    <w:t>1</w:t>
                  </w:r>
                </w:p>
              </w:tc>
              <w:tc>
                <w:tcPr>
                  <w:tcW w:w="2895" w:type="pct"/>
                  <w:vMerge w:val="continue"/>
                </w:tcPr>
                <w:p w14:paraId="2E7147DC">
                  <w:pPr>
                    <w:adjustRightInd w:val="0"/>
                    <w:snapToGrid w:val="0"/>
                    <w:spacing w:line="240" w:lineRule="auto"/>
                    <w:ind w:firstLine="0" w:firstLineChars="0"/>
                    <w:jc w:val="center"/>
                    <w:textAlignment w:val="baseline"/>
                    <w:rPr>
                      <w:rFonts w:hint="default" w:cs="Times New Roman"/>
                      <w:color w:val="auto"/>
                      <w:sz w:val="21"/>
                      <w:highlight w:val="none"/>
                      <w:lang w:val="en-US" w:eastAsia="zh-CN"/>
                    </w:rPr>
                  </w:pPr>
                </w:p>
              </w:tc>
            </w:tr>
            <w:tr w14:paraId="188E7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70" w:type="pct"/>
                  <w:shd w:val="clear" w:color="auto" w:fill="auto"/>
                  <w:vAlign w:val="center"/>
                </w:tcPr>
                <w:p w14:paraId="231C1935">
                  <w:pPr>
                    <w:pStyle w:val="41"/>
                    <w:widowControl w:val="0"/>
                    <w:bidi w:val="0"/>
                    <w:ind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eastAsia="宋体"/>
                      <w:color w:val="auto"/>
                      <w:highlight w:val="none"/>
                      <w:lang w:val="en-US" w:eastAsia="zh-CN"/>
                    </w:rPr>
                    <w:t>二氯甲烷</w:t>
                  </w:r>
                </w:p>
              </w:tc>
              <w:tc>
                <w:tcPr>
                  <w:tcW w:w="834" w:type="pct"/>
                </w:tcPr>
                <w:p w14:paraId="17BB230C">
                  <w:pPr>
                    <w:adjustRightInd w:val="0"/>
                    <w:snapToGrid w:val="0"/>
                    <w:spacing w:line="240" w:lineRule="auto"/>
                    <w:ind w:firstLine="0" w:firstLineChars="0"/>
                    <w:jc w:val="center"/>
                    <w:textAlignment w:val="baseline"/>
                    <w:rPr>
                      <w:rFonts w:hint="default" w:cs="Times New Roman"/>
                      <w:color w:val="auto"/>
                      <w:sz w:val="21"/>
                      <w:highlight w:val="none"/>
                      <w:lang w:val="en-US" w:eastAsia="zh-CN"/>
                    </w:rPr>
                  </w:pPr>
                  <w:r>
                    <w:rPr>
                      <w:rFonts w:hint="eastAsia" w:cs="Times New Roman"/>
                      <w:color w:val="auto"/>
                      <w:sz w:val="21"/>
                      <w:highlight w:val="none"/>
                      <w:lang w:val="en-US" w:eastAsia="zh-CN"/>
                    </w:rPr>
                    <w:t>0.6</w:t>
                  </w:r>
                </w:p>
              </w:tc>
              <w:tc>
                <w:tcPr>
                  <w:tcW w:w="2895" w:type="pct"/>
                  <w:vMerge w:val="continue"/>
                </w:tcPr>
                <w:p w14:paraId="4E6236A7">
                  <w:pPr>
                    <w:adjustRightInd w:val="0"/>
                    <w:snapToGrid w:val="0"/>
                    <w:spacing w:line="240" w:lineRule="auto"/>
                    <w:ind w:firstLine="0" w:firstLineChars="0"/>
                    <w:jc w:val="center"/>
                    <w:textAlignment w:val="baseline"/>
                    <w:rPr>
                      <w:rFonts w:hint="default" w:cs="Times New Roman"/>
                      <w:color w:val="auto"/>
                      <w:sz w:val="21"/>
                      <w:highlight w:val="none"/>
                      <w:lang w:val="en-US" w:eastAsia="zh-CN"/>
                    </w:rPr>
                  </w:pPr>
                </w:p>
              </w:tc>
            </w:tr>
          </w:tbl>
          <w:p w14:paraId="3752B200">
            <w:pPr>
              <w:pStyle w:val="41"/>
              <w:bidi w:val="0"/>
            </w:pPr>
          </w:p>
          <w:p w14:paraId="7FDD087F">
            <w:pPr>
              <w:bidi w:val="0"/>
              <w:ind w:firstLine="480" w:firstLineChars="200"/>
              <w:rPr>
                <w:rFonts w:hint="eastAsia" w:cs="Times New Roman"/>
                <w:color w:val="auto"/>
                <w:szCs w:val="28"/>
                <w:highlight w:val="none"/>
                <w:lang w:val="en-US" w:eastAsia="zh-CN"/>
              </w:rPr>
            </w:pPr>
            <w:r>
              <w:rPr>
                <w:rFonts w:cs="Times New Roman"/>
                <w:color w:val="auto"/>
                <w:szCs w:val="28"/>
                <w:highlight w:val="none"/>
              </w:rPr>
              <w:t>厂区内</w:t>
            </w:r>
            <w:r>
              <w:rPr>
                <w:rFonts w:hint="eastAsia" w:cs="Times New Roman"/>
                <w:color w:val="auto"/>
                <w:szCs w:val="28"/>
                <w:highlight w:val="none"/>
              </w:rPr>
              <w:t>非甲烷总烃</w:t>
            </w:r>
            <w:r>
              <w:rPr>
                <w:rFonts w:cs="Times New Roman"/>
                <w:color w:val="auto"/>
                <w:szCs w:val="28"/>
                <w:highlight w:val="none"/>
              </w:rPr>
              <w:t>无组织排放执行</w:t>
            </w:r>
            <w:r>
              <w:rPr>
                <w:rFonts w:cs="Times New Roman"/>
                <w:color w:val="auto"/>
                <w:szCs w:val="28"/>
                <w:highlight w:val="none"/>
                <w:lang w:val="zh-TW"/>
              </w:rPr>
              <w:t>《制药工业大气污染物排放标准》（DB32/4042-2021）</w:t>
            </w:r>
            <w:r>
              <w:rPr>
                <w:rFonts w:hint="eastAsia" w:cs="Times New Roman"/>
                <w:color w:val="auto"/>
                <w:szCs w:val="28"/>
                <w:highlight w:val="none"/>
                <w:lang w:val="en-US" w:eastAsia="zh-CN"/>
              </w:rPr>
              <w:t>表6限值</w:t>
            </w:r>
            <w:r>
              <w:rPr>
                <w:rFonts w:cs="Times New Roman"/>
                <w:color w:val="auto"/>
                <w:szCs w:val="28"/>
                <w:highlight w:val="none"/>
                <w:lang w:val="zh-TW"/>
              </w:rPr>
              <w:t>。</w:t>
            </w:r>
          </w:p>
          <w:p w14:paraId="780DA0F6">
            <w:pPr>
              <w:pStyle w:val="40"/>
              <w:bidi w:val="0"/>
              <w:rPr>
                <w:color w:val="auto"/>
                <w:highlight w:val="none"/>
              </w:rPr>
            </w:pPr>
            <w:r>
              <w:rPr>
                <w:color w:val="auto"/>
                <w:highlight w:val="none"/>
              </w:rPr>
              <w:t>厂区内非甲烷总烃无组织排放限值</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7"/>
              <w:gridCol w:w="1374"/>
              <w:gridCol w:w="2411"/>
              <w:gridCol w:w="1214"/>
              <w:gridCol w:w="2539"/>
            </w:tblGrid>
            <w:tr w14:paraId="19C5A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1" w:hRule="atLeast"/>
                <w:tblHeader/>
                <w:jc w:val="center"/>
              </w:trPr>
              <w:tc>
                <w:tcPr>
                  <w:tcW w:w="478" w:type="pct"/>
                  <w:vAlign w:val="center"/>
                </w:tcPr>
                <w:p w14:paraId="5C394912">
                  <w:pPr>
                    <w:pStyle w:val="41"/>
                    <w:bidi w:val="0"/>
                    <w:jc w:val="center"/>
                    <w:rPr>
                      <w:b/>
                      <w:bCs/>
                    </w:rPr>
                  </w:pPr>
                  <w:r>
                    <w:rPr>
                      <w:b/>
                      <w:bCs/>
                    </w:rPr>
                    <w:t>污染物</w:t>
                  </w:r>
                </w:p>
              </w:tc>
              <w:tc>
                <w:tcPr>
                  <w:tcW w:w="824" w:type="pct"/>
                  <w:vAlign w:val="center"/>
                </w:tcPr>
                <w:p w14:paraId="7649514B">
                  <w:pPr>
                    <w:pStyle w:val="41"/>
                    <w:bidi w:val="0"/>
                    <w:jc w:val="center"/>
                    <w:rPr>
                      <w:b/>
                      <w:bCs/>
                    </w:rPr>
                  </w:pPr>
                  <w:r>
                    <w:rPr>
                      <w:rFonts w:hint="eastAsia"/>
                      <w:b/>
                      <w:bCs/>
                      <w:lang w:val="en-US" w:eastAsia="zh-CN"/>
                    </w:rPr>
                    <w:t>监控点限值</w:t>
                  </w:r>
                  <w:r>
                    <w:rPr>
                      <w:b/>
                      <w:bCs/>
                    </w:rPr>
                    <w:t>mg/m</w:t>
                  </w:r>
                  <w:r>
                    <w:rPr>
                      <w:b/>
                      <w:bCs/>
                      <w:vertAlign w:val="superscript"/>
                    </w:rPr>
                    <w:t>3</w:t>
                  </w:r>
                </w:p>
              </w:tc>
              <w:tc>
                <w:tcPr>
                  <w:tcW w:w="1446" w:type="pct"/>
                  <w:vAlign w:val="center"/>
                </w:tcPr>
                <w:p w14:paraId="2A3EA005">
                  <w:pPr>
                    <w:pStyle w:val="41"/>
                    <w:bidi w:val="0"/>
                    <w:jc w:val="center"/>
                    <w:rPr>
                      <w:rFonts w:hint="default"/>
                      <w:b/>
                      <w:bCs/>
                      <w:lang w:val="en-US" w:eastAsia="zh-CN"/>
                    </w:rPr>
                  </w:pPr>
                  <w:r>
                    <w:rPr>
                      <w:rFonts w:hint="eastAsia"/>
                      <w:b/>
                      <w:bCs/>
                      <w:lang w:val="en-US" w:eastAsia="zh-CN"/>
                    </w:rPr>
                    <w:t>限值含义</w:t>
                  </w:r>
                </w:p>
              </w:tc>
              <w:tc>
                <w:tcPr>
                  <w:tcW w:w="728" w:type="pct"/>
                  <w:vAlign w:val="center"/>
                </w:tcPr>
                <w:p w14:paraId="6DB8CB4D">
                  <w:pPr>
                    <w:pStyle w:val="41"/>
                    <w:bidi w:val="0"/>
                    <w:jc w:val="center"/>
                    <w:rPr>
                      <w:rFonts w:hint="default"/>
                      <w:b/>
                      <w:bCs/>
                      <w:lang w:val="en-US" w:eastAsia="zh-CN"/>
                    </w:rPr>
                  </w:pPr>
                  <w:r>
                    <w:rPr>
                      <w:rFonts w:hint="eastAsia"/>
                      <w:b/>
                      <w:bCs/>
                      <w:lang w:val="en-US" w:eastAsia="zh-CN"/>
                    </w:rPr>
                    <w:t>无组织排放监控位置</w:t>
                  </w:r>
                </w:p>
              </w:tc>
              <w:tc>
                <w:tcPr>
                  <w:tcW w:w="1522" w:type="pct"/>
                  <w:vAlign w:val="center"/>
                </w:tcPr>
                <w:p w14:paraId="5B833388">
                  <w:pPr>
                    <w:pStyle w:val="41"/>
                    <w:bidi w:val="0"/>
                    <w:jc w:val="center"/>
                    <w:rPr>
                      <w:b/>
                      <w:bCs/>
                    </w:rPr>
                  </w:pPr>
                  <w:r>
                    <w:rPr>
                      <w:b/>
                      <w:bCs/>
                    </w:rPr>
                    <w:t>标准来源</w:t>
                  </w:r>
                </w:p>
              </w:tc>
            </w:tr>
            <w:tr w14:paraId="09334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78" w:type="pct"/>
                  <w:vMerge w:val="restart"/>
                  <w:vAlign w:val="center"/>
                </w:tcPr>
                <w:p w14:paraId="5B78C4F0">
                  <w:pPr>
                    <w:pStyle w:val="41"/>
                    <w:bidi w:val="0"/>
                    <w:jc w:val="center"/>
                  </w:pPr>
                  <w:r>
                    <w:t>非甲烷总烃</w:t>
                  </w:r>
                </w:p>
              </w:tc>
              <w:tc>
                <w:tcPr>
                  <w:tcW w:w="824" w:type="pct"/>
                  <w:vAlign w:val="center"/>
                </w:tcPr>
                <w:p w14:paraId="225E947D">
                  <w:pPr>
                    <w:pStyle w:val="41"/>
                    <w:bidi w:val="0"/>
                    <w:jc w:val="center"/>
                  </w:pPr>
                  <w:r>
                    <w:t>6</w:t>
                  </w:r>
                </w:p>
              </w:tc>
              <w:tc>
                <w:tcPr>
                  <w:tcW w:w="1446" w:type="pct"/>
                  <w:vAlign w:val="center"/>
                </w:tcPr>
                <w:p w14:paraId="4DAC8F7E">
                  <w:pPr>
                    <w:pStyle w:val="41"/>
                    <w:bidi w:val="0"/>
                    <w:jc w:val="center"/>
                    <w:rPr>
                      <w:rFonts w:hint="default"/>
                      <w:lang w:val="en-US"/>
                    </w:rPr>
                  </w:pPr>
                  <w:r>
                    <w:rPr>
                      <w:rFonts w:hint="eastAsia"/>
                      <w:lang w:val="en-US" w:eastAsia="zh-CN"/>
                    </w:rPr>
                    <w:t>监控点处</w:t>
                  </w:r>
                  <w:r>
                    <w:rPr>
                      <w:rFonts w:hint="default"/>
                      <w:lang w:val="en-US" w:eastAsia="zh-CN"/>
                    </w:rPr>
                    <w:t>1h</w:t>
                  </w:r>
                  <w:r>
                    <w:rPr>
                      <w:rFonts w:hint="eastAsia"/>
                      <w:lang w:val="en-US" w:eastAsia="zh-CN"/>
                    </w:rPr>
                    <w:t>平均浓度值</w:t>
                  </w:r>
                </w:p>
              </w:tc>
              <w:tc>
                <w:tcPr>
                  <w:tcW w:w="728" w:type="pct"/>
                  <w:vMerge w:val="restart"/>
                  <w:vAlign w:val="center"/>
                </w:tcPr>
                <w:p w14:paraId="2A17EE87">
                  <w:pPr>
                    <w:pStyle w:val="41"/>
                    <w:bidi w:val="0"/>
                    <w:jc w:val="center"/>
                  </w:pPr>
                  <w:r>
                    <w:rPr>
                      <w:rFonts w:hint="eastAsia"/>
                    </w:rPr>
                    <w:t>在厂房外设置监控点</w:t>
                  </w:r>
                </w:p>
              </w:tc>
              <w:tc>
                <w:tcPr>
                  <w:tcW w:w="1522" w:type="pct"/>
                  <w:vMerge w:val="restart"/>
                  <w:vAlign w:val="center"/>
                </w:tcPr>
                <w:p w14:paraId="23F44697">
                  <w:pPr>
                    <w:pStyle w:val="41"/>
                    <w:bidi w:val="0"/>
                    <w:jc w:val="center"/>
                    <w:rPr>
                      <w:rFonts w:hint="default"/>
                      <w:lang w:val="en-US" w:eastAsia="zh-CN"/>
                    </w:rPr>
                  </w:pPr>
                  <w:r>
                    <w:rPr>
                      <w:lang w:val="zh-TW"/>
                    </w:rPr>
                    <w:t>《制药工业大气污染物排放标准》（DB32/4042-2021）</w:t>
                  </w:r>
                  <w:r>
                    <w:rPr>
                      <w:rFonts w:hint="eastAsia"/>
                      <w:lang w:val="en-US" w:eastAsia="zh-CN"/>
                    </w:rPr>
                    <w:t>表6</w:t>
                  </w:r>
                </w:p>
              </w:tc>
            </w:tr>
            <w:tr w14:paraId="22AD9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78" w:type="pct"/>
                  <w:vMerge w:val="continue"/>
                  <w:vAlign w:val="center"/>
                </w:tcPr>
                <w:p w14:paraId="183045A2">
                  <w:pPr>
                    <w:pStyle w:val="41"/>
                    <w:bidi w:val="0"/>
                    <w:jc w:val="center"/>
                  </w:pPr>
                </w:p>
              </w:tc>
              <w:tc>
                <w:tcPr>
                  <w:tcW w:w="824" w:type="pct"/>
                  <w:vAlign w:val="center"/>
                </w:tcPr>
                <w:p w14:paraId="5F558258">
                  <w:pPr>
                    <w:pStyle w:val="41"/>
                    <w:bidi w:val="0"/>
                    <w:jc w:val="center"/>
                  </w:pPr>
                  <w:r>
                    <w:t>20（任意一次）</w:t>
                  </w:r>
                </w:p>
              </w:tc>
              <w:tc>
                <w:tcPr>
                  <w:tcW w:w="1446" w:type="pct"/>
                  <w:vAlign w:val="center"/>
                </w:tcPr>
                <w:p w14:paraId="59C7CEA0">
                  <w:pPr>
                    <w:pStyle w:val="41"/>
                    <w:bidi w:val="0"/>
                    <w:jc w:val="center"/>
                  </w:pPr>
                  <w:r>
                    <w:rPr>
                      <w:rFonts w:hint="eastAsia"/>
                    </w:rPr>
                    <w:t>监控点处任意一次浓度值</w:t>
                  </w:r>
                </w:p>
              </w:tc>
              <w:tc>
                <w:tcPr>
                  <w:tcW w:w="728" w:type="pct"/>
                  <w:vMerge w:val="continue"/>
                  <w:vAlign w:val="center"/>
                </w:tcPr>
                <w:p w14:paraId="34902023">
                  <w:pPr>
                    <w:pStyle w:val="41"/>
                    <w:bidi w:val="0"/>
                    <w:jc w:val="center"/>
                    <w:rPr>
                      <w:rFonts w:hint="eastAsia"/>
                    </w:rPr>
                  </w:pPr>
                </w:p>
              </w:tc>
              <w:tc>
                <w:tcPr>
                  <w:tcW w:w="1522" w:type="pct"/>
                  <w:vMerge w:val="continue"/>
                  <w:vAlign w:val="center"/>
                </w:tcPr>
                <w:p w14:paraId="27F2C1F9">
                  <w:pPr>
                    <w:pStyle w:val="41"/>
                    <w:bidi w:val="0"/>
                    <w:jc w:val="center"/>
                    <w:rPr>
                      <w:lang w:val="zh-TW" w:eastAsia="zh-TW"/>
                    </w:rPr>
                  </w:pPr>
                </w:p>
              </w:tc>
            </w:tr>
          </w:tbl>
          <w:p w14:paraId="578AC97C">
            <w:pPr>
              <w:pStyle w:val="41"/>
              <w:bidi w:val="0"/>
              <w:rPr>
                <w:color w:val="auto"/>
                <w:highlight w:val="none"/>
                <w:lang w:val="zh-CN"/>
              </w:rPr>
            </w:pPr>
          </w:p>
          <w:p w14:paraId="275E417E">
            <w:pPr>
              <w:keepNext w:val="0"/>
              <w:keepLines w:val="0"/>
              <w:pageBreakBefore w:val="0"/>
              <w:widowControl w:val="0"/>
              <w:kinsoku/>
              <w:wordWrap/>
              <w:overflowPunct/>
              <w:topLinePunct w:val="0"/>
              <w:autoSpaceDE/>
              <w:autoSpaceDN/>
              <w:bidi w:val="0"/>
              <w:spacing w:line="460" w:lineRule="exact"/>
              <w:ind w:firstLine="482" w:firstLineChars="200"/>
              <w:jc w:val="left"/>
              <w:textAlignment w:val="auto"/>
              <w:rPr>
                <w:b/>
                <w:color w:val="auto"/>
                <w:sz w:val="24"/>
                <w:highlight w:val="none"/>
                <w:lang w:val="zh-CN"/>
              </w:rPr>
            </w:pPr>
            <w:r>
              <w:rPr>
                <w:b/>
                <w:color w:val="auto"/>
                <w:sz w:val="24"/>
                <w:highlight w:val="none"/>
              </w:rPr>
              <w:t>3、</w:t>
            </w:r>
            <w:r>
              <w:rPr>
                <w:b/>
                <w:color w:val="auto"/>
                <w:sz w:val="24"/>
                <w:highlight w:val="none"/>
                <w:lang w:val="zh-CN"/>
              </w:rPr>
              <w:t>噪声排放标准</w:t>
            </w:r>
          </w:p>
          <w:p w14:paraId="2833B5B1">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color w:val="auto"/>
                <w:sz w:val="24"/>
                <w:highlight w:val="none"/>
              </w:rPr>
            </w:pPr>
            <w:r>
              <w:rPr>
                <w:rFonts w:hint="eastAsia"/>
                <w:color w:val="auto"/>
                <w:highlight w:val="none"/>
                <w:lang w:val="en-US" w:eastAsia="zh-CN"/>
              </w:rPr>
              <w:t>项目所在地位于声环境功能区2类区，</w:t>
            </w:r>
            <w:r>
              <w:rPr>
                <w:color w:val="auto"/>
                <w:sz w:val="24"/>
                <w:highlight w:val="none"/>
              </w:rPr>
              <w:t>厂界噪声执行《工业企业厂界环境噪声排放标准》（GB12348-2008）中的</w:t>
            </w:r>
            <w:r>
              <w:rPr>
                <w:rFonts w:hint="eastAsia"/>
                <w:color w:val="auto"/>
                <w:sz w:val="24"/>
                <w:highlight w:val="none"/>
                <w:lang w:val="en-US" w:eastAsia="zh-CN"/>
              </w:rPr>
              <w:t>2</w:t>
            </w:r>
            <w:r>
              <w:rPr>
                <w:rFonts w:hint="eastAsia"/>
                <w:color w:val="auto"/>
                <w:sz w:val="24"/>
                <w:highlight w:val="none"/>
                <w:lang w:eastAsia="zh-CN"/>
              </w:rPr>
              <w:t>类</w:t>
            </w:r>
            <w:r>
              <w:rPr>
                <w:color w:val="auto"/>
                <w:sz w:val="24"/>
                <w:highlight w:val="none"/>
              </w:rPr>
              <w:t>标准</w:t>
            </w:r>
            <w:r>
              <w:rPr>
                <w:rFonts w:hint="eastAsia"/>
                <w:color w:val="auto"/>
                <w:sz w:val="24"/>
                <w:highlight w:val="none"/>
                <w:lang w:eastAsia="zh-CN"/>
              </w:rPr>
              <w:t>，</w:t>
            </w:r>
            <w:r>
              <w:rPr>
                <w:color w:val="auto"/>
                <w:sz w:val="24"/>
                <w:highlight w:val="none"/>
              </w:rPr>
              <w:t>具体标准</w:t>
            </w:r>
            <w:r>
              <w:rPr>
                <w:rFonts w:hint="eastAsia"/>
                <w:color w:val="auto"/>
                <w:sz w:val="24"/>
                <w:highlight w:val="none"/>
                <w:lang w:eastAsia="zh-CN"/>
              </w:rPr>
              <w:t>限值</w:t>
            </w:r>
            <w:r>
              <w:rPr>
                <w:color w:val="auto"/>
                <w:sz w:val="24"/>
                <w:highlight w:val="none"/>
              </w:rPr>
              <w:t>见</w:t>
            </w:r>
            <w:r>
              <w:rPr>
                <w:rFonts w:hint="eastAsia"/>
                <w:color w:val="auto"/>
                <w:sz w:val="24"/>
                <w:highlight w:val="none"/>
              </w:rPr>
              <w:t>下</w:t>
            </w:r>
            <w:r>
              <w:rPr>
                <w:color w:val="auto"/>
                <w:sz w:val="24"/>
                <w:highlight w:val="none"/>
              </w:rPr>
              <w:t>表。</w:t>
            </w:r>
          </w:p>
          <w:p w14:paraId="46BCA613">
            <w:pPr>
              <w:pStyle w:val="40"/>
              <w:bidi w:val="0"/>
              <w:rPr>
                <w:color w:val="auto"/>
                <w:highlight w:val="none"/>
              </w:rPr>
            </w:pPr>
            <w:r>
              <w:rPr>
                <w:color w:val="auto"/>
                <w:highlight w:val="none"/>
              </w:rPr>
              <w:t>《工业企业厂界环境噪声排放标准》（GB12348-2008）</w:t>
            </w:r>
          </w:p>
          <w:tbl>
            <w:tblPr>
              <w:tblStyle w:val="32"/>
              <w:tblW w:w="49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86"/>
              <w:gridCol w:w="5592"/>
            </w:tblGrid>
            <w:tr w14:paraId="0F176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pct"/>
                  <w:vAlign w:val="center"/>
                </w:tcPr>
                <w:p w14:paraId="5BA43B6F">
                  <w:pPr>
                    <w:pStyle w:val="41"/>
                    <w:bidi w:val="0"/>
                    <w:rPr>
                      <w:b/>
                      <w:bCs/>
                    </w:rPr>
                  </w:pPr>
                  <w:r>
                    <w:rPr>
                      <w:b/>
                      <w:bCs/>
                    </w:rPr>
                    <w:t>类别</w:t>
                  </w:r>
                </w:p>
              </w:tc>
              <w:tc>
                <w:tcPr>
                  <w:tcW w:w="3377" w:type="pct"/>
                  <w:vAlign w:val="center"/>
                </w:tcPr>
                <w:p w14:paraId="628D575E">
                  <w:pPr>
                    <w:pStyle w:val="41"/>
                    <w:bidi w:val="0"/>
                    <w:rPr>
                      <w:b/>
                      <w:bCs/>
                    </w:rPr>
                  </w:pPr>
                  <w:r>
                    <w:rPr>
                      <w:b/>
                      <w:bCs/>
                    </w:rPr>
                    <w:t>昼间（dB（A））</w:t>
                  </w:r>
                </w:p>
              </w:tc>
            </w:tr>
            <w:tr w14:paraId="69397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pct"/>
                  <w:vAlign w:val="center"/>
                </w:tcPr>
                <w:p w14:paraId="6ACF1225">
                  <w:pPr>
                    <w:pStyle w:val="41"/>
                    <w:bidi w:val="0"/>
                    <w:rPr>
                      <w:rFonts w:hint="eastAsia"/>
                      <w:lang w:eastAsia="zh-CN"/>
                    </w:rPr>
                  </w:pPr>
                  <w:r>
                    <w:rPr>
                      <w:rFonts w:hint="eastAsia"/>
                      <w:lang w:val="en-US" w:eastAsia="zh-CN"/>
                    </w:rPr>
                    <w:t>2</w:t>
                  </w:r>
                </w:p>
              </w:tc>
              <w:tc>
                <w:tcPr>
                  <w:tcW w:w="3377" w:type="pct"/>
                  <w:vAlign w:val="center"/>
                </w:tcPr>
                <w:p w14:paraId="0F9147C9">
                  <w:pPr>
                    <w:pStyle w:val="41"/>
                    <w:bidi w:val="0"/>
                    <w:rPr>
                      <w:rFonts w:hint="default"/>
                      <w:lang w:val="en-US" w:eastAsia="zh-CN"/>
                    </w:rPr>
                  </w:pPr>
                  <w:r>
                    <w:rPr>
                      <w:rFonts w:hint="eastAsia"/>
                      <w:lang w:val="en-US" w:eastAsia="zh-CN"/>
                    </w:rPr>
                    <w:t>60</w:t>
                  </w:r>
                </w:p>
              </w:tc>
            </w:tr>
          </w:tbl>
          <w:p w14:paraId="7E9D6D5D">
            <w:pPr>
              <w:pStyle w:val="41"/>
              <w:bidi w:val="0"/>
              <w:rPr>
                <w:rFonts w:hint="eastAsia"/>
                <w:color w:val="auto"/>
                <w:highlight w:val="none"/>
                <w:lang w:val="zh-CN"/>
              </w:rPr>
            </w:pPr>
          </w:p>
          <w:p w14:paraId="12BB0E08">
            <w:pPr>
              <w:keepNext w:val="0"/>
              <w:keepLines w:val="0"/>
              <w:pageBreakBefore w:val="0"/>
              <w:widowControl w:val="0"/>
              <w:kinsoku/>
              <w:wordWrap/>
              <w:overflowPunct/>
              <w:topLinePunct w:val="0"/>
              <w:autoSpaceDE/>
              <w:autoSpaceDN/>
              <w:bidi w:val="0"/>
              <w:adjustRightInd/>
              <w:snapToGrid/>
              <w:spacing w:line="460" w:lineRule="exact"/>
              <w:ind w:firstLine="482" w:firstLineChars="200"/>
              <w:jc w:val="left"/>
              <w:textAlignment w:val="auto"/>
              <w:rPr>
                <w:b/>
                <w:color w:val="auto"/>
                <w:sz w:val="24"/>
                <w:highlight w:val="none"/>
                <w:lang w:val="zh-CN"/>
              </w:rPr>
            </w:pPr>
            <w:r>
              <w:rPr>
                <w:b/>
                <w:color w:val="auto"/>
                <w:sz w:val="24"/>
                <w:highlight w:val="none"/>
                <w:lang w:val="zh-CN"/>
              </w:rPr>
              <w:t>4、固废废物</w:t>
            </w:r>
          </w:p>
          <w:p w14:paraId="1268FFF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auto"/>
                <w:highlight w:val="none"/>
              </w:rPr>
            </w:pPr>
            <w:bookmarkStart w:id="43" w:name="sys3539038"/>
            <w:r>
              <w:rPr>
                <w:color w:val="auto"/>
                <w:highlight w:val="none"/>
                <w:lang w:val="zh-CN"/>
              </w:rPr>
              <w:t>本项目一般工业固体废物</w:t>
            </w:r>
            <w:r>
              <w:rPr>
                <w:rFonts w:hint="eastAsia"/>
                <w:color w:val="auto"/>
                <w:highlight w:val="none"/>
              </w:rPr>
              <w:t>贮存过程满足相应防渗漏、防雨淋、防扬尘等环境保护要求。</w:t>
            </w:r>
            <w:bookmarkEnd w:id="43"/>
          </w:p>
          <w:p w14:paraId="560EE0CE">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default"/>
                <w:color w:val="auto"/>
                <w:kern w:val="0"/>
                <w:szCs w:val="21"/>
                <w:highlight w:val="none"/>
                <w:lang w:val="en-US"/>
              </w:rPr>
            </w:pPr>
            <w:r>
              <w:rPr>
                <w:rFonts w:hint="eastAsia"/>
                <w:color w:val="auto"/>
                <w:highlight w:val="none"/>
                <w:lang w:val="zh-CN"/>
              </w:rPr>
              <w:t>危险废物</w:t>
            </w:r>
            <w:r>
              <w:rPr>
                <w:rFonts w:hint="eastAsia"/>
                <w:color w:val="auto"/>
                <w:highlight w:val="none"/>
                <w:lang w:val="en-US" w:eastAsia="zh-CN"/>
              </w:rPr>
              <w:t>暂存</w:t>
            </w:r>
            <w:r>
              <w:rPr>
                <w:rFonts w:hint="eastAsia"/>
                <w:color w:val="auto"/>
                <w:highlight w:val="none"/>
                <w:lang w:val="zh-CN"/>
              </w:rPr>
              <w:t>按《危险废物贮存污染控制标准》（GB18597</w:t>
            </w:r>
            <w:r>
              <w:rPr>
                <w:rFonts w:hint="eastAsia"/>
                <w:color w:val="auto"/>
                <w:highlight w:val="none"/>
                <w:lang w:val="en-US" w:eastAsia="zh-CN"/>
              </w:rPr>
              <w:t>-</w:t>
            </w:r>
            <w:r>
              <w:rPr>
                <w:rFonts w:hint="eastAsia"/>
                <w:color w:val="auto"/>
                <w:highlight w:val="none"/>
                <w:lang w:val="zh-CN"/>
              </w:rPr>
              <w:t>2023）、</w:t>
            </w:r>
            <w:r>
              <w:rPr>
                <w:rFonts w:hint="eastAsia"/>
                <w:color w:val="auto"/>
                <w:highlight w:val="none"/>
                <w:lang w:eastAsia="zh-CN"/>
              </w:rPr>
              <w:t>《危险废物识别标志设置技术规范》（</w:t>
            </w:r>
            <w:r>
              <w:rPr>
                <w:rFonts w:hint="eastAsia"/>
                <w:color w:val="auto"/>
                <w:highlight w:val="none"/>
                <w:lang w:val="en-US" w:eastAsia="zh-CN"/>
              </w:rPr>
              <w:t>HJ1276-2022</w:t>
            </w:r>
            <w:r>
              <w:rPr>
                <w:rFonts w:hint="eastAsia"/>
                <w:color w:val="auto"/>
                <w:highlight w:val="none"/>
                <w:lang w:eastAsia="zh-CN"/>
              </w:rPr>
              <w:t>）、</w:t>
            </w:r>
            <w:r>
              <w:rPr>
                <w:rFonts w:hint="eastAsia"/>
                <w:color w:val="auto"/>
                <w:highlight w:val="none"/>
                <w:lang w:val="zh-CN"/>
              </w:rPr>
              <w:t>《省生态环境厅关于印发〈江苏省固体废物全过程环境监管工作意见〉的通知》（苏环办〔2024〕16号）、</w:t>
            </w:r>
            <w:r>
              <w:rPr>
                <w:color w:val="auto"/>
                <w:sz w:val="24"/>
                <w:highlight w:val="none"/>
              </w:rPr>
              <w:t>《关于做好江苏省危险废物全生命周期监控系统上线运行工作的通知》（苏环办</w:t>
            </w:r>
            <w:r>
              <w:rPr>
                <w:rFonts w:hint="eastAsia"/>
                <w:color w:val="auto"/>
                <w:sz w:val="24"/>
                <w:highlight w:val="none"/>
                <w:lang w:eastAsia="zh-CN"/>
              </w:rPr>
              <w:t>〔2020〕401号</w:t>
            </w:r>
            <w:r>
              <w:rPr>
                <w:color w:val="auto"/>
                <w:sz w:val="24"/>
                <w:highlight w:val="none"/>
              </w:rPr>
              <w:t>）</w:t>
            </w:r>
            <w:r>
              <w:rPr>
                <w:rFonts w:hint="eastAsia"/>
                <w:color w:val="auto"/>
                <w:sz w:val="24"/>
                <w:highlight w:val="none"/>
                <w:lang w:val="en-US" w:eastAsia="zh-CN"/>
              </w:rPr>
              <w:t>等</w:t>
            </w:r>
            <w:r>
              <w:rPr>
                <w:color w:val="auto"/>
                <w:sz w:val="24"/>
                <w:highlight w:val="none"/>
              </w:rPr>
              <w:t>相关要求；危险废物的收集、贮存、运输过程执行《危险废物收集</w:t>
            </w:r>
            <w:r>
              <w:rPr>
                <w:rFonts w:hint="eastAsia"/>
                <w:color w:val="auto"/>
                <w:sz w:val="24"/>
                <w:highlight w:val="none"/>
              </w:rPr>
              <w:t xml:space="preserve"> </w:t>
            </w:r>
            <w:r>
              <w:rPr>
                <w:color w:val="auto"/>
                <w:sz w:val="24"/>
                <w:highlight w:val="none"/>
              </w:rPr>
              <w:t>贮存</w:t>
            </w:r>
            <w:r>
              <w:rPr>
                <w:rFonts w:hint="eastAsia"/>
                <w:color w:val="auto"/>
                <w:sz w:val="24"/>
                <w:highlight w:val="none"/>
              </w:rPr>
              <w:t xml:space="preserve"> </w:t>
            </w:r>
            <w:r>
              <w:rPr>
                <w:color w:val="auto"/>
                <w:sz w:val="24"/>
                <w:highlight w:val="none"/>
              </w:rPr>
              <w:t>运输技术规范》（HJ2025-2012）相关要求</w:t>
            </w:r>
            <w:r>
              <w:rPr>
                <w:rFonts w:hint="eastAsia"/>
                <w:color w:val="auto"/>
                <w:highlight w:val="none"/>
                <w:lang w:val="en-US" w:eastAsia="zh-CN"/>
              </w:rPr>
              <w:t>执行</w:t>
            </w:r>
            <w:r>
              <w:rPr>
                <w:rFonts w:hint="eastAsia"/>
                <w:color w:val="auto"/>
                <w:highlight w:val="none"/>
                <w:lang w:val="zh-CN"/>
              </w:rPr>
              <w:t>。</w:t>
            </w:r>
          </w:p>
        </w:tc>
      </w:tr>
      <w:tr w14:paraId="257DB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2" w:hRule="atLeast"/>
          <w:jc w:val="center"/>
        </w:trPr>
        <w:tc>
          <w:tcPr>
            <w:tcW w:w="436" w:type="dxa"/>
            <w:vAlign w:val="center"/>
          </w:tcPr>
          <w:p w14:paraId="52A0AE55">
            <w:pPr>
              <w:adjustRightInd w:val="0"/>
              <w:snapToGrid w:val="0"/>
              <w:spacing w:line="240" w:lineRule="auto"/>
              <w:jc w:val="center"/>
              <w:rPr>
                <w:color w:val="auto"/>
                <w:kern w:val="0"/>
                <w:szCs w:val="21"/>
                <w:highlight w:val="none"/>
              </w:rPr>
            </w:pPr>
            <w:r>
              <w:rPr>
                <w:b/>
                <w:bCs/>
                <w:color w:val="auto"/>
                <w:kern w:val="0"/>
                <w:sz w:val="24"/>
                <w:highlight w:val="none"/>
              </w:rPr>
              <w:t>总量控制指标</w:t>
            </w:r>
          </w:p>
        </w:tc>
        <w:tc>
          <w:tcPr>
            <w:tcW w:w="8554" w:type="dxa"/>
            <w:vAlign w:val="center"/>
          </w:tcPr>
          <w:p w14:paraId="0CF2E503">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482" w:firstLineChars="200"/>
              <w:textAlignment w:val="auto"/>
              <w:rPr>
                <w:color w:val="auto"/>
                <w:sz w:val="24"/>
                <w:highlight w:val="none"/>
              </w:rPr>
            </w:pPr>
            <w:r>
              <w:rPr>
                <w:rFonts w:hint="eastAsia"/>
                <w:b/>
                <w:bCs/>
                <w:color w:val="auto"/>
                <w:highlight w:val="none"/>
                <w:lang w:val="en-US" w:eastAsia="zh-CN"/>
              </w:rPr>
              <w:t>1、总量控制指标</w:t>
            </w:r>
          </w:p>
          <w:p w14:paraId="1BCAAC49">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480" w:firstLineChars="200"/>
              <w:textAlignment w:val="auto"/>
              <w:rPr>
                <w:rFonts w:hint="default" w:eastAsia="宋体"/>
                <w:color w:val="auto"/>
                <w:sz w:val="24"/>
                <w:highlight w:val="none"/>
                <w:lang w:val="en-US" w:eastAsia="zh-CN"/>
              </w:rPr>
            </w:pPr>
            <w:r>
              <w:rPr>
                <w:color w:val="auto"/>
                <w:sz w:val="24"/>
                <w:highlight w:val="none"/>
              </w:rPr>
              <w:t>根据本项目排污特征，确定总量控制</w:t>
            </w:r>
            <w:r>
              <w:rPr>
                <w:rFonts w:hint="eastAsia"/>
                <w:color w:val="auto"/>
                <w:sz w:val="24"/>
                <w:highlight w:val="none"/>
                <w:lang w:val="en-US" w:eastAsia="zh-CN"/>
              </w:rPr>
              <w:t>指标如下：</w:t>
            </w:r>
          </w:p>
          <w:p w14:paraId="0C98E6F8">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480" w:firstLineChars="200"/>
              <w:textAlignment w:val="auto"/>
              <w:rPr>
                <w:color w:val="auto"/>
                <w:kern w:val="0"/>
                <w:sz w:val="24"/>
                <w:highlight w:val="none"/>
              </w:rPr>
            </w:pPr>
            <w:r>
              <w:rPr>
                <w:color w:val="auto"/>
                <w:sz w:val="24"/>
                <w:highlight w:val="none"/>
              </w:rPr>
              <w:t>（1）废水</w:t>
            </w:r>
          </w:p>
          <w:p w14:paraId="59F9D599">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480" w:firstLineChars="200"/>
              <w:textAlignment w:val="auto"/>
              <w:rPr>
                <w:rFonts w:hint="default"/>
                <w:color w:val="auto"/>
                <w:sz w:val="24"/>
                <w:highlight w:val="none"/>
                <w:lang w:val="en-US"/>
              </w:rPr>
            </w:pPr>
            <w:r>
              <w:rPr>
                <w:rFonts w:hint="eastAsia"/>
                <w:color w:val="auto"/>
                <w:kern w:val="0"/>
                <w:sz w:val="24"/>
                <w:highlight w:val="none"/>
                <w:lang w:val="en-US" w:eastAsia="zh-CN"/>
              </w:rPr>
              <w:t>本项目不新增废水排放量。</w:t>
            </w:r>
          </w:p>
          <w:p w14:paraId="018CF4BF">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480" w:firstLineChars="200"/>
              <w:textAlignment w:val="auto"/>
              <w:rPr>
                <w:color w:val="auto"/>
                <w:kern w:val="0"/>
                <w:sz w:val="24"/>
                <w:highlight w:val="none"/>
              </w:rPr>
            </w:pPr>
            <w:r>
              <w:rPr>
                <w:color w:val="auto"/>
                <w:sz w:val="24"/>
                <w:highlight w:val="none"/>
              </w:rPr>
              <w:t>（2）废气</w:t>
            </w:r>
          </w:p>
          <w:p w14:paraId="72EF33F7">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480" w:firstLineChars="200"/>
              <w:textAlignment w:val="auto"/>
              <w:rPr>
                <w:color w:val="auto"/>
                <w:sz w:val="24"/>
                <w:highlight w:val="none"/>
              </w:rPr>
            </w:pPr>
            <w:r>
              <w:rPr>
                <w:rFonts w:hint="eastAsia"/>
                <w:color w:val="auto"/>
                <w:kern w:val="0"/>
                <w:sz w:val="24"/>
                <w:highlight w:val="none"/>
                <w:lang w:val="en-US" w:eastAsia="zh-CN"/>
              </w:rPr>
              <w:t>对企业新增废气排放量进行总量申请。申请总量控制因子排放量为：VOCs</w:t>
            </w:r>
            <w:r>
              <w:rPr>
                <w:rFonts w:hint="eastAsia"/>
                <w:color w:val="auto"/>
                <w:sz w:val="24"/>
                <w:highlight w:val="none"/>
              </w:rPr>
              <w:t>排放量</w:t>
            </w:r>
            <w:r>
              <w:rPr>
                <w:rFonts w:hint="eastAsia"/>
                <w:color w:val="auto"/>
                <w:sz w:val="24"/>
                <w:highlight w:val="none"/>
                <w:lang w:val="en-US" w:eastAsia="zh-CN"/>
              </w:rPr>
              <w:t>0.1257</w:t>
            </w:r>
            <w:r>
              <w:rPr>
                <w:rFonts w:hint="eastAsia"/>
                <w:color w:val="auto"/>
                <w:sz w:val="24"/>
                <w:highlight w:val="none"/>
              </w:rPr>
              <w:t>t/a</w:t>
            </w:r>
            <w:r>
              <w:rPr>
                <w:color w:val="auto"/>
                <w:kern w:val="0"/>
                <w:sz w:val="24"/>
                <w:highlight w:val="none"/>
              </w:rPr>
              <w:t>。</w:t>
            </w:r>
          </w:p>
          <w:p w14:paraId="00BB66D7">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480" w:firstLineChars="200"/>
              <w:textAlignment w:val="auto"/>
              <w:rPr>
                <w:color w:val="auto"/>
                <w:sz w:val="24"/>
                <w:highlight w:val="none"/>
              </w:rPr>
            </w:pPr>
            <w:r>
              <w:rPr>
                <w:rFonts w:hint="eastAsia"/>
                <w:color w:val="auto"/>
                <w:highlight w:val="none"/>
                <w:lang w:eastAsia="zh-CN"/>
              </w:rPr>
              <w:t>废气污染物由江宁区大气减排项目平衡。</w:t>
            </w:r>
          </w:p>
          <w:p w14:paraId="0D4FF6CA">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480" w:firstLineChars="200"/>
              <w:textAlignment w:val="auto"/>
              <w:rPr>
                <w:color w:val="auto"/>
                <w:sz w:val="24"/>
                <w:highlight w:val="none"/>
              </w:rPr>
            </w:pPr>
            <w:r>
              <w:rPr>
                <w:color w:val="auto"/>
                <w:sz w:val="24"/>
                <w:highlight w:val="none"/>
              </w:rPr>
              <w:t>（3）固废</w:t>
            </w:r>
          </w:p>
          <w:p w14:paraId="741FAD68">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固体废物</w:t>
            </w:r>
            <w:r>
              <w:rPr>
                <w:rFonts w:hint="eastAsia" w:ascii="Times New Roman" w:hAnsi="Times New Roman" w:eastAsia="宋体" w:cs="Times New Roman"/>
                <w:color w:val="auto"/>
                <w:sz w:val="24"/>
                <w:highlight w:val="none"/>
              </w:rPr>
              <w:t>妥善处置，</w:t>
            </w:r>
            <w:r>
              <w:rPr>
                <w:rFonts w:hint="eastAsia" w:ascii="Times New Roman" w:hAnsi="Times New Roman" w:eastAsia="宋体" w:cs="Times New Roman"/>
                <w:color w:val="auto"/>
                <w:sz w:val="24"/>
                <w:highlight w:val="none"/>
                <w:lang w:val="en-US" w:eastAsia="zh-CN"/>
              </w:rPr>
              <w:t>无</w:t>
            </w:r>
            <w:r>
              <w:rPr>
                <w:rFonts w:hint="eastAsia" w:ascii="Times New Roman" w:hAnsi="Times New Roman" w:eastAsia="宋体" w:cs="Times New Roman"/>
                <w:color w:val="auto"/>
                <w:sz w:val="24"/>
                <w:highlight w:val="none"/>
              </w:rPr>
              <w:t>需申请总量。</w:t>
            </w:r>
          </w:p>
          <w:p w14:paraId="3BCE6188">
            <w:pPr>
              <w:bidi w:val="0"/>
              <w:rPr>
                <w:rFonts w:hint="default"/>
                <w:color w:val="auto"/>
                <w:highlight w:val="none"/>
                <w:lang w:val="en-US" w:eastAsia="zh-CN"/>
              </w:rPr>
            </w:pPr>
          </w:p>
          <w:p w14:paraId="0C51564D">
            <w:pPr>
              <w:bidi w:val="0"/>
              <w:rPr>
                <w:rFonts w:hint="default"/>
                <w:color w:val="auto"/>
                <w:highlight w:val="none"/>
                <w:lang w:val="en-US" w:eastAsia="zh-CN"/>
              </w:rPr>
            </w:pPr>
          </w:p>
          <w:p w14:paraId="5A56F5CA">
            <w:pPr>
              <w:bidi w:val="0"/>
              <w:rPr>
                <w:rFonts w:hint="default"/>
                <w:color w:val="auto"/>
                <w:highlight w:val="none"/>
                <w:lang w:val="en-US" w:eastAsia="zh-CN"/>
              </w:rPr>
            </w:pPr>
          </w:p>
        </w:tc>
      </w:tr>
    </w:tbl>
    <w:p w14:paraId="2E2E7678">
      <w:pPr>
        <w:bidi w:val="0"/>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
        <w:gridCol w:w="12944"/>
      </w:tblGrid>
      <w:tr w14:paraId="7BE5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0" w:hRule="atLeast"/>
        </w:trPr>
        <w:tc>
          <w:tcPr>
            <w:tcW w:w="512" w:type="dxa"/>
            <w:vAlign w:val="center"/>
          </w:tcPr>
          <w:p w14:paraId="05F8AA1D">
            <w:pPr>
              <w:bidi w:val="0"/>
              <w:spacing w:line="240" w:lineRule="auto"/>
              <w:jc w:val="center"/>
              <w:rPr>
                <w:vertAlign w:val="baseline"/>
              </w:rPr>
            </w:pPr>
            <w:r>
              <w:rPr>
                <w:b/>
                <w:bCs/>
                <w:color w:val="auto"/>
                <w:kern w:val="0"/>
                <w:sz w:val="24"/>
                <w:highlight w:val="none"/>
              </w:rPr>
              <w:t>总量控制指标</w:t>
            </w:r>
          </w:p>
        </w:tc>
        <w:tc>
          <w:tcPr>
            <w:tcW w:w="12944" w:type="dxa"/>
          </w:tcPr>
          <w:p w14:paraId="53B26525">
            <w:pPr>
              <w:pStyle w:val="40"/>
              <w:bidi w:val="0"/>
            </w:pPr>
            <w:r>
              <w:rPr>
                <w:rFonts w:hint="eastAsia"/>
              </w:rPr>
              <w:t>全厂污染物排放产生及排放三本账（t/a）</w:t>
            </w:r>
          </w:p>
          <w:tbl>
            <w:tblPr>
              <w:tblStyle w:val="32"/>
              <w:tblW w:w="493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08"/>
              <w:gridCol w:w="1568"/>
              <w:gridCol w:w="1631"/>
              <w:gridCol w:w="945"/>
              <w:gridCol w:w="1046"/>
              <w:gridCol w:w="1493"/>
              <w:gridCol w:w="1441"/>
              <w:gridCol w:w="1471"/>
              <w:gridCol w:w="1430"/>
            </w:tblGrid>
            <w:tr w14:paraId="40CA7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restart"/>
                  <w:noWrap w:val="0"/>
                  <w:vAlign w:val="center"/>
                </w:tcPr>
                <w:p w14:paraId="19C2017C">
                  <w:pPr>
                    <w:pStyle w:val="41"/>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类别</w:t>
                  </w:r>
                </w:p>
              </w:tc>
              <w:tc>
                <w:tcPr>
                  <w:tcW w:w="441" w:type="pct"/>
                  <w:vMerge w:val="restart"/>
                  <w:noWrap w:val="0"/>
                  <w:vAlign w:val="center"/>
                </w:tcPr>
                <w:p w14:paraId="2786B7D2">
                  <w:pPr>
                    <w:pStyle w:val="41"/>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污染物名称</w:t>
                  </w:r>
                </w:p>
              </w:tc>
              <w:tc>
                <w:tcPr>
                  <w:tcW w:w="624" w:type="pct"/>
                  <w:vMerge w:val="restart"/>
                  <w:noWrap w:val="0"/>
                  <w:vAlign w:val="center"/>
                </w:tcPr>
                <w:p w14:paraId="3302F53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b/>
                      <w:bCs/>
                      <w:color w:val="auto"/>
                      <w:highlight w:val="none"/>
                      <w:lang w:val="en-US" w:eastAsia="zh-CN"/>
                    </w:rPr>
                  </w:pPr>
                  <w:r>
                    <w:rPr>
                      <w:rFonts w:hint="eastAsia"/>
                      <w:b/>
                      <w:bCs/>
                      <w:color w:val="auto"/>
                      <w:highlight w:val="none"/>
                      <w:lang w:val="en-US" w:eastAsia="zh-CN"/>
                    </w:rPr>
                    <w:t>现有项目排放量①</w:t>
                  </w:r>
                </w:p>
              </w:tc>
              <w:tc>
                <w:tcPr>
                  <w:tcW w:w="649" w:type="pct"/>
                  <w:vMerge w:val="restart"/>
                  <w:noWrap w:val="0"/>
                  <w:vAlign w:val="center"/>
                </w:tcPr>
                <w:p w14:paraId="310B678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b/>
                      <w:bCs/>
                      <w:color w:val="auto"/>
                      <w:highlight w:val="none"/>
                      <w:lang w:val="en-US" w:eastAsia="zh-CN"/>
                    </w:rPr>
                  </w:pPr>
                  <w:r>
                    <w:rPr>
                      <w:rFonts w:hint="eastAsia"/>
                      <w:b/>
                      <w:bCs/>
                      <w:color w:val="auto"/>
                      <w:highlight w:val="none"/>
                      <w:lang w:val="en-US" w:eastAsia="zh-CN"/>
                    </w:rPr>
                    <w:t>在建项目排放量②</w:t>
                  </w:r>
                </w:p>
              </w:tc>
              <w:tc>
                <w:tcPr>
                  <w:tcW w:w="1386" w:type="pct"/>
                  <w:gridSpan w:val="3"/>
                  <w:noWrap w:val="0"/>
                  <w:vAlign w:val="center"/>
                </w:tcPr>
                <w:p w14:paraId="03A346F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b/>
                      <w:bCs/>
                      <w:color w:val="auto"/>
                      <w:highlight w:val="none"/>
                      <w:lang w:val="en-US" w:eastAsia="zh-CN"/>
                    </w:rPr>
                  </w:pPr>
                  <w:r>
                    <w:rPr>
                      <w:rFonts w:hint="eastAsia"/>
                      <w:b/>
                      <w:bCs/>
                      <w:color w:val="auto"/>
                      <w:highlight w:val="none"/>
                      <w:lang w:val="en-US" w:eastAsia="zh-CN"/>
                    </w:rPr>
                    <w:t>本项目</w:t>
                  </w:r>
                </w:p>
              </w:tc>
              <w:tc>
                <w:tcPr>
                  <w:tcW w:w="573" w:type="pct"/>
                  <w:vMerge w:val="restart"/>
                  <w:noWrap w:val="0"/>
                  <w:vAlign w:val="center"/>
                </w:tcPr>
                <w:p w14:paraId="3CB977C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b/>
                      <w:bCs/>
                      <w:color w:val="auto"/>
                      <w:highlight w:val="none"/>
                    </w:rPr>
                  </w:pPr>
                  <w:r>
                    <w:rPr>
                      <w:b/>
                      <w:bCs/>
                      <w:color w:val="auto"/>
                      <w:highlight w:val="none"/>
                    </w:rPr>
                    <w:t>“以新带老”削减量</w:t>
                  </w:r>
                  <w:r>
                    <w:rPr>
                      <w:rFonts w:hint="eastAsia"/>
                      <w:b/>
                      <w:bCs/>
                      <w:color w:val="auto"/>
                      <w:highlight w:val="none"/>
                      <w:lang w:val="en-US" w:eastAsia="zh-CN"/>
                    </w:rPr>
                    <w:t>⑥</w:t>
                  </w:r>
                </w:p>
              </w:tc>
              <w:tc>
                <w:tcPr>
                  <w:tcW w:w="585" w:type="pct"/>
                  <w:vMerge w:val="restart"/>
                  <w:noWrap w:val="0"/>
                  <w:vAlign w:val="center"/>
                </w:tcPr>
                <w:p w14:paraId="34011FF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b/>
                      <w:bCs/>
                      <w:color w:val="auto"/>
                      <w:highlight w:val="none"/>
                      <w:lang w:val="en-US" w:eastAsia="zh-CN"/>
                    </w:rPr>
                  </w:pPr>
                  <w:r>
                    <w:rPr>
                      <w:b/>
                      <w:bCs/>
                      <w:color w:val="auto"/>
                      <w:highlight w:val="none"/>
                    </w:rPr>
                    <w:t>排放增减量</w:t>
                  </w:r>
                  <w:r>
                    <w:rPr>
                      <w:rFonts w:hint="eastAsia"/>
                      <w:b/>
                      <w:bCs/>
                      <w:color w:val="auto"/>
                      <w:highlight w:val="none"/>
                      <w:lang w:val="en-US" w:eastAsia="zh-CN"/>
                    </w:rPr>
                    <w:t>⑦</w:t>
                  </w:r>
                </w:p>
              </w:tc>
              <w:tc>
                <w:tcPr>
                  <w:tcW w:w="569" w:type="pct"/>
                  <w:vMerge w:val="restart"/>
                  <w:noWrap w:val="0"/>
                  <w:vAlign w:val="center"/>
                </w:tcPr>
                <w:p w14:paraId="76EE1BE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b/>
                      <w:bCs/>
                      <w:color w:val="auto"/>
                      <w:highlight w:val="none"/>
                      <w:lang w:val="en-US" w:eastAsia="zh-CN"/>
                    </w:rPr>
                  </w:pPr>
                  <w:r>
                    <w:rPr>
                      <w:b/>
                      <w:bCs/>
                      <w:color w:val="auto"/>
                      <w:highlight w:val="none"/>
                    </w:rPr>
                    <w:t>全厂</w:t>
                  </w:r>
                  <w:r>
                    <w:rPr>
                      <w:rFonts w:hint="eastAsia"/>
                      <w:b/>
                      <w:bCs/>
                      <w:color w:val="auto"/>
                      <w:highlight w:val="none"/>
                      <w:lang w:val="en-US" w:eastAsia="zh-CN"/>
                    </w:rPr>
                    <w:t>排放</w:t>
                  </w:r>
                  <w:r>
                    <w:rPr>
                      <w:b/>
                      <w:bCs/>
                      <w:color w:val="auto"/>
                      <w:highlight w:val="none"/>
                    </w:rPr>
                    <w:t>量</w:t>
                  </w:r>
                  <w:r>
                    <w:rPr>
                      <w:rFonts w:hint="eastAsia"/>
                      <w:b/>
                      <w:bCs/>
                      <w:color w:val="auto"/>
                      <w:highlight w:val="none"/>
                      <w:lang w:val="en-US" w:eastAsia="zh-CN"/>
                    </w:rPr>
                    <w:t>⑧</w:t>
                  </w:r>
                </w:p>
              </w:tc>
            </w:tr>
            <w:tr w14:paraId="2496F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27A8ACFF">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vMerge w:val="continue"/>
                  <w:noWrap w:val="0"/>
                  <w:vAlign w:val="center"/>
                </w:tcPr>
                <w:p w14:paraId="28E03B33">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24" w:type="pct"/>
                  <w:vMerge w:val="continue"/>
                  <w:noWrap w:val="0"/>
                  <w:vAlign w:val="center"/>
                </w:tcPr>
                <w:p w14:paraId="690A11B6">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49" w:type="pct"/>
                  <w:vMerge w:val="continue"/>
                  <w:noWrap w:val="0"/>
                  <w:vAlign w:val="center"/>
                </w:tcPr>
                <w:p w14:paraId="7DDFA120">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376" w:type="pct"/>
                  <w:noWrap w:val="0"/>
                  <w:vAlign w:val="center"/>
                </w:tcPr>
                <w:p w14:paraId="253BC57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b/>
                      <w:bCs/>
                      <w:color w:val="auto"/>
                      <w:highlight w:val="none"/>
                      <w:lang w:val="en-US" w:eastAsia="zh-CN"/>
                    </w:rPr>
                  </w:pPr>
                  <w:r>
                    <w:rPr>
                      <w:b/>
                      <w:bCs/>
                      <w:color w:val="auto"/>
                      <w:highlight w:val="none"/>
                    </w:rPr>
                    <w:t>产生量</w:t>
                  </w:r>
                  <w:r>
                    <w:rPr>
                      <w:rFonts w:hint="eastAsia"/>
                      <w:b/>
                      <w:bCs/>
                      <w:color w:val="auto"/>
                      <w:highlight w:val="none"/>
                      <w:lang w:val="en-US" w:eastAsia="zh-CN"/>
                    </w:rPr>
                    <w:t>③</w:t>
                  </w:r>
                </w:p>
              </w:tc>
              <w:tc>
                <w:tcPr>
                  <w:tcW w:w="416" w:type="pct"/>
                  <w:noWrap w:val="0"/>
                  <w:vAlign w:val="center"/>
                </w:tcPr>
                <w:p w14:paraId="6EBAE5A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b/>
                      <w:bCs/>
                      <w:color w:val="auto"/>
                      <w:highlight w:val="none"/>
                      <w:lang w:val="en-US" w:eastAsia="zh-CN"/>
                    </w:rPr>
                  </w:pPr>
                  <w:r>
                    <w:rPr>
                      <w:b/>
                      <w:bCs/>
                      <w:color w:val="auto"/>
                      <w:highlight w:val="none"/>
                    </w:rPr>
                    <w:t>削减量</w:t>
                  </w:r>
                  <w:r>
                    <w:rPr>
                      <w:rFonts w:hint="eastAsia"/>
                      <w:b/>
                      <w:bCs/>
                      <w:color w:val="auto"/>
                      <w:highlight w:val="none"/>
                      <w:lang w:val="en-US" w:eastAsia="zh-CN"/>
                    </w:rPr>
                    <w:t>④</w:t>
                  </w:r>
                </w:p>
              </w:tc>
              <w:tc>
                <w:tcPr>
                  <w:tcW w:w="594" w:type="pct"/>
                  <w:noWrap w:val="0"/>
                  <w:vAlign w:val="center"/>
                </w:tcPr>
                <w:p w14:paraId="4C08ACC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b/>
                      <w:bCs/>
                      <w:color w:val="auto"/>
                      <w:highlight w:val="none"/>
                      <w:lang w:val="en-US" w:eastAsia="zh-CN"/>
                    </w:rPr>
                  </w:pPr>
                  <w:r>
                    <w:rPr>
                      <w:rFonts w:hint="eastAsia"/>
                      <w:b/>
                      <w:bCs/>
                      <w:color w:val="auto"/>
                      <w:highlight w:val="none"/>
                      <w:lang w:val="en-US" w:eastAsia="zh-CN"/>
                    </w:rPr>
                    <w:t>排放量⑤</w:t>
                  </w:r>
                </w:p>
              </w:tc>
              <w:tc>
                <w:tcPr>
                  <w:tcW w:w="573" w:type="pct"/>
                  <w:vMerge w:val="continue"/>
                  <w:noWrap w:val="0"/>
                  <w:vAlign w:val="center"/>
                </w:tcPr>
                <w:p w14:paraId="33C02EED">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585" w:type="pct"/>
                  <w:vMerge w:val="continue"/>
                  <w:noWrap w:val="0"/>
                  <w:vAlign w:val="center"/>
                </w:tcPr>
                <w:p w14:paraId="29742183">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569" w:type="pct"/>
                  <w:vMerge w:val="continue"/>
                  <w:noWrap w:val="0"/>
                  <w:vAlign w:val="center"/>
                </w:tcPr>
                <w:p w14:paraId="5E338DF8">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r>
            <w:tr w14:paraId="6AB9E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restart"/>
                  <w:noWrap w:val="0"/>
                  <w:vAlign w:val="center"/>
                </w:tcPr>
                <w:p w14:paraId="45AACB9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highlight w:val="none"/>
                      <w:lang w:val="en-US" w:eastAsia="zh-CN"/>
                    </w:rPr>
                  </w:pPr>
                  <w:r>
                    <w:rPr>
                      <w:rFonts w:hint="eastAsia"/>
                      <w:color w:val="auto"/>
                      <w:highlight w:val="none"/>
                      <w:lang w:val="en-US" w:eastAsia="zh-CN"/>
                    </w:rPr>
                    <w:t>废水</w:t>
                  </w:r>
                </w:p>
              </w:tc>
              <w:tc>
                <w:tcPr>
                  <w:tcW w:w="441" w:type="pct"/>
                  <w:shd w:val="clear" w:color="auto" w:fill="auto"/>
                  <w:noWrap w:val="0"/>
                  <w:vAlign w:val="center"/>
                </w:tcPr>
                <w:p w14:paraId="1AA76F9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highlight w:val="none"/>
                      <w:lang w:val="en-US" w:eastAsia="zh-CN" w:bidi="ar-SA"/>
                    </w:rPr>
                  </w:pPr>
                  <w:r>
                    <w:rPr>
                      <w:color w:val="auto"/>
                      <w:highlight w:val="none"/>
                    </w:rPr>
                    <w:t>废水量</w:t>
                  </w:r>
                </w:p>
              </w:tc>
              <w:tc>
                <w:tcPr>
                  <w:tcW w:w="624" w:type="pct"/>
                  <w:shd w:val="clear" w:color="auto" w:fill="auto"/>
                  <w:noWrap w:val="0"/>
                  <w:vAlign w:val="center"/>
                </w:tcPr>
                <w:p w14:paraId="384C089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28562.95</w:t>
                  </w:r>
                </w:p>
              </w:tc>
              <w:tc>
                <w:tcPr>
                  <w:tcW w:w="649" w:type="pct"/>
                  <w:shd w:val="clear" w:color="auto" w:fill="auto"/>
                  <w:noWrap w:val="0"/>
                  <w:vAlign w:val="center"/>
                </w:tcPr>
                <w:p w14:paraId="12D49A1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662.1</w:t>
                  </w:r>
                </w:p>
              </w:tc>
              <w:tc>
                <w:tcPr>
                  <w:tcW w:w="376" w:type="pct"/>
                  <w:noWrap w:val="0"/>
                  <w:vAlign w:val="center"/>
                </w:tcPr>
                <w:p w14:paraId="03C55A7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5248.1</w:t>
                  </w:r>
                </w:p>
              </w:tc>
              <w:tc>
                <w:tcPr>
                  <w:tcW w:w="416" w:type="pct"/>
                  <w:noWrap w:val="0"/>
                  <w:vAlign w:val="center"/>
                </w:tcPr>
                <w:p w14:paraId="19398B6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94" w:type="pct"/>
                  <w:noWrap w:val="0"/>
                  <w:vAlign w:val="center"/>
                </w:tcPr>
                <w:p w14:paraId="7DF33B5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5248.1</w:t>
                  </w:r>
                </w:p>
              </w:tc>
              <w:tc>
                <w:tcPr>
                  <w:tcW w:w="573" w:type="pct"/>
                  <w:shd w:val="clear" w:color="auto" w:fill="auto"/>
                  <w:noWrap w:val="0"/>
                  <w:vAlign w:val="center"/>
                </w:tcPr>
                <w:p w14:paraId="70619B4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14687.95</w:t>
                  </w:r>
                </w:p>
              </w:tc>
              <w:tc>
                <w:tcPr>
                  <w:tcW w:w="585" w:type="pct"/>
                  <w:shd w:val="clear" w:color="auto" w:fill="auto"/>
                  <w:noWrap w:val="0"/>
                  <w:vAlign w:val="center"/>
                </w:tcPr>
                <w:p w14:paraId="2AD5516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-9439.85</w:t>
                  </w:r>
                </w:p>
              </w:tc>
              <w:tc>
                <w:tcPr>
                  <w:tcW w:w="569" w:type="pct"/>
                  <w:shd w:val="clear" w:color="auto" w:fill="auto"/>
                  <w:noWrap w:val="0"/>
                  <w:vAlign w:val="center"/>
                </w:tcPr>
                <w:p w14:paraId="0DFC8C8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19785.2</w:t>
                  </w:r>
                </w:p>
              </w:tc>
            </w:tr>
            <w:tr w14:paraId="2ACB0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2BFC01BC">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shd w:val="clear" w:color="auto" w:fill="auto"/>
                  <w:noWrap w:val="0"/>
                  <w:vAlign w:val="center"/>
                </w:tcPr>
                <w:p w14:paraId="59C4F91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COD</w:t>
                  </w:r>
                </w:p>
              </w:tc>
              <w:tc>
                <w:tcPr>
                  <w:tcW w:w="624" w:type="pct"/>
                  <w:shd w:val="clear" w:color="auto" w:fill="auto"/>
                  <w:noWrap w:val="0"/>
                  <w:vAlign w:val="center"/>
                </w:tcPr>
                <w:p w14:paraId="2A930BC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7.706</w:t>
                  </w:r>
                  <w:r>
                    <w:rPr>
                      <w:rFonts w:hint="eastAsia"/>
                      <w:color w:val="auto"/>
                      <w:lang w:eastAsia="zh-CN"/>
                    </w:rPr>
                    <w:t>（</w:t>
                  </w:r>
                  <w:r>
                    <w:rPr>
                      <w:rFonts w:hint="eastAsia"/>
                      <w:color w:val="auto"/>
                      <w:lang w:val="en-US" w:eastAsia="zh-CN"/>
                    </w:rPr>
                    <w:t>0.8569</w:t>
                  </w:r>
                  <w:r>
                    <w:rPr>
                      <w:rFonts w:hint="eastAsia"/>
                      <w:color w:val="auto"/>
                      <w:lang w:eastAsia="zh-CN"/>
                    </w:rPr>
                    <w:t>）</w:t>
                  </w:r>
                </w:p>
              </w:tc>
              <w:tc>
                <w:tcPr>
                  <w:tcW w:w="649" w:type="pct"/>
                  <w:shd w:val="clear" w:color="auto" w:fill="auto"/>
                  <w:noWrap w:val="0"/>
                  <w:vAlign w:val="center"/>
                </w:tcPr>
                <w:p w14:paraId="291BCA8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0.2422</w:t>
                  </w:r>
                  <w:r>
                    <w:rPr>
                      <w:rFonts w:hint="eastAsia"/>
                      <w:color w:val="auto"/>
                      <w:lang w:eastAsia="zh-CN"/>
                    </w:rPr>
                    <w:t>（</w:t>
                  </w:r>
                  <w:r>
                    <w:rPr>
                      <w:rFonts w:hint="eastAsia"/>
                      <w:color w:val="auto"/>
                      <w:lang w:val="en-US" w:eastAsia="zh-CN"/>
                    </w:rPr>
                    <w:t>0.0199</w:t>
                  </w:r>
                  <w:r>
                    <w:rPr>
                      <w:rFonts w:hint="eastAsia"/>
                      <w:color w:val="auto"/>
                      <w:lang w:eastAsia="zh-CN"/>
                    </w:rPr>
                    <w:t>）</w:t>
                  </w:r>
                </w:p>
              </w:tc>
              <w:tc>
                <w:tcPr>
                  <w:tcW w:w="376" w:type="pct"/>
                  <w:shd w:val="clear" w:color="auto" w:fill="auto"/>
                  <w:noWrap w:val="0"/>
                  <w:vAlign w:val="center"/>
                </w:tcPr>
                <w:p w14:paraId="3690FC4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2.3947</w:t>
                  </w:r>
                </w:p>
              </w:tc>
              <w:tc>
                <w:tcPr>
                  <w:tcW w:w="416" w:type="pct"/>
                  <w:shd w:val="clear" w:color="auto" w:fill="auto"/>
                  <w:noWrap w:val="0"/>
                  <w:vAlign w:val="center"/>
                </w:tcPr>
                <w:p w14:paraId="6A031C2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1.1647</w:t>
                  </w:r>
                </w:p>
              </w:tc>
              <w:tc>
                <w:tcPr>
                  <w:tcW w:w="594" w:type="pct"/>
                  <w:shd w:val="clear" w:color="auto" w:fill="auto"/>
                  <w:noWrap w:val="0"/>
                  <w:vAlign w:val="center"/>
                </w:tcPr>
                <w:p w14:paraId="7D5CEB5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1.2300</w:t>
                  </w:r>
                  <w:r>
                    <w:rPr>
                      <w:rFonts w:hint="eastAsia"/>
                      <w:color w:val="auto"/>
                      <w:lang w:eastAsia="zh-CN"/>
                    </w:rPr>
                    <w:t>（</w:t>
                  </w:r>
                  <w:r>
                    <w:rPr>
                      <w:rFonts w:hint="eastAsia"/>
                      <w:color w:val="auto"/>
                      <w:lang w:val="en-US" w:eastAsia="zh-CN"/>
                    </w:rPr>
                    <w:t>0.1574</w:t>
                  </w:r>
                  <w:r>
                    <w:rPr>
                      <w:rFonts w:hint="eastAsia"/>
                      <w:color w:val="auto"/>
                      <w:lang w:eastAsia="zh-CN"/>
                    </w:rPr>
                    <w:t>）</w:t>
                  </w:r>
                </w:p>
              </w:tc>
              <w:tc>
                <w:tcPr>
                  <w:tcW w:w="573" w:type="pct"/>
                  <w:shd w:val="clear" w:color="auto" w:fill="auto"/>
                  <w:noWrap w:val="0"/>
                  <w:vAlign w:val="center"/>
                </w:tcPr>
                <w:p w14:paraId="3A387F9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3.876</w:t>
                  </w:r>
                  <w:r>
                    <w:rPr>
                      <w:rFonts w:hint="eastAsia"/>
                      <w:color w:val="auto"/>
                      <w:lang w:eastAsia="zh-CN"/>
                    </w:rPr>
                    <w:t>（</w:t>
                  </w:r>
                  <w:r>
                    <w:rPr>
                      <w:rFonts w:hint="eastAsia"/>
                      <w:color w:val="auto"/>
                      <w:lang w:val="en-US" w:eastAsia="zh-CN"/>
                    </w:rPr>
                    <w:t>0.4406</w:t>
                  </w:r>
                  <w:r>
                    <w:rPr>
                      <w:rFonts w:hint="eastAsia"/>
                      <w:color w:val="auto"/>
                      <w:lang w:eastAsia="zh-CN"/>
                    </w:rPr>
                    <w:t>）</w:t>
                  </w:r>
                </w:p>
              </w:tc>
              <w:tc>
                <w:tcPr>
                  <w:tcW w:w="585" w:type="pct"/>
                  <w:shd w:val="clear" w:color="auto" w:fill="auto"/>
                  <w:noWrap w:val="0"/>
                  <w:vAlign w:val="center"/>
                </w:tcPr>
                <w:p w14:paraId="78F82D4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-2.646</w:t>
                  </w:r>
                  <w:r>
                    <w:rPr>
                      <w:rFonts w:hint="eastAsia"/>
                      <w:color w:val="auto"/>
                      <w:lang w:eastAsia="zh-CN"/>
                    </w:rPr>
                    <w:t>（</w:t>
                  </w:r>
                  <w:r>
                    <w:rPr>
                      <w:rFonts w:hint="eastAsia"/>
                      <w:color w:val="auto"/>
                      <w:lang w:val="en-US" w:eastAsia="zh-CN"/>
                    </w:rPr>
                    <w:t>-0.2832</w:t>
                  </w:r>
                  <w:r>
                    <w:rPr>
                      <w:rFonts w:hint="eastAsia"/>
                      <w:color w:val="auto"/>
                      <w:lang w:eastAsia="zh-CN"/>
                    </w:rPr>
                    <w:t>）</w:t>
                  </w:r>
                </w:p>
              </w:tc>
              <w:tc>
                <w:tcPr>
                  <w:tcW w:w="569" w:type="pct"/>
                  <w:shd w:val="clear" w:color="auto" w:fill="auto"/>
                  <w:noWrap w:val="0"/>
                  <w:vAlign w:val="center"/>
                </w:tcPr>
                <w:p w14:paraId="0EEE7B7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5.3022</w:t>
                  </w:r>
                  <w:r>
                    <w:rPr>
                      <w:rFonts w:hint="eastAsia"/>
                      <w:color w:val="auto"/>
                      <w:lang w:eastAsia="zh-CN"/>
                    </w:rPr>
                    <w:t>（</w:t>
                  </w:r>
                  <w:r>
                    <w:rPr>
                      <w:rFonts w:hint="eastAsia"/>
                      <w:color w:val="auto"/>
                      <w:lang w:val="en-US" w:eastAsia="zh-CN"/>
                    </w:rPr>
                    <w:t>0.5936</w:t>
                  </w:r>
                  <w:r>
                    <w:rPr>
                      <w:rFonts w:hint="eastAsia"/>
                      <w:color w:val="auto"/>
                      <w:lang w:eastAsia="zh-CN"/>
                    </w:rPr>
                    <w:t>）</w:t>
                  </w:r>
                </w:p>
              </w:tc>
            </w:tr>
            <w:tr w14:paraId="7F355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2A8B1052">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shd w:val="clear" w:color="auto" w:fill="auto"/>
                  <w:noWrap w:val="0"/>
                  <w:vAlign w:val="center"/>
                </w:tcPr>
                <w:p w14:paraId="10CDA61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SS</w:t>
                  </w:r>
                </w:p>
              </w:tc>
              <w:tc>
                <w:tcPr>
                  <w:tcW w:w="624" w:type="pct"/>
                  <w:shd w:val="clear" w:color="auto" w:fill="auto"/>
                  <w:noWrap w:val="0"/>
                  <w:vAlign w:val="center"/>
                </w:tcPr>
                <w:p w14:paraId="6910DD5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6.267</w:t>
                  </w:r>
                  <w:r>
                    <w:rPr>
                      <w:rFonts w:hint="eastAsia"/>
                      <w:color w:val="auto"/>
                      <w:lang w:eastAsia="zh-CN"/>
                    </w:rPr>
                    <w:t>（</w:t>
                  </w:r>
                  <w:r>
                    <w:rPr>
                      <w:rFonts w:hint="eastAsia"/>
                      <w:color w:val="auto"/>
                      <w:lang w:val="en-US" w:eastAsia="zh-CN"/>
                    </w:rPr>
                    <w:t>0.1428</w:t>
                  </w:r>
                  <w:r>
                    <w:rPr>
                      <w:rFonts w:hint="eastAsia"/>
                      <w:color w:val="auto"/>
                      <w:lang w:eastAsia="zh-CN"/>
                    </w:rPr>
                    <w:t>）</w:t>
                  </w:r>
                </w:p>
              </w:tc>
              <w:tc>
                <w:tcPr>
                  <w:tcW w:w="649" w:type="pct"/>
                  <w:shd w:val="clear" w:color="auto" w:fill="auto"/>
                  <w:noWrap w:val="0"/>
                  <w:vAlign w:val="center"/>
                </w:tcPr>
                <w:p w14:paraId="0F95D50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0.0926</w:t>
                  </w:r>
                  <w:r>
                    <w:rPr>
                      <w:rFonts w:hint="eastAsia"/>
                      <w:color w:val="auto"/>
                      <w:lang w:eastAsia="zh-CN"/>
                    </w:rPr>
                    <w:t>（</w:t>
                  </w:r>
                  <w:r>
                    <w:rPr>
                      <w:rFonts w:hint="eastAsia"/>
                      <w:color w:val="auto"/>
                      <w:lang w:val="en-US" w:eastAsia="zh-CN"/>
                    </w:rPr>
                    <w:t>0.0033</w:t>
                  </w:r>
                  <w:r>
                    <w:rPr>
                      <w:rFonts w:hint="eastAsia"/>
                      <w:color w:val="auto"/>
                      <w:lang w:eastAsia="zh-CN"/>
                    </w:rPr>
                    <w:t>）</w:t>
                  </w:r>
                </w:p>
              </w:tc>
              <w:tc>
                <w:tcPr>
                  <w:tcW w:w="376" w:type="pct"/>
                  <w:shd w:val="clear" w:color="auto" w:fill="auto"/>
                  <w:noWrap w:val="0"/>
                  <w:vAlign w:val="center"/>
                </w:tcPr>
                <w:p w14:paraId="5F00262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1.5473</w:t>
                  </w:r>
                </w:p>
              </w:tc>
              <w:tc>
                <w:tcPr>
                  <w:tcW w:w="416" w:type="pct"/>
                  <w:shd w:val="clear" w:color="auto" w:fill="auto"/>
                  <w:noWrap w:val="0"/>
                  <w:vAlign w:val="center"/>
                </w:tcPr>
                <w:p w14:paraId="5B41E88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0.773</w:t>
                  </w:r>
                  <w:r>
                    <w:rPr>
                      <w:rFonts w:hint="eastAsia"/>
                      <w:color w:val="auto"/>
                      <w:lang w:val="en-US" w:eastAsia="zh-CN"/>
                    </w:rPr>
                    <w:t>7</w:t>
                  </w:r>
                </w:p>
              </w:tc>
              <w:tc>
                <w:tcPr>
                  <w:tcW w:w="594" w:type="pct"/>
                  <w:shd w:val="clear" w:color="auto" w:fill="auto"/>
                  <w:noWrap w:val="0"/>
                  <w:vAlign w:val="center"/>
                </w:tcPr>
                <w:p w14:paraId="3E03807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0.7736</w:t>
                  </w:r>
                  <w:r>
                    <w:rPr>
                      <w:rFonts w:hint="eastAsia"/>
                      <w:color w:val="auto"/>
                      <w:lang w:eastAsia="zh-CN"/>
                    </w:rPr>
                    <w:t>（</w:t>
                  </w:r>
                  <w:r>
                    <w:rPr>
                      <w:rFonts w:hint="eastAsia"/>
                      <w:color w:val="auto"/>
                      <w:lang w:val="en-US" w:eastAsia="zh-CN"/>
                    </w:rPr>
                    <w:t>0.0262</w:t>
                  </w:r>
                  <w:r>
                    <w:rPr>
                      <w:rFonts w:hint="eastAsia"/>
                      <w:color w:val="auto"/>
                      <w:lang w:eastAsia="zh-CN"/>
                    </w:rPr>
                    <w:t>）</w:t>
                  </w:r>
                </w:p>
              </w:tc>
              <w:tc>
                <w:tcPr>
                  <w:tcW w:w="573" w:type="pct"/>
                  <w:shd w:val="clear" w:color="auto" w:fill="auto"/>
                  <w:noWrap w:val="0"/>
                  <w:vAlign w:val="center"/>
                </w:tcPr>
                <w:p w14:paraId="4EF620B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3.152</w:t>
                  </w:r>
                  <w:r>
                    <w:rPr>
                      <w:rFonts w:hint="eastAsia"/>
                      <w:color w:val="auto"/>
                      <w:lang w:eastAsia="zh-CN"/>
                    </w:rPr>
                    <w:t>（</w:t>
                  </w:r>
                  <w:r>
                    <w:rPr>
                      <w:rFonts w:hint="eastAsia"/>
                      <w:color w:val="auto"/>
                      <w:lang w:val="en-US" w:eastAsia="zh-CN"/>
                    </w:rPr>
                    <w:t>0.0734</w:t>
                  </w:r>
                  <w:r>
                    <w:rPr>
                      <w:rFonts w:hint="eastAsia"/>
                      <w:color w:val="auto"/>
                      <w:lang w:eastAsia="zh-CN"/>
                    </w:rPr>
                    <w:t>）</w:t>
                  </w:r>
                </w:p>
              </w:tc>
              <w:tc>
                <w:tcPr>
                  <w:tcW w:w="585" w:type="pct"/>
                  <w:shd w:val="clear" w:color="auto" w:fill="auto"/>
                  <w:noWrap w:val="0"/>
                  <w:vAlign w:val="center"/>
                </w:tcPr>
                <w:p w14:paraId="59A6795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-2.3784</w:t>
                  </w:r>
                  <w:r>
                    <w:rPr>
                      <w:rFonts w:hint="eastAsia"/>
                      <w:color w:val="auto"/>
                      <w:lang w:eastAsia="zh-CN"/>
                    </w:rPr>
                    <w:t>（</w:t>
                  </w:r>
                  <w:r>
                    <w:rPr>
                      <w:rFonts w:hint="eastAsia"/>
                      <w:color w:val="auto"/>
                      <w:lang w:val="en-US" w:eastAsia="zh-CN"/>
                    </w:rPr>
                    <w:t>-0.0472</w:t>
                  </w:r>
                  <w:r>
                    <w:rPr>
                      <w:rFonts w:hint="eastAsia"/>
                      <w:color w:val="auto"/>
                      <w:lang w:eastAsia="zh-CN"/>
                    </w:rPr>
                    <w:t>）</w:t>
                  </w:r>
                </w:p>
              </w:tc>
              <w:tc>
                <w:tcPr>
                  <w:tcW w:w="569" w:type="pct"/>
                  <w:shd w:val="clear" w:color="auto" w:fill="auto"/>
                  <w:noWrap w:val="0"/>
                  <w:vAlign w:val="center"/>
                </w:tcPr>
                <w:p w14:paraId="0B60740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3.9812</w:t>
                  </w:r>
                  <w:r>
                    <w:rPr>
                      <w:rFonts w:hint="eastAsia"/>
                      <w:color w:val="auto"/>
                      <w:lang w:eastAsia="zh-CN"/>
                    </w:rPr>
                    <w:t>（</w:t>
                  </w:r>
                  <w:r>
                    <w:rPr>
                      <w:rFonts w:hint="eastAsia"/>
                      <w:color w:val="auto"/>
                      <w:lang w:val="en-US" w:eastAsia="zh-CN"/>
                    </w:rPr>
                    <w:t>0.0989</w:t>
                  </w:r>
                  <w:r>
                    <w:rPr>
                      <w:rFonts w:hint="eastAsia"/>
                      <w:color w:val="auto"/>
                      <w:lang w:eastAsia="zh-CN"/>
                    </w:rPr>
                    <w:t>）</w:t>
                  </w:r>
                </w:p>
              </w:tc>
            </w:tr>
            <w:tr w14:paraId="79C08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1E43D543">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shd w:val="clear" w:color="auto" w:fill="auto"/>
                  <w:noWrap w:val="0"/>
                  <w:vAlign w:val="center"/>
                </w:tcPr>
                <w:p w14:paraId="2032837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NH</w:t>
                  </w:r>
                  <w:r>
                    <w:rPr>
                      <w:rFonts w:hint="eastAsia"/>
                      <w:color w:val="auto"/>
                      <w:highlight w:val="none"/>
                      <w:vertAlign w:val="subscript"/>
                    </w:rPr>
                    <w:t>3</w:t>
                  </w:r>
                  <w:r>
                    <w:rPr>
                      <w:rFonts w:hint="eastAsia"/>
                      <w:color w:val="auto"/>
                      <w:highlight w:val="none"/>
                    </w:rPr>
                    <w:t>-N</w:t>
                  </w:r>
                </w:p>
              </w:tc>
              <w:tc>
                <w:tcPr>
                  <w:tcW w:w="624" w:type="pct"/>
                  <w:shd w:val="clear" w:color="auto" w:fill="auto"/>
                  <w:noWrap w:val="0"/>
                  <w:vAlign w:val="center"/>
                </w:tcPr>
                <w:p w14:paraId="2218994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0.7157</w:t>
                  </w:r>
                  <w:r>
                    <w:rPr>
                      <w:rFonts w:hint="eastAsia"/>
                      <w:color w:val="auto"/>
                      <w:lang w:eastAsia="zh-CN"/>
                    </w:rPr>
                    <w:t>（</w:t>
                  </w:r>
                  <w:r>
                    <w:rPr>
                      <w:rFonts w:hint="eastAsia"/>
                      <w:color w:val="auto"/>
                      <w:lang w:val="en-US" w:eastAsia="zh-CN"/>
                    </w:rPr>
                    <w:t>0.0428</w:t>
                  </w:r>
                  <w:r>
                    <w:rPr>
                      <w:rFonts w:hint="eastAsia"/>
                      <w:color w:val="auto"/>
                      <w:lang w:eastAsia="zh-CN"/>
                    </w:rPr>
                    <w:t>）</w:t>
                  </w:r>
                </w:p>
              </w:tc>
              <w:tc>
                <w:tcPr>
                  <w:tcW w:w="649" w:type="pct"/>
                  <w:shd w:val="clear" w:color="auto" w:fill="auto"/>
                  <w:noWrap w:val="0"/>
                  <w:vAlign w:val="center"/>
                </w:tcPr>
                <w:p w14:paraId="008ABBF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0.0159</w:t>
                  </w:r>
                  <w:r>
                    <w:rPr>
                      <w:rFonts w:hint="eastAsia"/>
                      <w:color w:val="auto"/>
                      <w:lang w:eastAsia="zh-CN"/>
                    </w:rPr>
                    <w:t>（</w:t>
                  </w:r>
                  <w:r>
                    <w:rPr>
                      <w:rFonts w:hint="eastAsia"/>
                      <w:color w:val="auto"/>
                      <w:lang w:val="en-US" w:eastAsia="zh-CN"/>
                    </w:rPr>
                    <w:t>0.001</w:t>
                  </w:r>
                  <w:r>
                    <w:rPr>
                      <w:rFonts w:hint="eastAsia"/>
                      <w:color w:val="auto"/>
                      <w:lang w:eastAsia="zh-CN"/>
                    </w:rPr>
                    <w:t>）</w:t>
                  </w:r>
                </w:p>
              </w:tc>
              <w:tc>
                <w:tcPr>
                  <w:tcW w:w="376" w:type="pct"/>
                  <w:shd w:val="clear" w:color="auto" w:fill="auto"/>
                  <w:noWrap w:val="0"/>
                  <w:vAlign w:val="center"/>
                </w:tcPr>
                <w:p w14:paraId="218F5B1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0.0765</w:t>
                  </w:r>
                </w:p>
              </w:tc>
              <w:tc>
                <w:tcPr>
                  <w:tcW w:w="416" w:type="pct"/>
                  <w:shd w:val="clear" w:color="auto" w:fill="auto"/>
                  <w:noWrap w:val="0"/>
                  <w:vAlign w:val="center"/>
                </w:tcPr>
                <w:p w14:paraId="4B04BEE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0.0106</w:t>
                  </w:r>
                </w:p>
              </w:tc>
              <w:tc>
                <w:tcPr>
                  <w:tcW w:w="594" w:type="pct"/>
                  <w:shd w:val="clear" w:color="auto" w:fill="auto"/>
                  <w:noWrap w:val="0"/>
                  <w:vAlign w:val="center"/>
                </w:tcPr>
                <w:p w14:paraId="673CF31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0.0659</w:t>
                  </w:r>
                  <w:r>
                    <w:rPr>
                      <w:rFonts w:hint="eastAsia"/>
                      <w:color w:val="auto"/>
                      <w:lang w:eastAsia="zh-CN"/>
                    </w:rPr>
                    <w:t>（</w:t>
                  </w:r>
                  <w:r>
                    <w:rPr>
                      <w:rFonts w:hint="eastAsia"/>
                      <w:color w:val="auto"/>
                      <w:lang w:val="en-US" w:eastAsia="zh-CN"/>
                    </w:rPr>
                    <w:t>0.0079</w:t>
                  </w:r>
                  <w:r>
                    <w:rPr>
                      <w:rFonts w:hint="eastAsia"/>
                      <w:color w:val="auto"/>
                      <w:lang w:eastAsia="zh-CN"/>
                    </w:rPr>
                    <w:t>）</w:t>
                  </w:r>
                </w:p>
              </w:tc>
              <w:tc>
                <w:tcPr>
                  <w:tcW w:w="573" w:type="pct"/>
                  <w:shd w:val="clear" w:color="auto" w:fill="auto"/>
                  <w:noWrap w:val="0"/>
                  <w:vAlign w:val="center"/>
                </w:tcPr>
                <w:p w14:paraId="2C18B08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0.3607</w:t>
                  </w:r>
                  <w:r>
                    <w:rPr>
                      <w:rFonts w:hint="eastAsia"/>
                      <w:color w:val="auto"/>
                      <w:lang w:eastAsia="zh-CN"/>
                    </w:rPr>
                    <w:t>（</w:t>
                  </w:r>
                  <w:r>
                    <w:rPr>
                      <w:rFonts w:hint="eastAsia"/>
                      <w:color w:val="auto"/>
                      <w:lang w:val="en-US" w:eastAsia="zh-CN"/>
                    </w:rPr>
                    <w:t>0.022</w:t>
                  </w:r>
                  <w:r>
                    <w:rPr>
                      <w:rFonts w:hint="eastAsia"/>
                      <w:color w:val="auto"/>
                      <w:lang w:eastAsia="zh-CN"/>
                    </w:rPr>
                    <w:t>）</w:t>
                  </w:r>
                </w:p>
              </w:tc>
              <w:tc>
                <w:tcPr>
                  <w:tcW w:w="585" w:type="pct"/>
                  <w:shd w:val="clear" w:color="auto" w:fill="auto"/>
                  <w:noWrap w:val="0"/>
                  <w:vAlign w:val="center"/>
                </w:tcPr>
                <w:p w14:paraId="4F37CDF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-0.2948</w:t>
                  </w:r>
                  <w:r>
                    <w:rPr>
                      <w:rFonts w:hint="eastAsia"/>
                      <w:color w:val="auto"/>
                      <w:lang w:eastAsia="zh-CN"/>
                    </w:rPr>
                    <w:t>（</w:t>
                  </w:r>
                  <w:r>
                    <w:rPr>
                      <w:rFonts w:hint="eastAsia"/>
                      <w:color w:val="auto"/>
                      <w:lang w:val="en-US" w:eastAsia="zh-CN"/>
                    </w:rPr>
                    <w:t>-0.0141</w:t>
                  </w:r>
                  <w:r>
                    <w:rPr>
                      <w:rFonts w:hint="eastAsia"/>
                      <w:color w:val="auto"/>
                      <w:lang w:eastAsia="zh-CN"/>
                    </w:rPr>
                    <w:t>）</w:t>
                  </w:r>
                </w:p>
              </w:tc>
              <w:tc>
                <w:tcPr>
                  <w:tcW w:w="569" w:type="pct"/>
                  <w:shd w:val="clear" w:color="auto" w:fill="auto"/>
                  <w:noWrap w:val="0"/>
                  <w:vAlign w:val="center"/>
                </w:tcPr>
                <w:p w14:paraId="341A5AB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0.4368</w:t>
                  </w:r>
                  <w:r>
                    <w:rPr>
                      <w:rFonts w:hint="eastAsia"/>
                      <w:color w:val="auto"/>
                      <w:lang w:eastAsia="zh-CN"/>
                    </w:rPr>
                    <w:t>（</w:t>
                  </w:r>
                  <w:r>
                    <w:rPr>
                      <w:rFonts w:hint="eastAsia"/>
                      <w:color w:val="auto"/>
                      <w:lang w:val="en-US" w:eastAsia="zh-CN"/>
                    </w:rPr>
                    <w:t>0.0297</w:t>
                  </w:r>
                  <w:r>
                    <w:rPr>
                      <w:rFonts w:hint="eastAsia"/>
                      <w:color w:val="auto"/>
                      <w:lang w:eastAsia="zh-CN"/>
                    </w:rPr>
                    <w:t>）</w:t>
                  </w:r>
                </w:p>
              </w:tc>
            </w:tr>
            <w:tr w14:paraId="7CE7F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104150C3">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shd w:val="clear" w:color="auto" w:fill="auto"/>
                  <w:noWrap w:val="0"/>
                  <w:vAlign w:val="center"/>
                </w:tcPr>
                <w:p w14:paraId="491BFE0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TN</w:t>
                  </w:r>
                </w:p>
              </w:tc>
              <w:tc>
                <w:tcPr>
                  <w:tcW w:w="624" w:type="pct"/>
                  <w:shd w:val="clear" w:color="auto" w:fill="auto"/>
                  <w:noWrap w:val="0"/>
                  <w:vAlign w:val="center"/>
                </w:tcPr>
                <w:p w14:paraId="56FEEEB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0.154</w:t>
                  </w:r>
                  <w:r>
                    <w:rPr>
                      <w:rFonts w:hint="eastAsia"/>
                      <w:color w:val="auto"/>
                      <w:lang w:eastAsia="zh-CN"/>
                    </w:rPr>
                    <w:t>（</w:t>
                  </w:r>
                  <w:r>
                    <w:rPr>
                      <w:rFonts w:hint="eastAsia"/>
                      <w:color w:val="auto"/>
                      <w:lang w:val="en-US" w:eastAsia="zh-CN"/>
                    </w:rPr>
                    <w:t>0.154</w:t>
                  </w:r>
                  <w:r>
                    <w:rPr>
                      <w:rFonts w:hint="eastAsia"/>
                      <w:color w:val="auto"/>
                      <w:lang w:eastAsia="zh-CN"/>
                    </w:rPr>
                    <w:t>）</w:t>
                  </w:r>
                </w:p>
              </w:tc>
              <w:tc>
                <w:tcPr>
                  <w:tcW w:w="649" w:type="pct"/>
                  <w:shd w:val="clear" w:color="auto" w:fill="auto"/>
                  <w:noWrap w:val="0"/>
                  <w:vAlign w:val="center"/>
                </w:tcPr>
                <w:p w14:paraId="750A7B7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0.013</w:t>
                  </w:r>
                  <w:r>
                    <w:rPr>
                      <w:rFonts w:hint="eastAsia"/>
                      <w:color w:val="auto"/>
                      <w:lang w:eastAsia="zh-CN"/>
                    </w:rPr>
                    <w:t>（</w:t>
                  </w:r>
                  <w:r>
                    <w:rPr>
                      <w:rFonts w:hint="eastAsia"/>
                      <w:color w:val="auto"/>
                      <w:lang w:val="en-US" w:eastAsia="zh-CN"/>
                    </w:rPr>
                    <w:t>0.0099</w:t>
                  </w:r>
                  <w:r>
                    <w:rPr>
                      <w:rFonts w:hint="eastAsia"/>
                      <w:color w:val="auto"/>
                      <w:lang w:eastAsia="zh-CN"/>
                    </w:rPr>
                    <w:t>）</w:t>
                  </w:r>
                </w:p>
              </w:tc>
              <w:tc>
                <w:tcPr>
                  <w:tcW w:w="376" w:type="pct"/>
                  <w:shd w:val="clear" w:color="auto" w:fill="auto"/>
                  <w:noWrap w:val="0"/>
                  <w:vAlign w:val="center"/>
                </w:tcPr>
                <w:p w14:paraId="0F46A91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0.1148</w:t>
                  </w:r>
                </w:p>
              </w:tc>
              <w:tc>
                <w:tcPr>
                  <w:tcW w:w="416" w:type="pct"/>
                  <w:shd w:val="clear" w:color="auto" w:fill="auto"/>
                  <w:noWrap w:val="0"/>
                  <w:vAlign w:val="center"/>
                </w:tcPr>
                <w:p w14:paraId="3AE3DD6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0.0179</w:t>
                  </w:r>
                </w:p>
              </w:tc>
              <w:tc>
                <w:tcPr>
                  <w:tcW w:w="594" w:type="pct"/>
                  <w:shd w:val="clear" w:color="auto" w:fill="auto"/>
                  <w:noWrap w:val="0"/>
                  <w:vAlign w:val="center"/>
                </w:tcPr>
                <w:p w14:paraId="1644A6E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0.0969</w:t>
                  </w:r>
                  <w:r>
                    <w:rPr>
                      <w:rFonts w:hint="eastAsia"/>
                      <w:color w:val="auto"/>
                      <w:lang w:eastAsia="zh-CN"/>
                    </w:rPr>
                    <w:t>（</w:t>
                  </w:r>
                  <w:r>
                    <w:rPr>
                      <w:rFonts w:hint="eastAsia"/>
                      <w:color w:val="auto"/>
                      <w:lang w:val="en-US" w:eastAsia="zh-CN"/>
                    </w:rPr>
                    <w:t>0.0787</w:t>
                  </w:r>
                  <w:r>
                    <w:rPr>
                      <w:rFonts w:hint="eastAsia"/>
                      <w:color w:val="auto"/>
                      <w:lang w:eastAsia="zh-CN"/>
                    </w:rPr>
                    <w:t>）</w:t>
                  </w:r>
                </w:p>
              </w:tc>
              <w:tc>
                <w:tcPr>
                  <w:tcW w:w="573" w:type="pct"/>
                  <w:shd w:val="clear" w:color="auto" w:fill="auto"/>
                  <w:noWrap w:val="0"/>
                  <w:vAlign w:val="center"/>
                </w:tcPr>
                <w:p w14:paraId="12F3335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0.084</w:t>
                  </w:r>
                  <w:r>
                    <w:rPr>
                      <w:rFonts w:hint="eastAsia"/>
                      <w:color w:val="auto"/>
                      <w:lang w:eastAsia="zh-CN"/>
                    </w:rPr>
                    <w:t>（</w:t>
                  </w:r>
                  <w:r>
                    <w:rPr>
                      <w:rFonts w:hint="eastAsia"/>
                      <w:color w:val="auto"/>
                      <w:lang w:val="en-US" w:eastAsia="zh-CN"/>
                    </w:rPr>
                    <w:t>0.2204</w:t>
                  </w:r>
                  <w:r>
                    <w:rPr>
                      <w:rFonts w:hint="eastAsia"/>
                      <w:color w:val="auto"/>
                      <w:lang w:eastAsia="zh-CN"/>
                    </w:rPr>
                    <w:t>）</w:t>
                  </w:r>
                </w:p>
              </w:tc>
              <w:tc>
                <w:tcPr>
                  <w:tcW w:w="585" w:type="pct"/>
                  <w:shd w:val="clear" w:color="auto" w:fill="auto"/>
                  <w:noWrap w:val="0"/>
                  <w:vAlign w:val="center"/>
                </w:tcPr>
                <w:p w14:paraId="24A0581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0.0129</w:t>
                  </w:r>
                  <w:r>
                    <w:rPr>
                      <w:rFonts w:hint="eastAsia"/>
                      <w:color w:val="auto"/>
                      <w:lang w:eastAsia="zh-CN"/>
                    </w:rPr>
                    <w:t>（</w:t>
                  </w:r>
                  <w:r>
                    <w:rPr>
                      <w:rFonts w:hint="eastAsia"/>
                      <w:color w:val="auto"/>
                      <w:lang w:val="en-US" w:eastAsia="zh-CN"/>
                    </w:rPr>
                    <w:t>-0.1417</w:t>
                  </w:r>
                  <w:r>
                    <w:rPr>
                      <w:rFonts w:hint="eastAsia"/>
                      <w:color w:val="auto"/>
                      <w:lang w:eastAsia="zh-CN"/>
                    </w:rPr>
                    <w:t>）</w:t>
                  </w:r>
                </w:p>
              </w:tc>
              <w:tc>
                <w:tcPr>
                  <w:tcW w:w="569" w:type="pct"/>
                  <w:shd w:val="clear" w:color="auto" w:fill="auto"/>
                  <w:noWrap w:val="0"/>
                  <w:vAlign w:val="center"/>
                </w:tcPr>
                <w:p w14:paraId="2C723FF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0.1799</w:t>
                  </w:r>
                  <w:r>
                    <w:rPr>
                      <w:rFonts w:hint="eastAsia"/>
                      <w:color w:val="auto"/>
                      <w:lang w:eastAsia="zh-CN"/>
                    </w:rPr>
                    <w:t>（</w:t>
                  </w:r>
                  <w:r>
                    <w:rPr>
                      <w:rFonts w:hint="eastAsia"/>
                      <w:color w:val="auto"/>
                      <w:lang w:val="en-US" w:eastAsia="zh-CN"/>
                    </w:rPr>
                    <w:t>0.0222</w:t>
                  </w:r>
                  <w:r>
                    <w:rPr>
                      <w:rFonts w:hint="eastAsia"/>
                      <w:color w:val="auto"/>
                      <w:lang w:eastAsia="zh-CN"/>
                    </w:rPr>
                    <w:t>）</w:t>
                  </w:r>
                </w:p>
              </w:tc>
            </w:tr>
            <w:tr w14:paraId="337A2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1D78B310">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shd w:val="clear" w:color="auto" w:fill="auto"/>
                  <w:noWrap w:val="0"/>
                  <w:vAlign w:val="center"/>
                </w:tcPr>
                <w:p w14:paraId="3527B79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TP</w:t>
                  </w:r>
                </w:p>
              </w:tc>
              <w:tc>
                <w:tcPr>
                  <w:tcW w:w="624" w:type="pct"/>
                  <w:shd w:val="clear" w:color="auto" w:fill="auto"/>
                  <w:noWrap w:val="0"/>
                  <w:vAlign w:val="center"/>
                </w:tcPr>
                <w:p w14:paraId="6A09087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0.12037</w:t>
                  </w:r>
                  <w:r>
                    <w:rPr>
                      <w:rFonts w:hint="eastAsia"/>
                      <w:color w:val="auto"/>
                      <w:lang w:eastAsia="zh-CN"/>
                    </w:rPr>
                    <w:t>（</w:t>
                  </w:r>
                  <w:r>
                    <w:rPr>
                      <w:rFonts w:hint="eastAsia"/>
                      <w:color w:val="auto"/>
                      <w:lang w:val="en-US" w:eastAsia="zh-CN"/>
                    </w:rPr>
                    <w:t>0.0086</w:t>
                  </w:r>
                  <w:r>
                    <w:rPr>
                      <w:rFonts w:hint="eastAsia"/>
                      <w:color w:val="auto"/>
                      <w:lang w:eastAsia="zh-CN"/>
                    </w:rPr>
                    <w:t>）</w:t>
                  </w:r>
                </w:p>
              </w:tc>
              <w:tc>
                <w:tcPr>
                  <w:tcW w:w="649" w:type="pct"/>
                  <w:shd w:val="clear" w:color="auto" w:fill="auto"/>
                  <w:noWrap w:val="0"/>
                  <w:vAlign w:val="center"/>
                </w:tcPr>
                <w:p w14:paraId="0F2CE43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0.0024</w:t>
                  </w:r>
                  <w:r>
                    <w:rPr>
                      <w:rFonts w:hint="eastAsia"/>
                      <w:color w:val="auto"/>
                      <w:lang w:eastAsia="zh-CN"/>
                    </w:rPr>
                    <w:t>（</w:t>
                  </w:r>
                  <w:r>
                    <w:rPr>
                      <w:rFonts w:hint="eastAsia"/>
                      <w:color w:val="auto"/>
                      <w:lang w:val="en-US" w:eastAsia="zh-CN"/>
                    </w:rPr>
                    <w:t>0.0002</w:t>
                  </w:r>
                  <w:r>
                    <w:rPr>
                      <w:rFonts w:hint="eastAsia"/>
                      <w:color w:val="auto"/>
                      <w:lang w:eastAsia="zh-CN"/>
                    </w:rPr>
                    <w:t>）</w:t>
                  </w:r>
                </w:p>
              </w:tc>
              <w:tc>
                <w:tcPr>
                  <w:tcW w:w="376" w:type="pct"/>
                  <w:shd w:val="clear" w:color="auto" w:fill="auto"/>
                  <w:noWrap w:val="0"/>
                  <w:vAlign w:val="center"/>
                </w:tcPr>
                <w:p w14:paraId="6A29DA8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0.0153</w:t>
                  </w:r>
                </w:p>
              </w:tc>
              <w:tc>
                <w:tcPr>
                  <w:tcW w:w="416" w:type="pct"/>
                  <w:shd w:val="clear" w:color="auto" w:fill="auto"/>
                  <w:noWrap w:val="0"/>
                  <w:vAlign w:val="center"/>
                </w:tcPr>
                <w:p w14:paraId="399FC4D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0.0005</w:t>
                  </w:r>
                </w:p>
              </w:tc>
              <w:tc>
                <w:tcPr>
                  <w:tcW w:w="594" w:type="pct"/>
                  <w:shd w:val="clear" w:color="auto" w:fill="auto"/>
                  <w:noWrap w:val="0"/>
                  <w:vAlign w:val="center"/>
                </w:tcPr>
                <w:p w14:paraId="6766B39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0.0148</w:t>
                  </w:r>
                  <w:r>
                    <w:rPr>
                      <w:rFonts w:hint="eastAsia"/>
                      <w:color w:val="auto"/>
                      <w:lang w:eastAsia="zh-CN"/>
                    </w:rPr>
                    <w:t>（</w:t>
                  </w:r>
                  <w:r>
                    <w:rPr>
                      <w:rFonts w:hint="eastAsia"/>
                      <w:color w:val="auto"/>
                      <w:lang w:val="en-US" w:eastAsia="zh-CN"/>
                    </w:rPr>
                    <w:t>0.0016</w:t>
                  </w:r>
                  <w:r>
                    <w:rPr>
                      <w:rFonts w:hint="eastAsia"/>
                      <w:color w:val="auto"/>
                      <w:lang w:eastAsia="zh-CN"/>
                    </w:rPr>
                    <w:t>）</w:t>
                  </w:r>
                </w:p>
              </w:tc>
              <w:tc>
                <w:tcPr>
                  <w:tcW w:w="573" w:type="pct"/>
                  <w:shd w:val="clear" w:color="auto" w:fill="auto"/>
                  <w:noWrap w:val="0"/>
                  <w:vAlign w:val="center"/>
                </w:tcPr>
                <w:p w14:paraId="1B2DE54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0.06037</w:t>
                  </w:r>
                  <w:r>
                    <w:rPr>
                      <w:rFonts w:hint="eastAsia"/>
                      <w:color w:val="auto"/>
                      <w:lang w:eastAsia="zh-CN"/>
                    </w:rPr>
                    <w:t>（</w:t>
                  </w:r>
                  <w:r>
                    <w:rPr>
                      <w:rFonts w:hint="eastAsia"/>
                      <w:color w:val="auto"/>
                      <w:lang w:val="en-US" w:eastAsia="zh-CN"/>
                    </w:rPr>
                    <w:t>0.0044</w:t>
                  </w:r>
                  <w:r>
                    <w:rPr>
                      <w:rFonts w:hint="eastAsia"/>
                      <w:color w:val="auto"/>
                      <w:lang w:eastAsia="zh-CN"/>
                    </w:rPr>
                    <w:t>）</w:t>
                  </w:r>
                </w:p>
              </w:tc>
              <w:tc>
                <w:tcPr>
                  <w:tcW w:w="585" w:type="pct"/>
                  <w:shd w:val="clear" w:color="auto" w:fill="auto"/>
                  <w:noWrap w:val="0"/>
                  <w:vAlign w:val="center"/>
                </w:tcPr>
                <w:p w14:paraId="034B305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-0.04557</w:t>
                  </w:r>
                  <w:r>
                    <w:rPr>
                      <w:rFonts w:hint="eastAsia"/>
                      <w:color w:val="auto"/>
                      <w:lang w:eastAsia="zh-CN"/>
                    </w:rPr>
                    <w:t>（</w:t>
                  </w:r>
                  <w:r>
                    <w:rPr>
                      <w:rFonts w:hint="eastAsia"/>
                      <w:color w:val="auto"/>
                      <w:lang w:val="en-US" w:eastAsia="zh-CN"/>
                    </w:rPr>
                    <w:t>-0.0028</w:t>
                  </w:r>
                  <w:r>
                    <w:rPr>
                      <w:rFonts w:hint="eastAsia"/>
                      <w:color w:val="auto"/>
                      <w:lang w:eastAsia="zh-CN"/>
                    </w:rPr>
                    <w:t>）</w:t>
                  </w:r>
                </w:p>
              </w:tc>
              <w:tc>
                <w:tcPr>
                  <w:tcW w:w="569" w:type="pct"/>
                  <w:shd w:val="clear" w:color="auto" w:fill="auto"/>
                  <w:noWrap w:val="0"/>
                  <w:vAlign w:val="center"/>
                </w:tcPr>
                <w:p w14:paraId="08E3F09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rPr>
                    <w:t>0.0772</w:t>
                  </w:r>
                  <w:r>
                    <w:rPr>
                      <w:rFonts w:hint="eastAsia"/>
                      <w:color w:val="auto"/>
                      <w:lang w:eastAsia="zh-CN"/>
                    </w:rPr>
                    <w:t>（</w:t>
                  </w:r>
                  <w:r>
                    <w:rPr>
                      <w:rFonts w:hint="eastAsia"/>
                      <w:color w:val="auto"/>
                      <w:lang w:val="en-US" w:eastAsia="zh-CN"/>
                    </w:rPr>
                    <w:t>0.006</w:t>
                  </w:r>
                  <w:r>
                    <w:rPr>
                      <w:rFonts w:hint="eastAsia"/>
                      <w:color w:val="auto"/>
                      <w:lang w:eastAsia="zh-CN"/>
                    </w:rPr>
                    <w:t>）</w:t>
                  </w:r>
                </w:p>
              </w:tc>
            </w:tr>
            <w:tr w14:paraId="55869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restart"/>
                  <w:noWrap w:val="0"/>
                  <w:vAlign w:val="center"/>
                </w:tcPr>
                <w:p w14:paraId="5F9B2AE4">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有组织</w:t>
                  </w:r>
                  <w:sdt>
                    <w:sdtPr>
                      <w:rPr>
                        <w:color w:val="auto"/>
                        <w:highlight w:val="none"/>
                      </w:rPr>
                      <w:alias w:val="易错词检查"/>
                      <w:tag w:val="auto"/>
                      <w:id w:val="147470541"/>
                    </w:sdtPr>
                    <w:sdtEndPr>
                      <w:rPr>
                        <w:color w:val="auto"/>
                        <w:highlight w:val="none"/>
                      </w:rPr>
                    </w:sdtEndPr>
                    <w:sdtContent>
                      <w:bookmarkStart w:id="44" w:name="bkReivew1181801"/>
                      <w:r>
                        <w:rPr>
                          <w:color w:val="auto"/>
                          <w:highlight w:val="none"/>
                        </w:rPr>
                        <w:t>废气</w:t>
                      </w:r>
                      <w:bookmarkEnd w:id="44"/>
                    </w:sdtContent>
                  </w:sdt>
                </w:p>
              </w:tc>
              <w:tc>
                <w:tcPr>
                  <w:tcW w:w="441" w:type="pct"/>
                  <w:shd w:val="clear" w:color="auto" w:fill="auto"/>
                  <w:noWrap w:val="0"/>
                  <w:vAlign w:val="center"/>
                </w:tcPr>
                <w:p w14:paraId="1F462BF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lang w:val="en-US" w:eastAsia="zh-CN"/>
                    </w:rPr>
                    <w:t>NMHC</w:t>
                  </w:r>
                </w:p>
              </w:tc>
              <w:tc>
                <w:tcPr>
                  <w:tcW w:w="624" w:type="pct"/>
                  <w:shd w:val="clear" w:color="auto" w:fill="auto"/>
                  <w:noWrap w:val="0"/>
                  <w:vAlign w:val="center"/>
                </w:tcPr>
                <w:p w14:paraId="0693AFD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0.283</w:t>
                  </w:r>
                </w:p>
              </w:tc>
              <w:tc>
                <w:tcPr>
                  <w:tcW w:w="649" w:type="pct"/>
                  <w:shd w:val="clear" w:color="auto" w:fill="auto"/>
                  <w:noWrap w:val="0"/>
                  <w:vAlign w:val="center"/>
                </w:tcPr>
                <w:p w14:paraId="2C6E124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w:t>
                  </w:r>
                </w:p>
              </w:tc>
              <w:tc>
                <w:tcPr>
                  <w:tcW w:w="376" w:type="pct"/>
                  <w:shd w:val="clear" w:color="auto" w:fill="auto"/>
                  <w:noWrap w:val="0"/>
                  <w:vAlign w:val="center"/>
                </w:tcPr>
                <w:p w14:paraId="3F440B6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1.2222</w:t>
                  </w:r>
                </w:p>
              </w:tc>
              <w:tc>
                <w:tcPr>
                  <w:tcW w:w="416" w:type="pct"/>
                  <w:shd w:val="clear" w:color="auto" w:fill="auto"/>
                  <w:noWrap w:val="0"/>
                  <w:vAlign w:val="center"/>
                </w:tcPr>
                <w:p w14:paraId="579611B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1.0022</w:t>
                  </w:r>
                </w:p>
              </w:tc>
              <w:tc>
                <w:tcPr>
                  <w:tcW w:w="594" w:type="pct"/>
                  <w:shd w:val="clear" w:color="auto" w:fill="auto"/>
                  <w:noWrap w:val="0"/>
                  <w:vAlign w:val="center"/>
                </w:tcPr>
                <w:p w14:paraId="65AA6B2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0.22</w:t>
                  </w:r>
                </w:p>
              </w:tc>
              <w:tc>
                <w:tcPr>
                  <w:tcW w:w="573" w:type="pct"/>
                  <w:shd w:val="clear" w:color="auto" w:fill="auto"/>
                  <w:noWrap w:val="0"/>
                  <w:vAlign w:val="center"/>
                </w:tcPr>
                <w:p w14:paraId="05D9780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0.1415</w:t>
                  </w:r>
                </w:p>
              </w:tc>
              <w:tc>
                <w:tcPr>
                  <w:tcW w:w="585" w:type="pct"/>
                  <w:shd w:val="clear" w:color="auto" w:fill="auto"/>
                  <w:noWrap w:val="0"/>
                  <w:vAlign w:val="center"/>
                </w:tcPr>
                <w:p w14:paraId="64D98E2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0.0785</w:t>
                  </w:r>
                </w:p>
              </w:tc>
              <w:tc>
                <w:tcPr>
                  <w:tcW w:w="569" w:type="pct"/>
                  <w:shd w:val="clear" w:color="auto" w:fill="auto"/>
                  <w:noWrap w:val="0"/>
                  <w:vAlign w:val="center"/>
                </w:tcPr>
                <w:p w14:paraId="7B08781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0.3615</w:t>
                  </w:r>
                </w:p>
              </w:tc>
            </w:tr>
            <w:tr w14:paraId="0043F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307834A5">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shd w:val="clear" w:color="auto" w:fill="auto"/>
                  <w:noWrap w:val="0"/>
                  <w:vAlign w:val="top"/>
                </w:tcPr>
                <w:p w14:paraId="482F17A3">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乙酸乙酯</w:t>
                  </w:r>
                </w:p>
              </w:tc>
              <w:tc>
                <w:tcPr>
                  <w:tcW w:w="624" w:type="pct"/>
                  <w:shd w:val="clear" w:color="auto" w:fill="auto"/>
                  <w:noWrap w:val="0"/>
                  <w:vAlign w:val="center"/>
                </w:tcPr>
                <w:p w14:paraId="2F69DEA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lang w:val="en-US" w:eastAsia="zh-CN"/>
                    </w:rPr>
                    <w:t>0</w:t>
                  </w:r>
                </w:p>
              </w:tc>
              <w:tc>
                <w:tcPr>
                  <w:tcW w:w="649" w:type="pct"/>
                  <w:shd w:val="clear" w:color="auto" w:fill="auto"/>
                  <w:noWrap w:val="0"/>
                  <w:vAlign w:val="center"/>
                </w:tcPr>
                <w:p w14:paraId="1C5B181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376" w:type="pct"/>
                  <w:shd w:val="clear" w:color="auto" w:fill="auto"/>
                  <w:noWrap w:val="0"/>
                  <w:vAlign w:val="center"/>
                </w:tcPr>
                <w:p w14:paraId="519B4DA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0.0408</w:t>
                  </w:r>
                </w:p>
              </w:tc>
              <w:tc>
                <w:tcPr>
                  <w:tcW w:w="416" w:type="pct"/>
                  <w:shd w:val="clear" w:color="auto" w:fill="auto"/>
                  <w:noWrap w:val="0"/>
                  <w:vAlign w:val="center"/>
                </w:tcPr>
                <w:p w14:paraId="0CAE2A2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0.0334</w:t>
                  </w:r>
                </w:p>
              </w:tc>
              <w:tc>
                <w:tcPr>
                  <w:tcW w:w="594" w:type="pct"/>
                  <w:shd w:val="clear" w:color="auto" w:fill="auto"/>
                  <w:noWrap w:val="0"/>
                  <w:vAlign w:val="center"/>
                </w:tcPr>
                <w:p w14:paraId="3CD5FAB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0.0074</w:t>
                  </w:r>
                </w:p>
              </w:tc>
              <w:tc>
                <w:tcPr>
                  <w:tcW w:w="573" w:type="pct"/>
                  <w:shd w:val="clear" w:color="auto" w:fill="auto"/>
                  <w:noWrap w:val="0"/>
                  <w:vAlign w:val="center"/>
                </w:tcPr>
                <w:p w14:paraId="20AF2AD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585" w:type="pct"/>
                  <w:shd w:val="clear" w:color="auto" w:fill="auto"/>
                  <w:noWrap w:val="0"/>
                  <w:vAlign w:val="center"/>
                </w:tcPr>
                <w:p w14:paraId="24A69E5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0.0074</w:t>
                  </w:r>
                </w:p>
              </w:tc>
              <w:tc>
                <w:tcPr>
                  <w:tcW w:w="569" w:type="pct"/>
                  <w:shd w:val="clear" w:color="auto" w:fill="auto"/>
                  <w:noWrap w:val="0"/>
                  <w:vAlign w:val="center"/>
                </w:tcPr>
                <w:p w14:paraId="3589F74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0.0074</w:t>
                  </w:r>
                </w:p>
              </w:tc>
            </w:tr>
            <w:tr w14:paraId="3F27A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4E47BA8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color w:val="auto"/>
                      <w:highlight w:val="none"/>
                      <w:lang w:val="en-US" w:eastAsia="zh-CN"/>
                    </w:rPr>
                  </w:pPr>
                  <w:r>
                    <w:rPr>
                      <w:rFonts w:hint="eastAsia"/>
                      <w:color w:val="auto"/>
                      <w:highlight w:val="none"/>
                      <w:lang w:eastAsia="zh-CN"/>
                    </w:rPr>
                    <w:t>0</w:t>
                  </w:r>
                  <w:r>
                    <w:rPr>
                      <w:rFonts w:hint="eastAsia"/>
                      <w:color w:val="auto"/>
                      <w:highlight w:val="none"/>
                      <w:lang w:val="en-US" w:eastAsia="zh-CN"/>
                    </w:rPr>
                    <w:t>.</w:t>
                  </w:r>
                </w:p>
              </w:tc>
              <w:tc>
                <w:tcPr>
                  <w:tcW w:w="441" w:type="pct"/>
                  <w:shd w:val="clear" w:color="auto" w:fill="auto"/>
                  <w:noWrap w:val="0"/>
                  <w:vAlign w:val="top"/>
                </w:tcPr>
                <w:p w14:paraId="33CEF66E">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甲醇</w:t>
                  </w:r>
                </w:p>
              </w:tc>
              <w:tc>
                <w:tcPr>
                  <w:tcW w:w="624" w:type="pct"/>
                  <w:shd w:val="clear" w:color="auto" w:fill="auto"/>
                  <w:noWrap w:val="0"/>
                  <w:vAlign w:val="center"/>
                </w:tcPr>
                <w:p w14:paraId="5827917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lang w:val="en-US" w:eastAsia="zh-CN"/>
                    </w:rPr>
                    <w:t>0</w:t>
                  </w:r>
                </w:p>
              </w:tc>
              <w:tc>
                <w:tcPr>
                  <w:tcW w:w="649" w:type="pct"/>
                  <w:shd w:val="clear" w:color="auto" w:fill="auto"/>
                  <w:noWrap w:val="0"/>
                  <w:vAlign w:val="center"/>
                </w:tcPr>
                <w:p w14:paraId="5A966B6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376" w:type="pct"/>
                  <w:shd w:val="clear" w:color="auto" w:fill="auto"/>
                  <w:noWrap w:val="0"/>
                  <w:vAlign w:val="center"/>
                </w:tcPr>
                <w:p w14:paraId="7AC725F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0.1638</w:t>
                  </w:r>
                </w:p>
              </w:tc>
              <w:tc>
                <w:tcPr>
                  <w:tcW w:w="416" w:type="pct"/>
                  <w:shd w:val="clear" w:color="auto" w:fill="auto"/>
                  <w:noWrap w:val="0"/>
                  <w:vAlign w:val="center"/>
                </w:tcPr>
                <w:p w14:paraId="0163CD3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0.1344</w:t>
                  </w:r>
                </w:p>
              </w:tc>
              <w:tc>
                <w:tcPr>
                  <w:tcW w:w="594" w:type="pct"/>
                  <w:shd w:val="clear" w:color="auto" w:fill="auto"/>
                  <w:noWrap w:val="0"/>
                  <w:vAlign w:val="center"/>
                </w:tcPr>
                <w:p w14:paraId="30481D6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0.0294</w:t>
                  </w:r>
                </w:p>
              </w:tc>
              <w:tc>
                <w:tcPr>
                  <w:tcW w:w="573" w:type="pct"/>
                  <w:shd w:val="clear" w:color="auto" w:fill="auto"/>
                  <w:noWrap w:val="0"/>
                  <w:vAlign w:val="center"/>
                </w:tcPr>
                <w:p w14:paraId="7056FD0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585" w:type="pct"/>
                  <w:shd w:val="clear" w:color="auto" w:fill="auto"/>
                  <w:noWrap w:val="0"/>
                  <w:vAlign w:val="center"/>
                </w:tcPr>
                <w:p w14:paraId="4EC3479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0.0294</w:t>
                  </w:r>
                </w:p>
              </w:tc>
              <w:tc>
                <w:tcPr>
                  <w:tcW w:w="569" w:type="pct"/>
                  <w:shd w:val="clear" w:color="auto" w:fill="auto"/>
                  <w:noWrap w:val="0"/>
                  <w:vAlign w:val="center"/>
                </w:tcPr>
                <w:p w14:paraId="7D0A61B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0.0294</w:t>
                  </w:r>
                </w:p>
              </w:tc>
            </w:tr>
            <w:tr w14:paraId="1A5EF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5E08A2DB">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shd w:val="clear" w:color="auto" w:fill="auto"/>
                  <w:noWrap w:val="0"/>
                  <w:vAlign w:val="top"/>
                </w:tcPr>
                <w:p w14:paraId="6108B01A">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二氯甲烷</w:t>
                  </w:r>
                </w:p>
              </w:tc>
              <w:tc>
                <w:tcPr>
                  <w:tcW w:w="624" w:type="pct"/>
                  <w:shd w:val="clear" w:color="auto" w:fill="auto"/>
                  <w:noWrap w:val="0"/>
                  <w:vAlign w:val="center"/>
                </w:tcPr>
                <w:p w14:paraId="248EDF4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lang w:val="en-US" w:eastAsia="zh-CN"/>
                    </w:rPr>
                    <w:t>0</w:t>
                  </w:r>
                </w:p>
              </w:tc>
              <w:tc>
                <w:tcPr>
                  <w:tcW w:w="649" w:type="pct"/>
                  <w:shd w:val="clear" w:color="auto" w:fill="auto"/>
                  <w:noWrap w:val="0"/>
                  <w:vAlign w:val="center"/>
                </w:tcPr>
                <w:p w14:paraId="3876C17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376" w:type="pct"/>
                  <w:shd w:val="clear" w:color="auto" w:fill="auto"/>
                  <w:noWrap w:val="0"/>
                  <w:vAlign w:val="center"/>
                </w:tcPr>
                <w:p w14:paraId="46450ED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0.0346</w:t>
                  </w:r>
                </w:p>
              </w:tc>
              <w:tc>
                <w:tcPr>
                  <w:tcW w:w="416" w:type="pct"/>
                  <w:shd w:val="clear" w:color="auto" w:fill="auto"/>
                  <w:noWrap w:val="0"/>
                  <w:vAlign w:val="center"/>
                </w:tcPr>
                <w:p w14:paraId="167D2E7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0.0284</w:t>
                  </w:r>
                </w:p>
              </w:tc>
              <w:tc>
                <w:tcPr>
                  <w:tcW w:w="594" w:type="pct"/>
                  <w:shd w:val="clear" w:color="auto" w:fill="auto"/>
                  <w:noWrap w:val="0"/>
                  <w:vAlign w:val="center"/>
                </w:tcPr>
                <w:p w14:paraId="44528FC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0.0062</w:t>
                  </w:r>
                </w:p>
              </w:tc>
              <w:tc>
                <w:tcPr>
                  <w:tcW w:w="573" w:type="pct"/>
                  <w:shd w:val="clear" w:color="auto" w:fill="auto"/>
                  <w:noWrap w:val="0"/>
                  <w:vAlign w:val="center"/>
                </w:tcPr>
                <w:p w14:paraId="0BE241A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585" w:type="pct"/>
                  <w:shd w:val="clear" w:color="auto" w:fill="auto"/>
                  <w:noWrap w:val="0"/>
                  <w:vAlign w:val="center"/>
                </w:tcPr>
                <w:p w14:paraId="618F2A0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0.0062</w:t>
                  </w:r>
                </w:p>
              </w:tc>
              <w:tc>
                <w:tcPr>
                  <w:tcW w:w="569" w:type="pct"/>
                  <w:shd w:val="clear" w:color="auto" w:fill="auto"/>
                  <w:noWrap w:val="0"/>
                  <w:vAlign w:val="center"/>
                </w:tcPr>
                <w:p w14:paraId="2857FB7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0.0062</w:t>
                  </w:r>
                </w:p>
              </w:tc>
            </w:tr>
            <w:tr w14:paraId="347A1C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2C9DA6BF">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shd w:val="clear" w:color="auto" w:fill="auto"/>
                  <w:noWrap w:val="0"/>
                  <w:vAlign w:val="top"/>
                </w:tcPr>
                <w:p w14:paraId="17AA3AE5">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乙腈</w:t>
                  </w:r>
                </w:p>
              </w:tc>
              <w:tc>
                <w:tcPr>
                  <w:tcW w:w="624" w:type="pct"/>
                  <w:shd w:val="clear" w:color="auto" w:fill="auto"/>
                  <w:noWrap w:val="0"/>
                  <w:vAlign w:val="center"/>
                </w:tcPr>
                <w:p w14:paraId="0665639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lang w:val="en-US" w:eastAsia="zh-CN"/>
                    </w:rPr>
                    <w:t>0</w:t>
                  </w:r>
                </w:p>
              </w:tc>
              <w:tc>
                <w:tcPr>
                  <w:tcW w:w="649" w:type="pct"/>
                  <w:shd w:val="clear" w:color="auto" w:fill="auto"/>
                  <w:noWrap w:val="0"/>
                  <w:vAlign w:val="center"/>
                </w:tcPr>
                <w:p w14:paraId="065A866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376" w:type="pct"/>
                  <w:shd w:val="clear" w:color="auto" w:fill="auto"/>
                  <w:noWrap w:val="0"/>
                  <w:vAlign w:val="center"/>
                </w:tcPr>
                <w:p w14:paraId="5412CA6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0.19</w:t>
                  </w:r>
                </w:p>
              </w:tc>
              <w:tc>
                <w:tcPr>
                  <w:tcW w:w="416" w:type="pct"/>
                  <w:shd w:val="clear" w:color="auto" w:fill="auto"/>
                  <w:noWrap w:val="0"/>
                  <w:vAlign w:val="center"/>
                </w:tcPr>
                <w:p w14:paraId="17BC960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0.1558</w:t>
                  </w:r>
                </w:p>
              </w:tc>
              <w:tc>
                <w:tcPr>
                  <w:tcW w:w="594" w:type="pct"/>
                  <w:shd w:val="clear" w:color="auto" w:fill="auto"/>
                  <w:noWrap w:val="0"/>
                  <w:vAlign w:val="center"/>
                </w:tcPr>
                <w:p w14:paraId="48CC37A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0.0342</w:t>
                  </w:r>
                </w:p>
              </w:tc>
              <w:tc>
                <w:tcPr>
                  <w:tcW w:w="573" w:type="pct"/>
                  <w:shd w:val="clear" w:color="auto" w:fill="auto"/>
                  <w:noWrap w:val="0"/>
                  <w:vAlign w:val="center"/>
                </w:tcPr>
                <w:p w14:paraId="0B9541A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585" w:type="pct"/>
                  <w:shd w:val="clear" w:color="auto" w:fill="auto"/>
                  <w:noWrap w:val="0"/>
                  <w:vAlign w:val="center"/>
                </w:tcPr>
                <w:p w14:paraId="4009C6F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0.0342</w:t>
                  </w:r>
                </w:p>
              </w:tc>
              <w:tc>
                <w:tcPr>
                  <w:tcW w:w="569" w:type="pct"/>
                  <w:shd w:val="clear" w:color="auto" w:fill="auto"/>
                  <w:noWrap w:val="0"/>
                  <w:vAlign w:val="center"/>
                </w:tcPr>
                <w:p w14:paraId="3DF2D10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0.0342</w:t>
                  </w:r>
                </w:p>
              </w:tc>
            </w:tr>
            <w:tr w14:paraId="35CDD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49CF2DBB">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shd w:val="clear" w:color="auto" w:fill="auto"/>
                  <w:noWrap w:val="0"/>
                  <w:vAlign w:val="top"/>
                </w:tcPr>
                <w:p w14:paraId="6F798270">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氨</w:t>
                  </w:r>
                </w:p>
              </w:tc>
              <w:tc>
                <w:tcPr>
                  <w:tcW w:w="624" w:type="pct"/>
                  <w:shd w:val="clear" w:color="auto" w:fill="auto"/>
                  <w:noWrap w:val="0"/>
                  <w:vAlign w:val="center"/>
                </w:tcPr>
                <w:p w14:paraId="57FE618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0.002</w:t>
                  </w:r>
                </w:p>
              </w:tc>
              <w:tc>
                <w:tcPr>
                  <w:tcW w:w="649" w:type="pct"/>
                  <w:shd w:val="clear" w:color="auto" w:fill="auto"/>
                  <w:noWrap w:val="0"/>
                  <w:vAlign w:val="center"/>
                </w:tcPr>
                <w:p w14:paraId="3085376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w:t>
                  </w:r>
                </w:p>
              </w:tc>
              <w:tc>
                <w:tcPr>
                  <w:tcW w:w="376" w:type="pct"/>
                  <w:shd w:val="clear" w:color="auto" w:fill="auto"/>
                  <w:noWrap w:val="0"/>
                  <w:vAlign w:val="center"/>
                </w:tcPr>
                <w:p w14:paraId="2B05B7A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0.0129</w:t>
                  </w:r>
                </w:p>
              </w:tc>
              <w:tc>
                <w:tcPr>
                  <w:tcW w:w="416" w:type="pct"/>
                  <w:shd w:val="clear" w:color="auto" w:fill="auto"/>
                  <w:noWrap w:val="0"/>
                  <w:vAlign w:val="center"/>
                </w:tcPr>
                <w:p w14:paraId="586154E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0.0048</w:t>
                  </w:r>
                </w:p>
              </w:tc>
              <w:tc>
                <w:tcPr>
                  <w:tcW w:w="594" w:type="pct"/>
                  <w:shd w:val="clear" w:color="auto" w:fill="auto"/>
                  <w:noWrap w:val="0"/>
                  <w:vAlign w:val="center"/>
                </w:tcPr>
                <w:p w14:paraId="3D2FD5A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0.0081</w:t>
                  </w:r>
                </w:p>
              </w:tc>
              <w:tc>
                <w:tcPr>
                  <w:tcW w:w="573" w:type="pct"/>
                  <w:shd w:val="clear" w:color="auto" w:fill="auto"/>
                  <w:noWrap w:val="0"/>
                  <w:vAlign w:val="center"/>
                </w:tcPr>
                <w:p w14:paraId="789319C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color w:val="auto"/>
                      <w:lang w:val="en-US" w:eastAsia="zh-CN"/>
                    </w:rPr>
                  </w:pPr>
                  <w:r>
                    <w:rPr>
                      <w:rFonts w:hint="eastAsia"/>
                      <w:color w:val="auto"/>
                      <w:lang w:val="en-US" w:eastAsia="zh-CN"/>
                    </w:rPr>
                    <w:t>0.001</w:t>
                  </w:r>
                </w:p>
              </w:tc>
              <w:tc>
                <w:tcPr>
                  <w:tcW w:w="585" w:type="pct"/>
                  <w:shd w:val="clear" w:color="auto" w:fill="auto"/>
                  <w:noWrap w:val="0"/>
                  <w:vAlign w:val="center"/>
                </w:tcPr>
                <w:p w14:paraId="588D7BE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0.0071</w:t>
                  </w:r>
                </w:p>
              </w:tc>
              <w:tc>
                <w:tcPr>
                  <w:tcW w:w="569" w:type="pct"/>
                  <w:shd w:val="clear" w:color="auto" w:fill="auto"/>
                  <w:noWrap w:val="0"/>
                  <w:vAlign w:val="center"/>
                </w:tcPr>
                <w:p w14:paraId="17A07E6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0.0091</w:t>
                  </w:r>
                </w:p>
              </w:tc>
            </w:tr>
            <w:tr w14:paraId="6772B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77545C40">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shd w:val="clear" w:color="auto" w:fill="auto"/>
                  <w:noWrap w:val="0"/>
                  <w:vAlign w:val="top"/>
                </w:tcPr>
                <w:p w14:paraId="574141CA">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乙酸</w:t>
                  </w:r>
                </w:p>
              </w:tc>
              <w:tc>
                <w:tcPr>
                  <w:tcW w:w="624" w:type="pct"/>
                  <w:shd w:val="clear" w:color="auto" w:fill="auto"/>
                  <w:noWrap w:val="0"/>
                  <w:vAlign w:val="center"/>
                </w:tcPr>
                <w:p w14:paraId="3E105D7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lang w:val="en-US" w:eastAsia="zh-CN"/>
                    </w:rPr>
                    <w:t>0</w:t>
                  </w:r>
                </w:p>
              </w:tc>
              <w:tc>
                <w:tcPr>
                  <w:tcW w:w="649" w:type="pct"/>
                  <w:shd w:val="clear" w:color="auto" w:fill="auto"/>
                  <w:noWrap w:val="0"/>
                  <w:vAlign w:val="center"/>
                </w:tcPr>
                <w:p w14:paraId="0AC21BA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376" w:type="pct"/>
                  <w:shd w:val="clear" w:color="auto" w:fill="auto"/>
                  <w:noWrap w:val="0"/>
                  <w:vAlign w:val="center"/>
                </w:tcPr>
                <w:p w14:paraId="3D05DD0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0.01</w:t>
                  </w:r>
                </w:p>
              </w:tc>
              <w:tc>
                <w:tcPr>
                  <w:tcW w:w="416" w:type="pct"/>
                  <w:shd w:val="clear" w:color="auto" w:fill="auto"/>
                  <w:noWrap w:val="0"/>
                  <w:vAlign w:val="center"/>
                </w:tcPr>
                <w:p w14:paraId="24BE9BD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0.001</w:t>
                  </w:r>
                </w:p>
              </w:tc>
              <w:tc>
                <w:tcPr>
                  <w:tcW w:w="594" w:type="pct"/>
                  <w:shd w:val="clear" w:color="auto" w:fill="auto"/>
                  <w:noWrap w:val="0"/>
                  <w:vAlign w:val="center"/>
                </w:tcPr>
                <w:p w14:paraId="1A0428D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0.009</w:t>
                  </w:r>
                </w:p>
              </w:tc>
              <w:tc>
                <w:tcPr>
                  <w:tcW w:w="573" w:type="pct"/>
                  <w:shd w:val="clear" w:color="auto" w:fill="auto"/>
                  <w:noWrap w:val="0"/>
                  <w:vAlign w:val="center"/>
                </w:tcPr>
                <w:p w14:paraId="3A64A68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585" w:type="pct"/>
                  <w:shd w:val="clear" w:color="auto" w:fill="auto"/>
                  <w:noWrap w:val="0"/>
                  <w:vAlign w:val="center"/>
                </w:tcPr>
                <w:p w14:paraId="67F925B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0.009</w:t>
                  </w:r>
                </w:p>
              </w:tc>
              <w:tc>
                <w:tcPr>
                  <w:tcW w:w="569" w:type="pct"/>
                  <w:shd w:val="clear" w:color="auto" w:fill="auto"/>
                  <w:noWrap w:val="0"/>
                  <w:vAlign w:val="center"/>
                </w:tcPr>
                <w:p w14:paraId="53F14EE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0.009</w:t>
                  </w:r>
                </w:p>
              </w:tc>
            </w:tr>
            <w:tr w14:paraId="4B9F7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3503A3A6">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shd w:val="clear" w:color="auto" w:fill="auto"/>
                  <w:noWrap w:val="0"/>
                  <w:vAlign w:val="top"/>
                </w:tcPr>
                <w:p w14:paraId="28104F0E">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甲酸</w:t>
                  </w:r>
                </w:p>
              </w:tc>
              <w:tc>
                <w:tcPr>
                  <w:tcW w:w="624" w:type="pct"/>
                  <w:shd w:val="clear" w:color="auto" w:fill="auto"/>
                  <w:noWrap w:val="0"/>
                  <w:vAlign w:val="center"/>
                </w:tcPr>
                <w:p w14:paraId="77F6B56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lang w:val="en-US" w:eastAsia="zh-CN"/>
                    </w:rPr>
                    <w:t>0</w:t>
                  </w:r>
                </w:p>
              </w:tc>
              <w:tc>
                <w:tcPr>
                  <w:tcW w:w="649" w:type="pct"/>
                  <w:shd w:val="clear" w:color="auto" w:fill="auto"/>
                  <w:noWrap w:val="0"/>
                  <w:vAlign w:val="center"/>
                </w:tcPr>
                <w:p w14:paraId="5DB059B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376" w:type="pct"/>
                  <w:shd w:val="clear" w:color="auto" w:fill="auto"/>
                  <w:noWrap w:val="0"/>
                  <w:vAlign w:val="center"/>
                </w:tcPr>
                <w:p w14:paraId="32EFFCD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0.004</w:t>
                  </w:r>
                </w:p>
              </w:tc>
              <w:tc>
                <w:tcPr>
                  <w:tcW w:w="416" w:type="pct"/>
                  <w:shd w:val="clear" w:color="auto" w:fill="auto"/>
                  <w:noWrap w:val="0"/>
                  <w:vAlign w:val="center"/>
                </w:tcPr>
                <w:p w14:paraId="741A9A1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0.0004</w:t>
                  </w:r>
                </w:p>
              </w:tc>
              <w:tc>
                <w:tcPr>
                  <w:tcW w:w="594" w:type="pct"/>
                  <w:shd w:val="clear" w:color="auto" w:fill="auto"/>
                  <w:noWrap w:val="0"/>
                  <w:vAlign w:val="center"/>
                </w:tcPr>
                <w:p w14:paraId="77D5463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0.0036</w:t>
                  </w:r>
                </w:p>
              </w:tc>
              <w:tc>
                <w:tcPr>
                  <w:tcW w:w="573" w:type="pct"/>
                  <w:shd w:val="clear" w:color="auto" w:fill="auto"/>
                  <w:noWrap w:val="0"/>
                  <w:vAlign w:val="center"/>
                </w:tcPr>
                <w:p w14:paraId="699EE10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585" w:type="pct"/>
                  <w:shd w:val="clear" w:color="auto" w:fill="auto"/>
                  <w:noWrap w:val="0"/>
                  <w:vAlign w:val="center"/>
                </w:tcPr>
                <w:p w14:paraId="4D4D7AF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0.0036</w:t>
                  </w:r>
                </w:p>
              </w:tc>
              <w:tc>
                <w:tcPr>
                  <w:tcW w:w="569" w:type="pct"/>
                  <w:shd w:val="clear" w:color="auto" w:fill="auto"/>
                  <w:noWrap w:val="0"/>
                  <w:vAlign w:val="center"/>
                </w:tcPr>
                <w:p w14:paraId="2C2604E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0.0036</w:t>
                  </w:r>
                </w:p>
              </w:tc>
            </w:tr>
            <w:tr w14:paraId="79208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0568F4E4">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shd w:val="clear" w:color="auto" w:fill="auto"/>
                  <w:noWrap w:val="0"/>
                  <w:vAlign w:val="center"/>
                </w:tcPr>
                <w:p w14:paraId="5B25C1D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lang w:val="en-US" w:eastAsia="zh-CN"/>
                    </w:rPr>
                    <w:t>硫化氢</w:t>
                  </w:r>
                </w:p>
              </w:tc>
              <w:tc>
                <w:tcPr>
                  <w:tcW w:w="624" w:type="pct"/>
                  <w:shd w:val="clear" w:color="auto" w:fill="auto"/>
                  <w:noWrap w:val="0"/>
                  <w:vAlign w:val="center"/>
                </w:tcPr>
                <w:p w14:paraId="271D132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lang w:val="en-US" w:eastAsia="zh-CN"/>
                    </w:rPr>
                    <w:t>0</w:t>
                  </w:r>
                </w:p>
              </w:tc>
              <w:tc>
                <w:tcPr>
                  <w:tcW w:w="649" w:type="pct"/>
                  <w:shd w:val="clear" w:color="auto" w:fill="auto"/>
                  <w:noWrap w:val="0"/>
                  <w:vAlign w:val="center"/>
                </w:tcPr>
                <w:p w14:paraId="0CA3CBD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376" w:type="pct"/>
                  <w:shd w:val="clear" w:color="auto" w:fill="auto"/>
                  <w:noWrap w:val="0"/>
                  <w:vAlign w:val="center"/>
                </w:tcPr>
                <w:p w14:paraId="6F525E2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0.00034</w:t>
                  </w:r>
                </w:p>
              </w:tc>
              <w:tc>
                <w:tcPr>
                  <w:tcW w:w="416" w:type="pct"/>
                  <w:shd w:val="clear" w:color="auto" w:fill="auto"/>
                  <w:noWrap w:val="0"/>
                  <w:vAlign w:val="center"/>
                </w:tcPr>
                <w:p w14:paraId="3280F7D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0.00017</w:t>
                  </w:r>
                </w:p>
              </w:tc>
              <w:tc>
                <w:tcPr>
                  <w:tcW w:w="594" w:type="pct"/>
                  <w:shd w:val="clear" w:color="auto" w:fill="auto"/>
                  <w:noWrap w:val="0"/>
                  <w:vAlign w:val="center"/>
                </w:tcPr>
                <w:p w14:paraId="6C5528F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0.00017</w:t>
                  </w:r>
                </w:p>
              </w:tc>
              <w:tc>
                <w:tcPr>
                  <w:tcW w:w="573" w:type="pct"/>
                  <w:shd w:val="clear" w:color="auto" w:fill="auto"/>
                  <w:noWrap w:val="0"/>
                  <w:vAlign w:val="center"/>
                </w:tcPr>
                <w:p w14:paraId="6435313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585" w:type="pct"/>
                  <w:shd w:val="clear" w:color="auto" w:fill="auto"/>
                  <w:noWrap w:val="0"/>
                  <w:vAlign w:val="center"/>
                </w:tcPr>
                <w:p w14:paraId="2B0AB69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0.00017</w:t>
                  </w:r>
                </w:p>
              </w:tc>
              <w:tc>
                <w:tcPr>
                  <w:tcW w:w="569" w:type="pct"/>
                  <w:shd w:val="clear" w:color="auto" w:fill="auto"/>
                  <w:noWrap w:val="0"/>
                  <w:vAlign w:val="center"/>
                </w:tcPr>
                <w:p w14:paraId="3E67FA8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0.00017</w:t>
                  </w:r>
                </w:p>
              </w:tc>
            </w:tr>
            <w:tr w14:paraId="50C23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4E29E3DA">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shd w:val="clear" w:color="auto" w:fill="auto"/>
                  <w:noWrap w:val="0"/>
                  <w:vAlign w:val="center"/>
                </w:tcPr>
                <w:p w14:paraId="105F8AF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SO</w:t>
                  </w:r>
                  <w:r>
                    <w:rPr>
                      <w:rFonts w:hint="eastAsia"/>
                      <w:color w:val="auto"/>
                      <w:vertAlign w:val="subscript"/>
                      <w:lang w:val="en-US" w:eastAsia="zh-CN"/>
                    </w:rPr>
                    <w:t>2</w:t>
                  </w:r>
                </w:p>
              </w:tc>
              <w:tc>
                <w:tcPr>
                  <w:tcW w:w="624" w:type="pct"/>
                  <w:shd w:val="clear" w:color="auto" w:fill="auto"/>
                  <w:noWrap w:val="0"/>
                  <w:vAlign w:val="center"/>
                </w:tcPr>
                <w:p w14:paraId="5365F3C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0.04</w:t>
                  </w:r>
                </w:p>
              </w:tc>
              <w:tc>
                <w:tcPr>
                  <w:tcW w:w="649" w:type="pct"/>
                  <w:shd w:val="clear" w:color="auto" w:fill="auto"/>
                  <w:noWrap w:val="0"/>
                  <w:vAlign w:val="center"/>
                </w:tcPr>
                <w:p w14:paraId="7653C92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w:t>
                  </w:r>
                </w:p>
              </w:tc>
              <w:tc>
                <w:tcPr>
                  <w:tcW w:w="376" w:type="pct"/>
                  <w:noWrap w:val="0"/>
                  <w:vAlign w:val="center"/>
                </w:tcPr>
                <w:p w14:paraId="60CF285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416" w:type="pct"/>
                  <w:noWrap w:val="0"/>
                  <w:vAlign w:val="center"/>
                </w:tcPr>
                <w:p w14:paraId="3A6B696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94" w:type="pct"/>
                  <w:noWrap w:val="0"/>
                  <w:vAlign w:val="center"/>
                </w:tcPr>
                <w:p w14:paraId="184C7E9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73" w:type="pct"/>
                  <w:shd w:val="clear" w:color="auto" w:fill="auto"/>
                  <w:noWrap w:val="0"/>
                  <w:vAlign w:val="center"/>
                </w:tcPr>
                <w:p w14:paraId="0F395FE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85" w:type="pct"/>
                  <w:shd w:val="clear" w:color="auto" w:fill="auto"/>
                  <w:noWrap w:val="0"/>
                  <w:vAlign w:val="center"/>
                </w:tcPr>
                <w:p w14:paraId="359955F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w:t>
                  </w:r>
                </w:p>
              </w:tc>
              <w:tc>
                <w:tcPr>
                  <w:tcW w:w="569" w:type="pct"/>
                  <w:shd w:val="clear" w:color="auto" w:fill="auto"/>
                  <w:noWrap w:val="0"/>
                  <w:vAlign w:val="center"/>
                </w:tcPr>
                <w:p w14:paraId="4DEF74B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0.04</w:t>
                  </w:r>
                </w:p>
              </w:tc>
            </w:tr>
            <w:tr w14:paraId="6D5C9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288795B3">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shd w:val="clear" w:color="auto" w:fill="auto"/>
                  <w:noWrap w:val="0"/>
                  <w:vAlign w:val="center"/>
                </w:tcPr>
                <w:p w14:paraId="504757A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NO</w:t>
                  </w:r>
                  <w:r>
                    <w:rPr>
                      <w:rFonts w:hint="eastAsia"/>
                      <w:color w:val="auto"/>
                      <w:vertAlign w:val="subscript"/>
                      <w:lang w:val="en-US" w:eastAsia="zh-CN"/>
                    </w:rPr>
                    <w:t>X</w:t>
                  </w:r>
                </w:p>
              </w:tc>
              <w:tc>
                <w:tcPr>
                  <w:tcW w:w="624" w:type="pct"/>
                  <w:shd w:val="clear" w:color="auto" w:fill="auto"/>
                  <w:noWrap w:val="0"/>
                  <w:vAlign w:val="center"/>
                </w:tcPr>
                <w:p w14:paraId="55CA846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0.76</w:t>
                  </w:r>
                </w:p>
              </w:tc>
              <w:tc>
                <w:tcPr>
                  <w:tcW w:w="649" w:type="pct"/>
                  <w:shd w:val="clear" w:color="auto" w:fill="auto"/>
                  <w:noWrap w:val="0"/>
                  <w:vAlign w:val="center"/>
                </w:tcPr>
                <w:p w14:paraId="762529D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w:t>
                  </w:r>
                </w:p>
              </w:tc>
              <w:tc>
                <w:tcPr>
                  <w:tcW w:w="376" w:type="pct"/>
                  <w:noWrap w:val="0"/>
                  <w:vAlign w:val="center"/>
                </w:tcPr>
                <w:p w14:paraId="1FD2A97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416" w:type="pct"/>
                  <w:noWrap w:val="0"/>
                  <w:vAlign w:val="center"/>
                </w:tcPr>
                <w:p w14:paraId="55DC61A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94" w:type="pct"/>
                  <w:noWrap w:val="0"/>
                  <w:vAlign w:val="center"/>
                </w:tcPr>
                <w:p w14:paraId="7A408C6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73" w:type="pct"/>
                  <w:shd w:val="clear" w:color="auto" w:fill="auto"/>
                  <w:noWrap w:val="0"/>
                  <w:vAlign w:val="center"/>
                </w:tcPr>
                <w:p w14:paraId="0D9EE52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85" w:type="pct"/>
                  <w:shd w:val="clear" w:color="auto" w:fill="auto"/>
                  <w:noWrap w:val="0"/>
                  <w:vAlign w:val="center"/>
                </w:tcPr>
                <w:p w14:paraId="56953E3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w:t>
                  </w:r>
                </w:p>
              </w:tc>
              <w:tc>
                <w:tcPr>
                  <w:tcW w:w="569" w:type="pct"/>
                  <w:shd w:val="clear" w:color="auto" w:fill="auto"/>
                  <w:noWrap w:val="0"/>
                  <w:vAlign w:val="center"/>
                </w:tcPr>
                <w:p w14:paraId="3EE97C4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0.76</w:t>
                  </w:r>
                </w:p>
              </w:tc>
            </w:tr>
            <w:tr w14:paraId="18484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5E72E513">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shd w:val="clear" w:color="auto" w:fill="auto"/>
                  <w:noWrap w:val="0"/>
                  <w:vAlign w:val="center"/>
                </w:tcPr>
                <w:p w14:paraId="062C801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颗粒物</w:t>
                  </w:r>
                </w:p>
              </w:tc>
              <w:tc>
                <w:tcPr>
                  <w:tcW w:w="624" w:type="pct"/>
                  <w:shd w:val="clear" w:color="auto" w:fill="auto"/>
                  <w:noWrap w:val="0"/>
                  <w:vAlign w:val="center"/>
                </w:tcPr>
                <w:p w14:paraId="42C2F23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0.098</w:t>
                  </w:r>
                </w:p>
              </w:tc>
              <w:tc>
                <w:tcPr>
                  <w:tcW w:w="649" w:type="pct"/>
                  <w:shd w:val="clear" w:color="auto" w:fill="auto"/>
                  <w:noWrap w:val="0"/>
                  <w:vAlign w:val="center"/>
                </w:tcPr>
                <w:p w14:paraId="57A1BF6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w:t>
                  </w:r>
                </w:p>
              </w:tc>
              <w:tc>
                <w:tcPr>
                  <w:tcW w:w="376" w:type="pct"/>
                  <w:noWrap w:val="0"/>
                  <w:vAlign w:val="center"/>
                </w:tcPr>
                <w:p w14:paraId="774DA8C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416" w:type="pct"/>
                  <w:noWrap w:val="0"/>
                  <w:vAlign w:val="center"/>
                </w:tcPr>
                <w:p w14:paraId="2423E4B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94" w:type="pct"/>
                  <w:noWrap w:val="0"/>
                  <w:vAlign w:val="center"/>
                </w:tcPr>
                <w:p w14:paraId="171B719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73" w:type="pct"/>
                  <w:shd w:val="clear" w:color="auto" w:fill="auto"/>
                  <w:noWrap w:val="0"/>
                  <w:vAlign w:val="center"/>
                </w:tcPr>
                <w:p w14:paraId="5237134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85" w:type="pct"/>
                  <w:shd w:val="clear" w:color="auto" w:fill="auto"/>
                  <w:noWrap w:val="0"/>
                  <w:vAlign w:val="center"/>
                </w:tcPr>
                <w:p w14:paraId="390DB09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w:t>
                  </w:r>
                </w:p>
              </w:tc>
              <w:tc>
                <w:tcPr>
                  <w:tcW w:w="569" w:type="pct"/>
                  <w:shd w:val="clear" w:color="auto" w:fill="auto"/>
                  <w:noWrap w:val="0"/>
                  <w:vAlign w:val="center"/>
                </w:tcPr>
                <w:p w14:paraId="3C763D6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0.098</w:t>
                  </w:r>
                </w:p>
              </w:tc>
            </w:tr>
            <w:tr w14:paraId="657E5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9" w:type="pct"/>
                  <w:vMerge w:val="restart"/>
                  <w:noWrap w:val="0"/>
                  <w:vAlign w:val="center"/>
                </w:tcPr>
                <w:p w14:paraId="602E99EF">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rFonts w:hint="eastAsia"/>
                      <w:color w:val="auto"/>
                      <w:highlight w:val="none"/>
                      <w:lang w:val="en-US" w:eastAsia="zh-CN"/>
                    </w:rPr>
                    <w:t>无组织废气</w:t>
                  </w:r>
                </w:p>
              </w:tc>
              <w:tc>
                <w:tcPr>
                  <w:tcW w:w="441" w:type="pct"/>
                  <w:shd w:val="clear" w:color="auto" w:fill="auto"/>
                  <w:noWrap w:val="0"/>
                  <w:vAlign w:val="center"/>
                </w:tcPr>
                <w:p w14:paraId="3CB44E8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lang w:val="en-US" w:eastAsia="zh-CN"/>
                    </w:rPr>
                    <w:t>NMHC</w:t>
                  </w:r>
                </w:p>
              </w:tc>
              <w:tc>
                <w:tcPr>
                  <w:tcW w:w="624" w:type="pct"/>
                  <w:shd w:val="clear" w:color="auto" w:fill="auto"/>
                  <w:noWrap w:val="0"/>
                  <w:vAlign w:val="center"/>
                </w:tcPr>
                <w:p w14:paraId="3D68941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0.15</w:t>
                  </w:r>
                </w:p>
              </w:tc>
              <w:tc>
                <w:tcPr>
                  <w:tcW w:w="649" w:type="pct"/>
                  <w:shd w:val="clear" w:color="auto" w:fill="auto"/>
                  <w:noWrap w:val="0"/>
                  <w:vAlign w:val="center"/>
                </w:tcPr>
                <w:p w14:paraId="0A581CA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0</w:t>
                  </w:r>
                </w:p>
              </w:tc>
              <w:tc>
                <w:tcPr>
                  <w:tcW w:w="376" w:type="pct"/>
                  <w:shd w:val="clear" w:color="auto" w:fill="auto"/>
                  <w:noWrap w:val="0"/>
                  <w:vAlign w:val="center"/>
                </w:tcPr>
                <w:p w14:paraId="3E0C19F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0.1222</w:t>
                  </w:r>
                </w:p>
              </w:tc>
              <w:tc>
                <w:tcPr>
                  <w:tcW w:w="416" w:type="pct"/>
                  <w:noWrap w:val="0"/>
                  <w:vAlign w:val="center"/>
                </w:tcPr>
                <w:p w14:paraId="1F34C3F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94" w:type="pct"/>
                  <w:shd w:val="clear" w:color="auto" w:fill="auto"/>
                  <w:noWrap w:val="0"/>
                  <w:vAlign w:val="center"/>
                </w:tcPr>
                <w:p w14:paraId="2E91CC2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0.1222</w:t>
                  </w:r>
                </w:p>
              </w:tc>
              <w:tc>
                <w:tcPr>
                  <w:tcW w:w="573" w:type="pct"/>
                  <w:shd w:val="clear" w:color="auto" w:fill="auto"/>
                  <w:noWrap w:val="0"/>
                  <w:vAlign w:val="center"/>
                </w:tcPr>
                <w:p w14:paraId="070218A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0.075</w:t>
                  </w:r>
                </w:p>
              </w:tc>
              <w:tc>
                <w:tcPr>
                  <w:tcW w:w="585" w:type="pct"/>
                  <w:shd w:val="clear" w:color="auto" w:fill="auto"/>
                  <w:noWrap w:val="0"/>
                  <w:vAlign w:val="center"/>
                </w:tcPr>
                <w:p w14:paraId="4984983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0.0472</w:t>
                  </w:r>
                </w:p>
              </w:tc>
              <w:tc>
                <w:tcPr>
                  <w:tcW w:w="569" w:type="pct"/>
                  <w:shd w:val="clear" w:color="auto" w:fill="auto"/>
                  <w:noWrap w:val="0"/>
                  <w:vAlign w:val="center"/>
                </w:tcPr>
                <w:p w14:paraId="1342F22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0.1972</w:t>
                  </w:r>
                </w:p>
              </w:tc>
            </w:tr>
            <w:tr w14:paraId="4DB3A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1DB9B73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p>
              </w:tc>
              <w:tc>
                <w:tcPr>
                  <w:tcW w:w="441" w:type="pct"/>
                  <w:shd w:val="clear" w:color="auto" w:fill="auto"/>
                  <w:noWrap w:val="0"/>
                  <w:vAlign w:val="top"/>
                </w:tcPr>
                <w:p w14:paraId="0ACFC56D">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乙酸乙酯</w:t>
                  </w:r>
                </w:p>
              </w:tc>
              <w:tc>
                <w:tcPr>
                  <w:tcW w:w="624" w:type="pct"/>
                  <w:shd w:val="clear" w:color="auto" w:fill="auto"/>
                  <w:noWrap w:val="0"/>
                  <w:vAlign w:val="center"/>
                </w:tcPr>
                <w:p w14:paraId="19872F7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649" w:type="pct"/>
                  <w:shd w:val="clear" w:color="auto" w:fill="auto"/>
                  <w:noWrap w:val="0"/>
                  <w:vAlign w:val="center"/>
                </w:tcPr>
                <w:p w14:paraId="492AF26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376" w:type="pct"/>
                  <w:shd w:val="clear" w:color="auto" w:fill="auto"/>
                  <w:noWrap w:val="0"/>
                  <w:vAlign w:val="center"/>
                </w:tcPr>
                <w:p w14:paraId="5C4931C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0.0041</w:t>
                  </w:r>
                </w:p>
              </w:tc>
              <w:tc>
                <w:tcPr>
                  <w:tcW w:w="416" w:type="pct"/>
                  <w:noWrap w:val="0"/>
                  <w:vAlign w:val="center"/>
                </w:tcPr>
                <w:p w14:paraId="781CAFE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94" w:type="pct"/>
                  <w:shd w:val="clear" w:color="auto" w:fill="auto"/>
                  <w:noWrap w:val="0"/>
                  <w:vAlign w:val="center"/>
                </w:tcPr>
                <w:p w14:paraId="11164C8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0.0041</w:t>
                  </w:r>
                </w:p>
              </w:tc>
              <w:tc>
                <w:tcPr>
                  <w:tcW w:w="573" w:type="pct"/>
                  <w:shd w:val="clear" w:color="auto" w:fill="auto"/>
                  <w:noWrap w:val="0"/>
                  <w:vAlign w:val="center"/>
                </w:tcPr>
                <w:p w14:paraId="2D00BF5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585" w:type="pct"/>
                  <w:shd w:val="clear" w:color="auto" w:fill="auto"/>
                  <w:noWrap w:val="0"/>
                  <w:vAlign w:val="center"/>
                </w:tcPr>
                <w:p w14:paraId="09746FE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0.0041</w:t>
                  </w:r>
                </w:p>
              </w:tc>
              <w:tc>
                <w:tcPr>
                  <w:tcW w:w="569" w:type="pct"/>
                  <w:shd w:val="clear" w:color="auto" w:fill="auto"/>
                  <w:noWrap w:val="0"/>
                  <w:vAlign w:val="center"/>
                </w:tcPr>
                <w:p w14:paraId="13C25F2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0.0041</w:t>
                  </w:r>
                </w:p>
              </w:tc>
            </w:tr>
            <w:tr w14:paraId="6971C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3FE04F8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p>
              </w:tc>
              <w:tc>
                <w:tcPr>
                  <w:tcW w:w="441" w:type="pct"/>
                  <w:shd w:val="clear" w:color="auto" w:fill="auto"/>
                  <w:noWrap w:val="0"/>
                  <w:vAlign w:val="top"/>
                </w:tcPr>
                <w:p w14:paraId="42C06EB0">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甲醇</w:t>
                  </w:r>
                </w:p>
              </w:tc>
              <w:tc>
                <w:tcPr>
                  <w:tcW w:w="624" w:type="pct"/>
                  <w:shd w:val="clear" w:color="auto" w:fill="auto"/>
                  <w:noWrap w:val="0"/>
                  <w:vAlign w:val="center"/>
                </w:tcPr>
                <w:p w14:paraId="0D8B500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649" w:type="pct"/>
                  <w:shd w:val="clear" w:color="auto" w:fill="auto"/>
                  <w:noWrap w:val="0"/>
                  <w:vAlign w:val="center"/>
                </w:tcPr>
                <w:p w14:paraId="55AE806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376" w:type="pct"/>
                  <w:shd w:val="clear" w:color="auto" w:fill="auto"/>
                  <w:noWrap w:val="0"/>
                  <w:vAlign w:val="center"/>
                </w:tcPr>
                <w:p w14:paraId="4E40EBA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0.0164</w:t>
                  </w:r>
                </w:p>
              </w:tc>
              <w:tc>
                <w:tcPr>
                  <w:tcW w:w="416" w:type="pct"/>
                  <w:noWrap w:val="0"/>
                  <w:vAlign w:val="center"/>
                </w:tcPr>
                <w:p w14:paraId="0BC8025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94" w:type="pct"/>
                  <w:shd w:val="clear" w:color="auto" w:fill="auto"/>
                  <w:noWrap w:val="0"/>
                  <w:vAlign w:val="center"/>
                </w:tcPr>
                <w:p w14:paraId="5BA2767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0.0164</w:t>
                  </w:r>
                </w:p>
              </w:tc>
              <w:tc>
                <w:tcPr>
                  <w:tcW w:w="573" w:type="pct"/>
                  <w:shd w:val="clear" w:color="auto" w:fill="auto"/>
                  <w:noWrap w:val="0"/>
                  <w:vAlign w:val="center"/>
                </w:tcPr>
                <w:p w14:paraId="3B69B58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585" w:type="pct"/>
                  <w:shd w:val="clear" w:color="auto" w:fill="auto"/>
                  <w:noWrap w:val="0"/>
                  <w:vAlign w:val="center"/>
                </w:tcPr>
                <w:p w14:paraId="7315569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0.0164</w:t>
                  </w:r>
                </w:p>
              </w:tc>
              <w:tc>
                <w:tcPr>
                  <w:tcW w:w="569" w:type="pct"/>
                  <w:shd w:val="clear" w:color="auto" w:fill="auto"/>
                  <w:noWrap w:val="0"/>
                  <w:vAlign w:val="center"/>
                </w:tcPr>
                <w:p w14:paraId="4BFC52B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0.0164</w:t>
                  </w:r>
                </w:p>
              </w:tc>
            </w:tr>
            <w:tr w14:paraId="67E16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3E292A7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p>
              </w:tc>
              <w:tc>
                <w:tcPr>
                  <w:tcW w:w="441" w:type="pct"/>
                  <w:shd w:val="clear" w:color="auto" w:fill="auto"/>
                  <w:noWrap w:val="0"/>
                  <w:vAlign w:val="top"/>
                </w:tcPr>
                <w:p w14:paraId="5F8DA695">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二氯甲烷</w:t>
                  </w:r>
                </w:p>
              </w:tc>
              <w:tc>
                <w:tcPr>
                  <w:tcW w:w="624" w:type="pct"/>
                  <w:shd w:val="clear" w:color="auto" w:fill="auto"/>
                  <w:noWrap w:val="0"/>
                  <w:vAlign w:val="center"/>
                </w:tcPr>
                <w:p w14:paraId="668DF92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649" w:type="pct"/>
                  <w:shd w:val="clear" w:color="auto" w:fill="auto"/>
                  <w:noWrap w:val="0"/>
                  <w:vAlign w:val="center"/>
                </w:tcPr>
                <w:p w14:paraId="6BBC2B6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376" w:type="pct"/>
                  <w:shd w:val="clear" w:color="auto" w:fill="auto"/>
                  <w:noWrap w:val="0"/>
                  <w:vAlign w:val="center"/>
                </w:tcPr>
                <w:p w14:paraId="71FE245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0.0035</w:t>
                  </w:r>
                </w:p>
              </w:tc>
              <w:tc>
                <w:tcPr>
                  <w:tcW w:w="416" w:type="pct"/>
                  <w:noWrap w:val="0"/>
                  <w:vAlign w:val="center"/>
                </w:tcPr>
                <w:p w14:paraId="4555161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94" w:type="pct"/>
                  <w:shd w:val="clear" w:color="auto" w:fill="auto"/>
                  <w:noWrap w:val="0"/>
                  <w:vAlign w:val="center"/>
                </w:tcPr>
                <w:p w14:paraId="3D5F5A5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0.0035</w:t>
                  </w:r>
                </w:p>
              </w:tc>
              <w:tc>
                <w:tcPr>
                  <w:tcW w:w="573" w:type="pct"/>
                  <w:shd w:val="clear" w:color="auto" w:fill="auto"/>
                  <w:noWrap w:val="0"/>
                  <w:vAlign w:val="center"/>
                </w:tcPr>
                <w:p w14:paraId="2B80963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585" w:type="pct"/>
                  <w:shd w:val="clear" w:color="auto" w:fill="auto"/>
                  <w:noWrap w:val="0"/>
                  <w:vAlign w:val="center"/>
                </w:tcPr>
                <w:p w14:paraId="32AD4D3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0.0035</w:t>
                  </w:r>
                </w:p>
              </w:tc>
              <w:tc>
                <w:tcPr>
                  <w:tcW w:w="569" w:type="pct"/>
                  <w:shd w:val="clear" w:color="auto" w:fill="auto"/>
                  <w:noWrap w:val="0"/>
                  <w:vAlign w:val="center"/>
                </w:tcPr>
                <w:p w14:paraId="52DE282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0.0035</w:t>
                  </w:r>
                </w:p>
              </w:tc>
            </w:tr>
            <w:tr w14:paraId="40E1B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23CEB21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p>
              </w:tc>
              <w:tc>
                <w:tcPr>
                  <w:tcW w:w="441" w:type="pct"/>
                  <w:shd w:val="clear" w:color="auto" w:fill="auto"/>
                  <w:noWrap w:val="0"/>
                  <w:vAlign w:val="top"/>
                </w:tcPr>
                <w:p w14:paraId="1C654A53">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乙腈</w:t>
                  </w:r>
                </w:p>
              </w:tc>
              <w:tc>
                <w:tcPr>
                  <w:tcW w:w="624" w:type="pct"/>
                  <w:shd w:val="clear" w:color="auto" w:fill="auto"/>
                  <w:noWrap w:val="0"/>
                  <w:vAlign w:val="center"/>
                </w:tcPr>
                <w:p w14:paraId="3725109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649" w:type="pct"/>
                  <w:shd w:val="clear" w:color="auto" w:fill="auto"/>
                  <w:noWrap w:val="0"/>
                  <w:vAlign w:val="center"/>
                </w:tcPr>
                <w:p w14:paraId="27D4F26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376" w:type="pct"/>
                  <w:shd w:val="clear" w:color="auto" w:fill="auto"/>
                  <w:noWrap w:val="0"/>
                  <w:vAlign w:val="center"/>
                </w:tcPr>
                <w:p w14:paraId="10F254B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0.019</w:t>
                  </w:r>
                </w:p>
              </w:tc>
              <w:tc>
                <w:tcPr>
                  <w:tcW w:w="416" w:type="pct"/>
                  <w:noWrap w:val="0"/>
                  <w:vAlign w:val="center"/>
                </w:tcPr>
                <w:p w14:paraId="58B0B4C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94" w:type="pct"/>
                  <w:shd w:val="clear" w:color="auto" w:fill="auto"/>
                  <w:noWrap w:val="0"/>
                  <w:vAlign w:val="center"/>
                </w:tcPr>
                <w:p w14:paraId="0F25AF4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0.019</w:t>
                  </w:r>
                </w:p>
              </w:tc>
              <w:tc>
                <w:tcPr>
                  <w:tcW w:w="573" w:type="pct"/>
                  <w:shd w:val="clear" w:color="auto" w:fill="auto"/>
                  <w:noWrap w:val="0"/>
                  <w:vAlign w:val="center"/>
                </w:tcPr>
                <w:p w14:paraId="6A0B1AE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585" w:type="pct"/>
                  <w:shd w:val="clear" w:color="auto" w:fill="auto"/>
                  <w:noWrap w:val="0"/>
                  <w:vAlign w:val="center"/>
                </w:tcPr>
                <w:p w14:paraId="3E16146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0.019</w:t>
                  </w:r>
                </w:p>
              </w:tc>
              <w:tc>
                <w:tcPr>
                  <w:tcW w:w="569" w:type="pct"/>
                  <w:shd w:val="clear" w:color="auto" w:fill="auto"/>
                  <w:noWrap w:val="0"/>
                  <w:vAlign w:val="center"/>
                </w:tcPr>
                <w:p w14:paraId="772C967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0.019</w:t>
                  </w:r>
                </w:p>
              </w:tc>
            </w:tr>
            <w:tr w14:paraId="4D81D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286EB99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p>
              </w:tc>
              <w:tc>
                <w:tcPr>
                  <w:tcW w:w="441" w:type="pct"/>
                  <w:shd w:val="clear" w:color="auto" w:fill="auto"/>
                  <w:noWrap w:val="0"/>
                  <w:vAlign w:val="top"/>
                </w:tcPr>
                <w:p w14:paraId="08D9D486">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氨</w:t>
                  </w:r>
                </w:p>
              </w:tc>
              <w:tc>
                <w:tcPr>
                  <w:tcW w:w="624" w:type="pct"/>
                  <w:shd w:val="clear" w:color="auto" w:fill="auto"/>
                  <w:noWrap w:val="0"/>
                  <w:vAlign w:val="center"/>
                </w:tcPr>
                <w:p w14:paraId="3DBE057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0.0004</w:t>
                  </w:r>
                </w:p>
              </w:tc>
              <w:tc>
                <w:tcPr>
                  <w:tcW w:w="649" w:type="pct"/>
                  <w:shd w:val="clear" w:color="auto" w:fill="auto"/>
                  <w:noWrap w:val="0"/>
                  <w:vAlign w:val="center"/>
                </w:tcPr>
                <w:p w14:paraId="68E9B9B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0.002</w:t>
                  </w:r>
                </w:p>
              </w:tc>
              <w:tc>
                <w:tcPr>
                  <w:tcW w:w="376" w:type="pct"/>
                  <w:shd w:val="clear" w:color="auto" w:fill="auto"/>
                  <w:noWrap w:val="0"/>
                  <w:vAlign w:val="center"/>
                </w:tcPr>
                <w:p w14:paraId="02373C8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0.0014</w:t>
                  </w:r>
                </w:p>
              </w:tc>
              <w:tc>
                <w:tcPr>
                  <w:tcW w:w="416" w:type="pct"/>
                  <w:noWrap w:val="0"/>
                  <w:vAlign w:val="center"/>
                </w:tcPr>
                <w:p w14:paraId="1C239D5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94" w:type="pct"/>
                  <w:shd w:val="clear" w:color="auto" w:fill="auto"/>
                  <w:noWrap w:val="0"/>
                  <w:vAlign w:val="center"/>
                </w:tcPr>
                <w:p w14:paraId="7E99AE7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0.0014</w:t>
                  </w:r>
                </w:p>
              </w:tc>
              <w:tc>
                <w:tcPr>
                  <w:tcW w:w="573" w:type="pct"/>
                  <w:shd w:val="clear" w:color="auto" w:fill="auto"/>
                  <w:noWrap w:val="0"/>
                  <w:vAlign w:val="center"/>
                </w:tcPr>
                <w:p w14:paraId="14D0988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rPr>
                  </w:pPr>
                  <w:r>
                    <w:rPr>
                      <w:rFonts w:hint="eastAsia"/>
                      <w:color w:val="auto"/>
                      <w:lang w:val="en-US" w:eastAsia="zh-CN"/>
                    </w:rPr>
                    <w:t>-0.0059</w:t>
                  </w:r>
                </w:p>
              </w:tc>
              <w:tc>
                <w:tcPr>
                  <w:tcW w:w="585" w:type="pct"/>
                  <w:shd w:val="clear" w:color="auto" w:fill="auto"/>
                  <w:noWrap w:val="0"/>
                  <w:vAlign w:val="center"/>
                </w:tcPr>
                <w:p w14:paraId="6E54001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0.0073</w:t>
                  </w:r>
                </w:p>
              </w:tc>
              <w:tc>
                <w:tcPr>
                  <w:tcW w:w="569" w:type="pct"/>
                  <w:shd w:val="clear" w:color="auto" w:fill="auto"/>
                  <w:noWrap w:val="0"/>
                  <w:vAlign w:val="center"/>
                </w:tcPr>
                <w:p w14:paraId="2EDF20B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0.0097</w:t>
                  </w:r>
                </w:p>
              </w:tc>
            </w:tr>
            <w:tr w14:paraId="064C5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01F1728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p>
              </w:tc>
              <w:tc>
                <w:tcPr>
                  <w:tcW w:w="441" w:type="pct"/>
                  <w:shd w:val="clear" w:color="auto" w:fill="auto"/>
                  <w:noWrap w:val="0"/>
                  <w:vAlign w:val="top"/>
                </w:tcPr>
                <w:p w14:paraId="2E615B83">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乙酸</w:t>
                  </w:r>
                </w:p>
              </w:tc>
              <w:tc>
                <w:tcPr>
                  <w:tcW w:w="624" w:type="pct"/>
                  <w:shd w:val="clear" w:color="auto" w:fill="auto"/>
                  <w:noWrap w:val="0"/>
                  <w:vAlign w:val="center"/>
                </w:tcPr>
                <w:p w14:paraId="7394183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649" w:type="pct"/>
                  <w:shd w:val="clear" w:color="auto" w:fill="auto"/>
                  <w:noWrap w:val="0"/>
                  <w:vAlign w:val="center"/>
                </w:tcPr>
                <w:p w14:paraId="5C8A750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376" w:type="pct"/>
                  <w:shd w:val="clear" w:color="auto" w:fill="auto"/>
                  <w:noWrap w:val="0"/>
                  <w:vAlign w:val="center"/>
                </w:tcPr>
                <w:p w14:paraId="03CAFDE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0.001</w:t>
                  </w:r>
                </w:p>
              </w:tc>
              <w:tc>
                <w:tcPr>
                  <w:tcW w:w="416" w:type="pct"/>
                  <w:noWrap w:val="0"/>
                  <w:vAlign w:val="center"/>
                </w:tcPr>
                <w:p w14:paraId="72B5D01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94" w:type="pct"/>
                  <w:shd w:val="clear" w:color="auto" w:fill="auto"/>
                  <w:noWrap w:val="0"/>
                  <w:vAlign w:val="center"/>
                </w:tcPr>
                <w:p w14:paraId="73C17AA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0.001</w:t>
                  </w:r>
                </w:p>
              </w:tc>
              <w:tc>
                <w:tcPr>
                  <w:tcW w:w="573" w:type="pct"/>
                  <w:shd w:val="clear" w:color="auto" w:fill="auto"/>
                  <w:noWrap w:val="0"/>
                  <w:vAlign w:val="center"/>
                </w:tcPr>
                <w:p w14:paraId="64420CD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585" w:type="pct"/>
                  <w:shd w:val="clear" w:color="auto" w:fill="auto"/>
                  <w:noWrap w:val="0"/>
                  <w:vAlign w:val="center"/>
                </w:tcPr>
                <w:p w14:paraId="36604AB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0.001</w:t>
                  </w:r>
                </w:p>
              </w:tc>
              <w:tc>
                <w:tcPr>
                  <w:tcW w:w="569" w:type="pct"/>
                  <w:shd w:val="clear" w:color="auto" w:fill="auto"/>
                  <w:noWrap w:val="0"/>
                  <w:vAlign w:val="center"/>
                </w:tcPr>
                <w:p w14:paraId="42C0061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0.001</w:t>
                  </w:r>
                </w:p>
              </w:tc>
            </w:tr>
            <w:tr w14:paraId="521C6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776F1E0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p>
              </w:tc>
              <w:tc>
                <w:tcPr>
                  <w:tcW w:w="441" w:type="pct"/>
                  <w:shd w:val="clear" w:color="auto" w:fill="auto"/>
                  <w:noWrap w:val="0"/>
                  <w:vAlign w:val="top"/>
                </w:tcPr>
                <w:p w14:paraId="29492EF7">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甲酸</w:t>
                  </w:r>
                </w:p>
              </w:tc>
              <w:tc>
                <w:tcPr>
                  <w:tcW w:w="624" w:type="pct"/>
                  <w:shd w:val="clear" w:color="auto" w:fill="auto"/>
                  <w:noWrap w:val="0"/>
                  <w:vAlign w:val="center"/>
                </w:tcPr>
                <w:p w14:paraId="3981874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649" w:type="pct"/>
                  <w:shd w:val="clear" w:color="auto" w:fill="auto"/>
                  <w:noWrap w:val="0"/>
                  <w:vAlign w:val="center"/>
                </w:tcPr>
                <w:p w14:paraId="55F32A0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376" w:type="pct"/>
                  <w:shd w:val="clear" w:color="auto" w:fill="auto"/>
                  <w:noWrap w:val="0"/>
                  <w:vAlign w:val="center"/>
                </w:tcPr>
                <w:p w14:paraId="194263B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0.0004</w:t>
                  </w:r>
                </w:p>
              </w:tc>
              <w:tc>
                <w:tcPr>
                  <w:tcW w:w="416" w:type="pct"/>
                  <w:noWrap w:val="0"/>
                  <w:vAlign w:val="center"/>
                </w:tcPr>
                <w:p w14:paraId="10AA334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94" w:type="pct"/>
                  <w:shd w:val="clear" w:color="auto" w:fill="auto"/>
                  <w:noWrap w:val="0"/>
                  <w:vAlign w:val="center"/>
                </w:tcPr>
                <w:p w14:paraId="6B01E52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0.0004</w:t>
                  </w:r>
                </w:p>
              </w:tc>
              <w:tc>
                <w:tcPr>
                  <w:tcW w:w="573" w:type="pct"/>
                  <w:shd w:val="clear" w:color="auto" w:fill="auto"/>
                  <w:noWrap w:val="0"/>
                  <w:vAlign w:val="center"/>
                </w:tcPr>
                <w:p w14:paraId="5629C42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585" w:type="pct"/>
                  <w:shd w:val="clear" w:color="auto" w:fill="auto"/>
                  <w:noWrap w:val="0"/>
                  <w:vAlign w:val="center"/>
                </w:tcPr>
                <w:p w14:paraId="28FC7A3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0.0004</w:t>
                  </w:r>
                </w:p>
              </w:tc>
              <w:tc>
                <w:tcPr>
                  <w:tcW w:w="569" w:type="pct"/>
                  <w:shd w:val="clear" w:color="auto" w:fill="auto"/>
                  <w:noWrap w:val="0"/>
                  <w:vAlign w:val="center"/>
                </w:tcPr>
                <w:p w14:paraId="0E48B7A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0.0004</w:t>
                  </w:r>
                </w:p>
              </w:tc>
            </w:tr>
            <w:tr w14:paraId="4D4E4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47FD52C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p>
              </w:tc>
              <w:tc>
                <w:tcPr>
                  <w:tcW w:w="441" w:type="pct"/>
                  <w:shd w:val="clear" w:color="auto" w:fill="auto"/>
                  <w:noWrap w:val="0"/>
                  <w:vAlign w:val="top"/>
                </w:tcPr>
                <w:p w14:paraId="74CA3673">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硫化氢</w:t>
                  </w:r>
                </w:p>
              </w:tc>
              <w:tc>
                <w:tcPr>
                  <w:tcW w:w="624" w:type="pct"/>
                  <w:shd w:val="clear" w:color="auto" w:fill="auto"/>
                  <w:noWrap w:val="0"/>
                  <w:vAlign w:val="center"/>
                </w:tcPr>
                <w:p w14:paraId="7A9E831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649" w:type="pct"/>
                  <w:shd w:val="clear" w:color="auto" w:fill="auto"/>
                  <w:noWrap w:val="0"/>
                  <w:vAlign w:val="center"/>
                </w:tcPr>
                <w:p w14:paraId="12D2ABC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lang w:val="en-US" w:eastAsia="zh-CN"/>
                    </w:rPr>
                  </w:pPr>
                  <w:r>
                    <w:rPr>
                      <w:rFonts w:hint="eastAsia"/>
                      <w:color w:val="auto"/>
                      <w:lang w:val="en-US" w:eastAsia="zh-CN"/>
                    </w:rPr>
                    <w:t>0</w:t>
                  </w:r>
                </w:p>
              </w:tc>
              <w:tc>
                <w:tcPr>
                  <w:tcW w:w="376" w:type="pct"/>
                  <w:shd w:val="clear" w:color="auto" w:fill="auto"/>
                  <w:noWrap w:val="0"/>
                  <w:vAlign w:val="center"/>
                </w:tcPr>
                <w:p w14:paraId="2F2BCF0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0.00004</w:t>
                  </w:r>
                </w:p>
              </w:tc>
              <w:tc>
                <w:tcPr>
                  <w:tcW w:w="416" w:type="pct"/>
                  <w:noWrap w:val="0"/>
                  <w:vAlign w:val="center"/>
                </w:tcPr>
                <w:p w14:paraId="14B886A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94" w:type="pct"/>
                  <w:shd w:val="clear" w:color="auto" w:fill="auto"/>
                  <w:noWrap w:val="0"/>
                  <w:vAlign w:val="center"/>
                </w:tcPr>
                <w:p w14:paraId="0A1958D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0.00004</w:t>
                  </w:r>
                </w:p>
              </w:tc>
              <w:tc>
                <w:tcPr>
                  <w:tcW w:w="573" w:type="pct"/>
                  <w:shd w:val="clear" w:color="auto" w:fill="auto"/>
                  <w:noWrap w:val="0"/>
                  <w:vAlign w:val="center"/>
                </w:tcPr>
                <w:p w14:paraId="08EA1AF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rPr>
                  </w:pPr>
                  <w:r>
                    <w:rPr>
                      <w:rFonts w:hint="eastAsia"/>
                      <w:color w:val="auto"/>
                      <w:highlight w:val="none"/>
                      <w:lang w:val="en-US" w:eastAsia="zh-CN"/>
                    </w:rPr>
                    <w:t>-0.00024</w:t>
                  </w:r>
                </w:p>
              </w:tc>
              <w:tc>
                <w:tcPr>
                  <w:tcW w:w="585" w:type="pct"/>
                  <w:shd w:val="clear" w:color="auto" w:fill="auto"/>
                  <w:noWrap w:val="0"/>
                  <w:vAlign w:val="center"/>
                </w:tcPr>
                <w:p w14:paraId="43CC4B9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0.00028</w:t>
                  </w:r>
                </w:p>
              </w:tc>
              <w:tc>
                <w:tcPr>
                  <w:tcW w:w="569" w:type="pct"/>
                  <w:shd w:val="clear" w:color="auto" w:fill="auto"/>
                  <w:noWrap w:val="0"/>
                  <w:vAlign w:val="center"/>
                </w:tcPr>
                <w:p w14:paraId="3FCFB7F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lang w:val="en-US" w:eastAsia="zh-CN"/>
                    </w:rPr>
                  </w:pPr>
                  <w:r>
                    <w:rPr>
                      <w:rFonts w:hint="eastAsia"/>
                      <w:color w:val="auto"/>
                    </w:rPr>
                    <w:t>0.00028</w:t>
                  </w:r>
                </w:p>
              </w:tc>
            </w:tr>
            <w:tr w14:paraId="0EEA3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restart"/>
                  <w:noWrap w:val="0"/>
                  <w:vAlign w:val="center"/>
                </w:tcPr>
                <w:p w14:paraId="7F65EAC3">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固废</w:t>
                  </w:r>
                </w:p>
              </w:tc>
              <w:tc>
                <w:tcPr>
                  <w:tcW w:w="441" w:type="pct"/>
                  <w:noWrap w:val="0"/>
                  <w:vAlign w:val="center"/>
                </w:tcPr>
                <w:p w14:paraId="2F7FD51E">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一般固废</w:t>
                  </w:r>
                </w:p>
              </w:tc>
              <w:tc>
                <w:tcPr>
                  <w:tcW w:w="624" w:type="pct"/>
                  <w:noWrap w:val="0"/>
                  <w:vAlign w:val="center"/>
                </w:tcPr>
                <w:p w14:paraId="3828516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0.72</w:t>
                  </w:r>
                </w:p>
              </w:tc>
              <w:tc>
                <w:tcPr>
                  <w:tcW w:w="649" w:type="pct"/>
                  <w:noWrap w:val="0"/>
                  <w:vAlign w:val="center"/>
                </w:tcPr>
                <w:p w14:paraId="30AC5F1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376" w:type="pct"/>
                  <w:noWrap w:val="0"/>
                  <w:vAlign w:val="center"/>
                </w:tcPr>
                <w:p w14:paraId="6C45BA8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5.1</w:t>
                  </w:r>
                </w:p>
              </w:tc>
              <w:tc>
                <w:tcPr>
                  <w:tcW w:w="416" w:type="pct"/>
                  <w:noWrap w:val="0"/>
                  <w:vAlign w:val="center"/>
                </w:tcPr>
                <w:p w14:paraId="411DCA1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94" w:type="pct"/>
                  <w:shd w:val="clear" w:color="auto" w:fill="auto"/>
                  <w:noWrap w:val="0"/>
                  <w:vAlign w:val="center"/>
                </w:tcPr>
                <w:p w14:paraId="1E2C3C3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5.1</w:t>
                  </w:r>
                </w:p>
              </w:tc>
              <w:tc>
                <w:tcPr>
                  <w:tcW w:w="573" w:type="pct"/>
                  <w:noWrap w:val="0"/>
                  <w:vAlign w:val="center"/>
                </w:tcPr>
                <w:p w14:paraId="54DF8C3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color w:val="auto"/>
                      <w:highlight w:val="none"/>
                      <w:lang w:val="en-US" w:eastAsia="zh-CN"/>
                    </w:rPr>
                  </w:pPr>
                  <w:r>
                    <w:rPr>
                      <w:color w:val="auto"/>
                      <w:highlight w:val="none"/>
                    </w:rPr>
                    <w:t>0</w:t>
                  </w:r>
                  <w:r>
                    <w:rPr>
                      <w:rFonts w:hint="eastAsia"/>
                      <w:color w:val="auto"/>
                      <w:highlight w:val="none"/>
                      <w:lang w:val="en-US" w:eastAsia="zh-CN"/>
                    </w:rPr>
                    <w:t>.62</w:t>
                  </w:r>
                </w:p>
              </w:tc>
              <w:tc>
                <w:tcPr>
                  <w:tcW w:w="585" w:type="pct"/>
                  <w:shd w:val="clear" w:color="auto" w:fill="auto"/>
                  <w:noWrap w:val="0"/>
                  <w:vAlign w:val="center"/>
                </w:tcPr>
                <w:p w14:paraId="006D513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4.48</w:t>
                  </w:r>
                </w:p>
              </w:tc>
              <w:tc>
                <w:tcPr>
                  <w:tcW w:w="569" w:type="pct"/>
                  <w:shd w:val="clear" w:color="auto" w:fill="auto"/>
                  <w:noWrap w:val="0"/>
                  <w:vAlign w:val="center"/>
                </w:tcPr>
                <w:p w14:paraId="7B6C0AD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5.2</w:t>
                  </w:r>
                </w:p>
              </w:tc>
            </w:tr>
            <w:tr w14:paraId="129C5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9" w:type="pct"/>
                  <w:vMerge w:val="continue"/>
                  <w:noWrap w:val="0"/>
                  <w:vAlign w:val="center"/>
                </w:tcPr>
                <w:p w14:paraId="5F3653F1">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1" w:type="pct"/>
                  <w:noWrap w:val="0"/>
                  <w:vAlign w:val="center"/>
                </w:tcPr>
                <w:p w14:paraId="09EF0D6F">
                  <w:pPr>
                    <w:pStyle w:val="41"/>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危险废物</w:t>
                  </w:r>
                </w:p>
              </w:tc>
              <w:tc>
                <w:tcPr>
                  <w:tcW w:w="624" w:type="pct"/>
                  <w:noWrap w:val="0"/>
                  <w:vAlign w:val="center"/>
                </w:tcPr>
                <w:p w14:paraId="6033282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62.99</w:t>
                  </w:r>
                </w:p>
              </w:tc>
              <w:tc>
                <w:tcPr>
                  <w:tcW w:w="649" w:type="pct"/>
                  <w:noWrap w:val="0"/>
                  <w:vAlign w:val="center"/>
                </w:tcPr>
                <w:p w14:paraId="4404001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11.37</w:t>
                  </w:r>
                </w:p>
              </w:tc>
              <w:tc>
                <w:tcPr>
                  <w:tcW w:w="376" w:type="pct"/>
                  <w:noWrap w:val="0"/>
                  <w:vAlign w:val="center"/>
                </w:tcPr>
                <w:p w14:paraId="79117D5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138.124</w:t>
                  </w:r>
                </w:p>
              </w:tc>
              <w:tc>
                <w:tcPr>
                  <w:tcW w:w="416" w:type="pct"/>
                  <w:noWrap w:val="0"/>
                  <w:vAlign w:val="center"/>
                </w:tcPr>
                <w:p w14:paraId="11B7FAA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w:t>
                  </w:r>
                </w:p>
              </w:tc>
              <w:tc>
                <w:tcPr>
                  <w:tcW w:w="594" w:type="pct"/>
                  <w:shd w:val="clear" w:color="auto" w:fill="auto"/>
                  <w:noWrap w:val="0"/>
                  <w:vAlign w:val="center"/>
                </w:tcPr>
                <w:p w14:paraId="56044A9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138.124</w:t>
                  </w:r>
                </w:p>
              </w:tc>
              <w:tc>
                <w:tcPr>
                  <w:tcW w:w="573" w:type="pct"/>
                  <w:noWrap w:val="0"/>
                  <w:vAlign w:val="center"/>
                </w:tcPr>
                <w:p w14:paraId="4555B40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color w:val="auto"/>
                      <w:highlight w:val="none"/>
                      <w:lang w:val="en-US" w:eastAsia="zh-CN"/>
                    </w:rPr>
                  </w:pPr>
                  <w:r>
                    <w:rPr>
                      <w:rFonts w:hint="eastAsia"/>
                      <w:color w:val="auto"/>
                      <w:highlight w:val="none"/>
                      <w:lang w:val="en-US" w:eastAsia="zh-CN"/>
                    </w:rPr>
                    <w:t>32.94</w:t>
                  </w:r>
                </w:p>
              </w:tc>
              <w:tc>
                <w:tcPr>
                  <w:tcW w:w="585" w:type="pct"/>
                  <w:shd w:val="clear" w:color="auto" w:fill="auto"/>
                  <w:noWrap w:val="0"/>
                  <w:vAlign w:val="center"/>
                </w:tcPr>
                <w:p w14:paraId="5676120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105.184</w:t>
                  </w:r>
                </w:p>
              </w:tc>
              <w:tc>
                <w:tcPr>
                  <w:tcW w:w="569" w:type="pct"/>
                  <w:shd w:val="clear" w:color="auto" w:fill="auto"/>
                  <w:noWrap w:val="0"/>
                  <w:vAlign w:val="center"/>
                </w:tcPr>
                <w:p w14:paraId="1B67D7B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lang w:val="en-US" w:eastAsia="zh-CN"/>
                    </w:rPr>
                  </w:pPr>
                  <w:r>
                    <w:rPr>
                      <w:rFonts w:hint="eastAsia"/>
                      <w:color w:val="auto"/>
                    </w:rPr>
                    <w:t>179.544</w:t>
                  </w:r>
                </w:p>
              </w:tc>
            </w:tr>
          </w:tbl>
          <w:p w14:paraId="73B7BE55">
            <w:pPr>
              <w:pStyle w:val="12"/>
              <w:spacing w:before="0" w:after="0" w:line="240" w:lineRule="auto"/>
              <w:ind w:left="0" w:leftChars="0" w:right="0" w:firstLine="0" w:firstLineChars="0"/>
              <w:rPr>
                <w:rFonts w:hint="eastAsia"/>
                <w:b/>
                <w:bCs/>
                <w:color w:val="auto"/>
                <w:sz w:val="21"/>
                <w:szCs w:val="21"/>
                <w:highlight w:val="none"/>
                <w:lang w:val="en-US" w:eastAsia="zh-CN"/>
              </w:rPr>
            </w:pPr>
            <w:r>
              <w:rPr>
                <w:rFonts w:hint="eastAsia"/>
                <w:b/>
                <w:bCs/>
                <w:color w:val="auto"/>
                <w:sz w:val="21"/>
                <w:szCs w:val="21"/>
                <w:highlight w:val="none"/>
                <w:lang w:val="en-US" w:eastAsia="zh-CN"/>
              </w:rPr>
              <w:t>注：废水污染物排放量，括号外为接管量，括号内为外排量。</w:t>
            </w:r>
          </w:p>
          <w:p w14:paraId="336BFA03">
            <w:pPr>
              <w:pStyle w:val="41"/>
              <w:bidi w:val="0"/>
              <w:jc w:val="left"/>
            </w:pPr>
            <w:r>
              <w:rPr>
                <w:rFonts w:hint="eastAsia"/>
                <w:b/>
                <w:bCs/>
                <w:color w:val="auto"/>
                <w:sz w:val="21"/>
                <w:szCs w:val="21"/>
                <w:highlight w:val="none"/>
                <w:lang w:val="en-US" w:eastAsia="zh-CN"/>
              </w:rPr>
              <w:t>⑧=①+②+⑤-⑥；⑦=⑧-①-②。全厂排放量计算时保留4位小数</w:t>
            </w:r>
          </w:p>
          <w:p w14:paraId="02B9B9C2">
            <w:pPr>
              <w:pStyle w:val="41"/>
              <w:bidi w:val="0"/>
            </w:pPr>
          </w:p>
        </w:tc>
      </w:tr>
    </w:tbl>
    <w:p w14:paraId="3116E07F">
      <w:pPr>
        <w:bidi w:val="0"/>
      </w:pPr>
    </w:p>
    <w:p w14:paraId="049BBFEF">
      <w:pPr>
        <w:bidi w:val="0"/>
        <w:sectPr>
          <w:pgSz w:w="16840" w:h="11907" w:orient="landscape"/>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46703D1B">
      <w:pPr>
        <w:pStyle w:val="27"/>
        <w:keepNext w:val="0"/>
        <w:keepLines w:val="0"/>
        <w:pageBreakBefore/>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四、主要环境影响和保护措施</w:t>
      </w:r>
    </w:p>
    <w:tbl>
      <w:tblPr>
        <w:tblStyle w:val="3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8430"/>
      </w:tblGrid>
      <w:tr w14:paraId="17C50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dxa"/>
            <w:tcMar>
              <w:left w:w="28" w:type="dxa"/>
              <w:right w:w="28" w:type="dxa"/>
            </w:tcMar>
            <w:vAlign w:val="center"/>
          </w:tcPr>
          <w:p w14:paraId="5257A153">
            <w:pPr>
              <w:pStyle w:val="27"/>
              <w:adjustRightInd w:val="0"/>
              <w:snapToGrid w:val="0"/>
              <w:spacing w:before="0" w:beforeAutospacing="0" w:after="0" w:afterAutospacing="0" w:line="240" w:lineRule="auto"/>
              <w:jc w:val="center"/>
              <w:rPr>
                <w:rFonts w:ascii="Times New Roman" w:hAnsi="Times New Roman"/>
                <w:bCs/>
                <w:color w:val="auto"/>
                <w:kern w:val="2"/>
                <w:sz w:val="21"/>
                <w:szCs w:val="21"/>
                <w:highlight w:val="none"/>
              </w:rPr>
            </w:pPr>
            <w:r>
              <w:rPr>
                <w:rFonts w:ascii="Times New Roman" w:hAnsi="Times New Roman"/>
                <w:b/>
                <w:bCs/>
                <w:color w:val="auto"/>
                <w:kern w:val="2"/>
                <w:szCs w:val="24"/>
                <w:highlight w:val="none"/>
              </w:rPr>
              <w:t>施工期环境保护措施</w:t>
            </w:r>
          </w:p>
        </w:tc>
        <w:tc>
          <w:tcPr>
            <w:tcW w:w="8430" w:type="dxa"/>
            <w:vAlign w:val="center"/>
          </w:tcPr>
          <w:p w14:paraId="35D53C03">
            <w:pPr>
              <w:bidi w:val="0"/>
              <w:ind w:firstLine="480" w:firstLineChars="200"/>
              <w:rPr>
                <w:color w:val="auto"/>
                <w:highlight w:val="none"/>
              </w:rPr>
            </w:pPr>
            <w:r>
              <w:rPr>
                <w:rFonts w:hint="eastAsia"/>
                <w:b w:val="0"/>
                <w:bCs/>
                <w:color w:val="auto"/>
                <w:sz w:val="24"/>
                <w:highlight w:val="none"/>
                <w:lang w:val="en-US" w:eastAsia="zh-CN"/>
              </w:rPr>
              <w:t>本项目拟使用的1号楼处于建设中，其</w:t>
            </w:r>
            <w:r>
              <w:rPr>
                <w:rFonts w:hint="eastAsia" w:ascii="Times New Roman" w:hAnsi="Times New Roman" w:eastAsia="宋体"/>
                <w:color w:val="auto"/>
                <w:highlight w:val="none"/>
                <w:lang w:val="en-US" w:eastAsia="zh-CN"/>
              </w:rPr>
              <w:t>施工期</w:t>
            </w:r>
            <w:r>
              <w:rPr>
                <w:rFonts w:hint="eastAsia"/>
                <w:b w:val="0"/>
                <w:bCs/>
                <w:color w:val="auto"/>
                <w:sz w:val="24"/>
                <w:highlight w:val="none"/>
                <w:lang w:val="en-US" w:eastAsia="zh-CN"/>
              </w:rPr>
              <w:t>环境影响已在</w:t>
            </w:r>
            <w:r>
              <w:rPr>
                <w:rFonts w:hint="eastAsia" w:ascii="Times New Roman" w:hAnsi="Times New Roman" w:eastAsia="宋体"/>
                <w:color w:val="auto"/>
                <w:highlight w:val="none"/>
                <w:lang w:val="en-US" w:eastAsia="zh-CN"/>
              </w:rPr>
              <w:t>《康缘医药科技园厂房建设项目环境影响报告表》中评价。</w:t>
            </w:r>
            <w:r>
              <w:rPr>
                <w:rFonts w:hint="eastAsia"/>
                <w:b w:val="0"/>
                <w:bCs/>
                <w:color w:val="auto"/>
                <w:sz w:val="24"/>
                <w:highlight w:val="none"/>
                <w:lang w:val="en-US" w:eastAsia="zh-CN"/>
              </w:rPr>
              <w:t>本项目拟利用建成后的1号楼进行改造</w:t>
            </w:r>
            <w:r>
              <w:rPr>
                <w:rFonts w:hint="eastAsia"/>
                <w:b w:val="0"/>
                <w:bCs/>
                <w:color w:val="auto"/>
                <w:sz w:val="24"/>
                <w:highlight w:val="none"/>
              </w:rPr>
              <w:t>，施工期仅涉及厂房改造、新设备的安装调试，施工简单，且时间短，施工期环境影响较小，因此本次评价不对施工期污染源强做进一步分析。</w:t>
            </w:r>
          </w:p>
        </w:tc>
      </w:tr>
      <w:tr w14:paraId="08398E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dxa"/>
            <w:tcMar>
              <w:left w:w="28" w:type="dxa"/>
              <w:right w:w="28" w:type="dxa"/>
            </w:tcMar>
            <w:vAlign w:val="center"/>
          </w:tcPr>
          <w:p w14:paraId="06B1F870">
            <w:pPr>
              <w:adjustRightInd w:val="0"/>
              <w:snapToGrid w:val="0"/>
              <w:spacing w:line="240" w:lineRule="auto"/>
              <w:jc w:val="center"/>
              <w:rPr>
                <w:bCs/>
                <w:color w:val="auto"/>
                <w:szCs w:val="21"/>
                <w:highlight w:val="none"/>
              </w:rPr>
            </w:pPr>
            <w:r>
              <w:rPr>
                <w:b/>
                <w:color w:val="auto"/>
                <w:sz w:val="24"/>
                <w:highlight w:val="none"/>
              </w:rPr>
              <w:t>运营期环境影响和保护措施</w:t>
            </w:r>
          </w:p>
        </w:tc>
        <w:tc>
          <w:tcPr>
            <w:tcW w:w="8430" w:type="dxa"/>
            <w:vAlign w:val="center"/>
          </w:tcPr>
          <w:p w14:paraId="429536BC">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rPr>
            </w:pPr>
            <w:r>
              <w:rPr>
                <w:rFonts w:hint="eastAsia"/>
                <w:b/>
                <w:bCs/>
                <w:color w:val="auto"/>
                <w:highlight w:val="none"/>
                <w:lang w:val="en-US" w:eastAsia="zh-CN"/>
              </w:rPr>
              <w:t>1</w:t>
            </w:r>
            <w:r>
              <w:rPr>
                <w:b/>
                <w:bCs/>
                <w:color w:val="auto"/>
                <w:highlight w:val="none"/>
              </w:rPr>
              <w:t>、废气</w:t>
            </w:r>
          </w:p>
          <w:p w14:paraId="5D168CFD">
            <w:pPr>
              <w:spacing w:line="460" w:lineRule="exact"/>
              <w:ind w:firstLine="480" w:firstLineChars="200"/>
              <w:contextualSpacing/>
              <w:jc w:val="left"/>
              <w:rPr>
                <w:rFonts w:hint="default"/>
                <w:bCs/>
                <w:color w:val="auto"/>
                <w:sz w:val="24"/>
                <w:highlight w:val="none"/>
                <w:lang w:val="en-US" w:eastAsia="zh-CN"/>
              </w:rPr>
            </w:pPr>
            <w:r>
              <w:rPr>
                <w:rFonts w:hint="eastAsia"/>
                <w:bCs/>
                <w:color w:val="auto"/>
                <w:sz w:val="24"/>
                <w:highlight w:val="none"/>
                <w:lang w:val="en-US" w:eastAsia="zh-CN"/>
              </w:rPr>
              <w:t>本项目废气污染源强及污染防治措施、运营期大气环境影响预测与评价等内容见大气环境影响专项评价。经分析预测，本项目大气环境影响评价结论如下：</w:t>
            </w:r>
          </w:p>
          <w:p w14:paraId="5B34AE92">
            <w:pPr>
              <w:spacing w:line="460" w:lineRule="exact"/>
              <w:ind w:firstLine="480" w:firstLineChars="200"/>
              <w:contextualSpacing/>
              <w:jc w:val="left"/>
              <w:rPr>
                <w:rFonts w:hint="default"/>
                <w:bCs/>
                <w:color w:val="auto"/>
                <w:sz w:val="24"/>
                <w:highlight w:val="none"/>
                <w:lang w:eastAsia="zh-TW"/>
              </w:rPr>
            </w:pPr>
            <w:r>
              <w:rPr>
                <w:rFonts w:hint="eastAsia"/>
                <w:bCs/>
                <w:color w:val="auto"/>
                <w:sz w:val="24"/>
                <w:highlight w:val="none"/>
                <w:lang w:eastAsia="zh-CN"/>
              </w:rPr>
              <w:t>（</w:t>
            </w:r>
            <w:r>
              <w:rPr>
                <w:rFonts w:hint="eastAsia"/>
                <w:bCs/>
                <w:color w:val="auto"/>
                <w:sz w:val="24"/>
                <w:highlight w:val="none"/>
                <w:lang w:val="en-US" w:eastAsia="zh-CN"/>
              </w:rPr>
              <w:t>1</w:t>
            </w:r>
            <w:r>
              <w:rPr>
                <w:rFonts w:hint="eastAsia"/>
                <w:bCs/>
                <w:color w:val="auto"/>
                <w:sz w:val="24"/>
                <w:highlight w:val="none"/>
                <w:lang w:eastAsia="zh-CN"/>
              </w:rPr>
              <w:t>）</w:t>
            </w:r>
            <w:r>
              <w:rPr>
                <w:rFonts w:hint="default"/>
                <w:bCs/>
                <w:color w:val="auto"/>
                <w:sz w:val="24"/>
                <w:highlight w:val="none"/>
                <w:lang w:eastAsia="zh-TW"/>
              </w:rPr>
              <w:t>大气环境影响评价结论</w:t>
            </w:r>
          </w:p>
          <w:p w14:paraId="4C4DA0E0">
            <w:pPr>
              <w:spacing w:line="460" w:lineRule="exact"/>
              <w:ind w:firstLine="480" w:firstLineChars="200"/>
              <w:contextualSpacing/>
              <w:jc w:val="left"/>
              <w:rPr>
                <w:rFonts w:hint="default"/>
                <w:bCs/>
                <w:color w:val="auto"/>
                <w:sz w:val="24"/>
                <w:highlight w:val="none"/>
                <w:lang w:eastAsia="zh-TW"/>
              </w:rPr>
            </w:pPr>
            <w:r>
              <w:rPr>
                <w:rFonts w:hint="eastAsia"/>
                <w:bCs/>
                <w:color w:val="auto"/>
                <w:sz w:val="24"/>
                <w:highlight w:val="none"/>
                <w:lang w:val="en-US" w:eastAsia="zh-CN"/>
              </w:rPr>
              <w:t>①</w:t>
            </w:r>
            <w:r>
              <w:rPr>
                <w:rFonts w:hint="default"/>
                <w:bCs/>
                <w:color w:val="auto"/>
                <w:sz w:val="24"/>
                <w:highlight w:val="none"/>
                <w:lang w:eastAsia="zh-TW"/>
              </w:rPr>
              <w:t>本项目所在区域为不达标区</w:t>
            </w:r>
            <w:r>
              <w:rPr>
                <w:rFonts w:hint="default"/>
                <w:bCs/>
                <w:color w:val="auto"/>
                <w:sz w:val="24"/>
                <w:highlight w:val="none"/>
              </w:rPr>
              <w:t>，但本项目不排放不达标因子</w:t>
            </w:r>
            <w:r>
              <w:rPr>
                <w:rFonts w:hint="default"/>
                <w:bCs/>
                <w:color w:val="auto"/>
                <w:sz w:val="24"/>
                <w:highlight w:val="none"/>
                <w:lang w:val="en-US" w:eastAsia="zh-CN"/>
              </w:rPr>
              <w:t>O</w:t>
            </w:r>
            <w:r>
              <w:rPr>
                <w:rFonts w:hint="default"/>
                <w:bCs/>
                <w:color w:val="auto"/>
                <w:sz w:val="24"/>
                <w:highlight w:val="none"/>
                <w:vertAlign w:val="subscript"/>
                <w:lang w:val="en-US" w:eastAsia="zh-CN"/>
              </w:rPr>
              <w:t>3</w:t>
            </w:r>
            <w:r>
              <w:rPr>
                <w:rFonts w:hint="default"/>
                <w:bCs/>
                <w:color w:val="auto"/>
                <w:sz w:val="24"/>
                <w:highlight w:val="none"/>
                <w:lang w:eastAsia="zh-TW"/>
              </w:rPr>
              <w:t>。</w:t>
            </w:r>
          </w:p>
          <w:p w14:paraId="42D418EB">
            <w:pPr>
              <w:spacing w:line="460" w:lineRule="exact"/>
              <w:ind w:firstLine="480" w:firstLineChars="200"/>
              <w:contextualSpacing/>
              <w:jc w:val="left"/>
              <w:rPr>
                <w:rFonts w:hint="default"/>
                <w:bCs/>
                <w:color w:val="auto"/>
                <w:sz w:val="24"/>
                <w:highlight w:val="none"/>
                <w:lang w:eastAsia="zh-TW"/>
              </w:rPr>
            </w:pPr>
            <w:r>
              <w:rPr>
                <w:rFonts w:hint="eastAsia"/>
                <w:bCs/>
                <w:color w:val="auto"/>
                <w:sz w:val="24"/>
                <w:highlight w:val="none"/>
                <w:lang w:val="en-US" w:eastAsia="zh-CN"/>
              </w:rPr>
              <w:t>②</w:t>
            </w:r>
            <w:r>
              <w:rPr>
                <w:rFonts w:hint="default"/>
                <w:bCs/>
                <w:color w:val="auto"/>
                <w:sz w:val="24"/>
                <w:highlight w:val="none"/>
                <w:lang w:eastAsia="zh-TW"/>
              </w:rPr>
              <w:t>根据</w:t>
            </w:r>
            <w:r>
              <w:rPr>
                <w:rFonts w:hint="eastAsia"/>
                <w:bCs/>
                <w:color w:val="auto"/>
                <w:sz w:val="24"/>
                <w:highlight w:val="none"/>
                <w:lang w:val="en-US" w:eastAsia="zh-CN"/>
              </w:rPr>
              <w:t>大气专项评价</w:t>
            </w:r>
            <w:r>
              <w:rPr>
                <w:rFonts w:hint="default"/>
                <w:bCs/>
                <w:color w:val="auto"/>
                <w:sz w:val="24"/>
                <w:highlight w:val="none"/>
                <w:lang w:eastAsia="zh-TW"/>
              </w:rPr>
              <w:t>，本项目正常运行时，</w:t>
            </w:r>
            <w:r>
              <w:rPr>
                <w:rFonts w:hint="eastAsia"/>
                <w:bCs/>
                <w:color w:val="auto"/>
                <w:sz w:val="24"/>
                <w:highlight w:val="none"/>
                <w:lang w:val="en-US" w:eastAsia="zh-CN"/>
              </w:rPr>
              <w:t>废气</w:t>
            </w:r>
            <w:r>
              <w:rPr>
                <w:rFonts w:hint="default"/>
                <w:bCs/>
                <w:color w:val="auto"/>
                <w:sz w:val="24"/>
                <w:highlight w:val="none"/>
                <w:lang w:eastAsia="zh-TW"/>
              </w:rPr>
              <w:t>污染物（</w:t>
            </w:r>
            <w:r>
              <w:rPr>
                <w:rFonts w:hint="default"/>
                <w:bCs/>
                <w:color w:val="auto"/>
                <w:sz w:val="24"/>
                <w:highlight w:val="none"/>
                <w:lang w:val="en-US" w:eastAsia="zh-CN"/>
              </w:rPr>
              <w:t>NMHC</w:t>
            </w:r>
            <w:r>
              <w:rPr>
                <w:rFonts w:hint="eastAsia"/>
                <w:bCs/>
                <w:color w:val="auto"/>
                <w:sz w:val="24"/>
                <w:highlight w:val="none"/>
                <w:lang w:val="en-US" w:eastAsia="zh-CN"/>
              </w:rPr>
              <w:t>、</w:t>
            </w:r>
            <w:r>
              <w:rPr>
                <w:rFonts w:hint="default"/>
                <w:bCs/>
                <w:color w:val="auto"/>
                <w:sz w:val="24"/>
                <w:highlight w:val="none"/>
                <w:lang w:val="en-US" w:eastAsia="zh-CN"/>
              </w:rPr>
              <w:t>甲醇</w:t>
            </w:r>
            <w:r>
              <w:rPr>
                <w:rFonts w:hint="eastAsia"/>
                <w:bCs/>
                <w:color w:val="auto"/>
                <w:sz w:val="24"/>
                <w:highlight w:val="none"/>
                <w:lang w:val="en-US" w:eastAsia="zh-CN"/>
              </w:rPr>
              <w:t>、</w:t>
            </w:r>
            <w:r>
              <w:rPr>
                <w:rFonts w:hint="default"/>
                <w:bCs/>
                <w:color w:val="auto"/>
                <w:sz w:val="24"/>
                <w:highlight w:val="none"/>
                <w:lang w:val="en-US" w:eastAsia="zh-CN"/>
              </w:rPr>
              <w:t>二氯甲烷</w:t>
            </w:r>
            <w:r>
              <w:rPr>
                <w:rFonts w:hint="eastAsia"/>
                <w:bCs/>
                <w:color w:val="auto"/>
                <w:sz w:val="24"/>
                <w:highlight w:val="none"/>
                <w:lang w:val="en-US" w:eastAsia="zh-CN"/>
              </w:rPr>
              <w:t>、</w:t>
            </w:r>
            <w:r>
              <w:rPr>
                <w:rFonts w:hint="default"/>
                <w:bCs/>
                <w:color w:val="auto"/>
                <w:sz w:val="24"/>
                <w:highlight w:val="none"/>
                <w:lang w:val="en-US" w:eastAsia="zh-CN"/>
              </w:rPr>
              <w:t>乙腈</w:t>
            </w:r>
            <w:r>
              <w:rPr>
                <w:rFonts w:hint="eastAsia"/>
                <w:bCs/>
                <w:color w:val="auto"/>
                <w:sz w:val="24"/>
                <w:highlight w:val="none"/>
                <w:lang w:val="en-US" w:eastAsia="zh-CN"/>
              </w:rPr>
              <w:t>、</w:t>
            </w:r>
            <w:r>
              <w:rPr>
                <w:rFonts w:hint="default"/>
                <w:bCs/>
                <w:color w:val="auto"/>
                <w:sz w:val="24"/>
                <w:highlight w:val="none"/>
                <w:lang w:val="en-US" w:eastAsia="zh-CN"/>
              </w:rPr>
              <w:t>NH</w:t>
            </w:r>
            <w:r>
              <w:rPr>
                <w:rFonts w:hint="default"/>
                <w:bCs/>
                <w:color w:val="auto"/>
                <w:sz w:val="24"/>
                <w:highlight w:val="none"/>
                <w:vertAlign w:val="subscript"/>
                <w:lang w:val="en-US" w:eastAsia="zh-CN"/>
              </w:rPr>
              <w:t>3</w:t>
            </w:r>
            <w:r>
              <w:rPr>
                <w:rFonts w:hint="eastAsia"/>
                <w:bCs/>
                <w:color w:val="auto"/>
                <w:sz w:val="24"/>
                <w:highlight w:val="none"/>
                <w:lang w:val="en-US" w:eastAsia="zh-CN"/>
              </w:rPr>
              <w:t>、</w:t>
            </w:r>
            <w:r>
              <w:rPr>
                <w:rFonts w:hint="default"/>
                <w:bCs/>
                <w:color w:val="auto"/>
                <w:sz w:val="24"/>
                <w:highlight w:val="none"/>
                <w:lang w:val="en-US" w:eastAsia="zh-CN"/>
              </w:rPr>
              <w:t>甲酸</w:t>
            </w:r>
            <w:r>
              <w:rPr>
                <w:rFonts w:hint="eastAsia"/>
                <w:bCs/>
                <w:color w:val="auto"/>
                <w:sz w:val="24"/>
                <w:highlight w:val="none"/>
                <w:lang w:val="en-US" w:eastAsia="zh-CN"/>
              </w:rPr>
              <w:t>、</w:t>
            </w:r>
            <w:r>
              <w:rPr>
                <w:rFonts w:hint="default"/>
                <w:bCs/>
                <w:color w:val="auto"/>
                <w:sz w:val="24"/>
                <w:highlight w:val="none"/>
                <w:lang w:val="en-US" w:eastAsia="zh-CN"/>
              </w:rPr>
              <w:t>H</w:t>
            </w:r>
            <w:r>
              <w:rPr>
                <w:rFonts w:hint="default"/>
                <w:bCs/>
                <w:color w:val="auto"/>
                <w:sz w:val="24"/>
                <w:highlight w:val="none"/>
                <w:vertAlign w:val="subscript"/>
                <w:lang w:val="en-US" w:eastAsia="zh-CN"/>
              </w:rPr>
              <w:t>2</w:t>
            </w:r>
            <w:r>
              <w:rPr>
                <w:rFonts w:hint="default"/>
                <w:bCs/>
                <w:color w:val="auto"/>
                <w:sz w:val="24"/>
                <w:highlight w:val="none"/>
                <w:lang w:val="en-US" w:eastAsia="zh-CN"/>
              </w:rPr>
              <w:t>S</w:t>
            </w:r>
            <w:r>
              <w:rPr>
                <w:rFonts w:hint="eastAsia"/>
                <w:bCs/>
                <w:color w:val="auto"/>
                <w:sz w:val="24"/>
                <w:highlight w:val="none"/>
                <w:lang w:val="en-US" w:eastAsia="zh-CN"/>
              </w:rPr>
              <w:t>、</w:t>
            </w:r>
            <w:r>
              <w:rPr>
                <w:rFonts w:hint="default"/>
                <w:bCs/>
                <w:color w:val="auto"/>
                <w:sz w:val="24"/>
                <w:highlight w:val="none"/>
                <w:lang w:val="en-US" w:eastAsia="zh-CN"/>
              </w:rPr>
              <w:t>乙酸乙酯</w:t>
            </w:r>
            <w:r>
              <w:rPr>
                <w:rFonts w:hint="default"/>
                <w:bCs/>
                <w:color w:val="auto"/>
                <w:sz w:val="24"/>
                <w:highlight w:val="none"/>
                <w:lang w:eastAsia="zh-TW"/>
              </w:rPr>
              <w:t>）小时浓度贡献值最大浓度占标率均小于</w:t>
            </w:r>
            <w:r>
              <w:rPr>
                <w:rFonts w:hint="default"/>
                <w:bCs/>
                <w:color w:val="auto"/>
                <w:sz w:val="24"/>
                <w:highlight w:val="none"/>
                <w:lang w:val="en-US" w:eastAsia="zh-CN"/>
              </w:rPr>
              <w:t>1</w:t>
            </w:r>
            <w:r>
              <w:rPr>
                <w:rFonts w:hint="default"/>
                <w:bCs/>
                <w:color w:val="auto"/>
                <w:sz w:val="24"/>
                <w:highlight w:val="none"/>
                <w:lang w:eastAsia="zh-TW"/>
              </w:rPr>
              <w:t>%。</w:t>
            </w:r>
          </w:p>
          <w:p w14:paraId="0DEF5400">
            <w:pPr>
              <w:spacing w:line="460" w:lineRule="exact"/>
              <w:ind w:firstLine="480" w:firstLineChars="200"/>
              <w:contextualSpacing/>
              <w:jc w:val="left"/>
              <w:rPr>
                <w:rFonts w:hint="default"/>
                <w:bCs/>
                <w:color w:val="auto"/>
                <w:sz w:val="24"/>
                <w:highlight w:val="none"/>
                <w:lang w:eastAsia="zh-TW"/>
              </w:rPr>
            </w:pPr>
            <w:r>
              <w:rPr>
                <w:rFonts w:hint="eastAsia"/>
                <w:bCs/>
                <w:color w:val="auto"/>
                <w:sz w:val="24"/>
                <w:highlight w:val="none"/>
                <w:lang w:eastAsia="zh-CN"/>
              </w:rPr>
              <w:t>（</w:t>
            </w:r>
            <w:r>
              <w:rPr>
                <w:rFonts w:hint="eastAsia"/>
                <w:bCs/>
                <w:color w:val="auto"/>
                <w:sz w:val="24"/>
                <w:highlight w:val="none"/>
                <w:lang w:val="en-US" w:eastAsia="zh-CN"/>
              </w:rPr>
              <w:t>2</w:t>
            </w:r>
            <w:r>
              <w:rPr>
                <w:rFonts w:hint="eastAsia"/>
                <w:bCs/>
                <w:color w:val="auto"/>
                <w:sz w:val="24"/>
                <w:highlight w:val="none"/>
                <w:lang w:eastAsia="zh-CN"/>
              </w:rPr>
              <w:t>）</w:t>
            </w:r>
            <w:r>
              <w:rPr>
                <w:rFonts w:hint="default"/>
                <w:bCs/>
                <w:color w:val="auto"/>
                <w:sz w:val="24"/>
                <w:highlight w:val="none"/>
                <w:lang w:eastAsia="zh-TW"/>
              </w:rPr>
              <w:t>大气污染控制措施</w:t>
            </w:r>
          </w:p>
          <w:p w14:paraId="66886B5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bCs/>
                <w:color w:val="auto"/>
                <w:sz w:val="24"/>
                <w:highlight w:val="none"/>
                <w:lang w:eastAsia="zh-TW"/>
              </w:rPr>
              <w:t>由预测结果可知，本项目废气均能达标排放，同时最终环境影响也符合环境功能区划要求。本项目不需要考虑大气环境防护距离</w:t>
            </w:r>
            <w:r>
              <w:rPr>
                <w:rFonts w:hint="eastAsia"/>
                <w:bCs/>
                <w:color w:val="auto"/>
                <w:sz w:val="24"/>
                <w:highlight w:val="none"/>
                <w:lang w:eastAsia="zh-CN"/>
              </w:rPr>
              <w:t>，</w:t>
            </w:r>
            <w:r>
              <w:rPr>
                <w:rFonts w:hint="eastAsia"/>
                <w:bCs/>
                <w:color w:val="auto"/>
                <w:sz w:val="24"/>
                <w:highlight w:val="none"/>
                <w:lang w:eastAsia="zh-TW"/>
              </w:rPr>
              <w:t>项目建成投产后对大气环境影响可接受。</w:t>
            </w:r>
          </w:p>
          <w:p w14:paraId="71C43502">
            <w:pPr>
              <w:bidi w:val="0"/>
              <w:ind w:firstLine="480" w:firstLineChars="200"/>
              <w:rPr>
                <w:rFonts w:hint="eastAsia"/>
                <w:color w:val="auto"/>
                <w:highlight w:val="none"/>
                <w:lang w:val="en-US" w:eastAsia="zh-CN"/>
              </w:rPr>
            </w:pPr>
          </w:p>
          <w:p w14:paraId="421FD2B1">
            <w:pPr>
              <w:bidi w:val="0"/>
              <w:ind w:firstLine="480" w:firstLineChars="200"/>
              <w:rPr>
                <w:rFonts w:hint="eastAsia"/>
                <w:color w:val="auto"/>
                <w:highlight w:val="none"/>
                <w:lang w:val="en-US" w:eastAsia="zh-CN"/>
              </w:rPr>
            </w:pPr>
          </w:p>
          <w:p w14:paraId="7D1A827D">
            <w:pPr>
              <w:bidi w:val="0"/>
              <w:ind w:firstLine="480" w:firstLineChars="200"/>
              <w:rPr>
                <w:rFonts w:hint="eastAsia"/>
                <w:color w:val="auto"/>
                <w:highlight w:val="none"/>
                <w:lang w:val="en-US" w:eastAsia="zh-CN"/>
              </w:rPr>
            </w:pPr>
          </w:p>
          <w:p w14:paraId="5AB37AE0">
            <w:pPr>
              <w:spacing w:line="240" w:lineRule="auto"/>
              <w:rPr>
                <w:rFonts w:hint="default"/>
                <w:color w:val="auto"/>
                <w:sz w:val="10"/>
                <w:szCs w:val="10"/>
                <w:highlight w:val="none"/>
                <w:lang w:val="en-US" w:eastAsia="zh-CN"/>
              </w:rPr>
            </w:pPr>
          </w:p>
        </w:tc>
      </w:tr>
    </w:tbl>
    <w:p w14:paraId="202A263D">
      <w:pPr>
        <w:adjustRightInd w:val="0"/>
        <w:snapToGrid w:val="0"/>
        <w:spacing w:line="360" w:lineRule="auto"/>
        <w:rPr>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8657"/>
      </w:tblGrid>
      <w:tr w14:paraId="06CC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0" w:hRule="atLeast"/>
        </w:trPr>
        <w:tc>
          <w:tcPr>
            <w:tcW w:w="403" w:type="dxa"/>
            <w:vAlign w:val="center"/>
          </w:tcPr>
          <w:p w14:paraId="67C64747">
            <w:pPr>
              <w:adjustRightInd w:val="0"/>
              <w:snapToGrid w:val="0"/>
              <w:spacing w:line="240" w:lineRule="auto"/>
              <w:jc w:val="center"/>
              <w:rPr>
                <w:rFonts w:eastAsia="黑体"/>
                <w:snapToGrid w:val="0"/>
                <w:color w:val="auto"/>
                <w:sz w:val="30"/>
                <w:szCs w:val="30"/>
                <w:highlight w:val="none"/>
              </w:rPr>
            </w:pPr>
            <w:r>
              <w:rPr>
                <w:b/>
                <w:color w:val="auto"/>
                <w:sz w:val="24"/>
                <w:highlight w:val="none"/>
              </w:rPr>
              <w:t>运营期环境影响和保护措施</w:t>
            </w:r>
          </w:p>
        </w:tc>
        <w:tc>
          <w:tcPr>
            <w:tcW w:w="8657" w:type="dxa"/>
          </w:tcPr>
          <w:p w14:paraId="08B0CEA0">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rPr>
            </w:pPr>
            <w:r>
              <w:rPr>
                <w:rFonts w:hint="eastAsia"/>
                <w:b/>
                <w:bCs/>
                <w:color w:val="auto"/>
                <w:highlight w:val="none"/>
                <w:lang w:val="en-US" w:eastAsia="zh-CN"/>
              </w:rPr>
              <w:t>2</w:t>
            </w:r>
            <w:r>
              <w:rPr>
                <w:b/>
                <w:bCs/>
                <w:color w:val="auto"/>
                <w:highlight w:val="none"/>
              </w:rPr>
              <w:t>、废水</w:t>
            </w:r>
          </w:p>
          <w:p w14:paraId="66FC10AD">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rPr>
            </w:pPr>
            <w:r>
              <w:rPr>
                <w:b/>
                <w:bCs/>
                <w:color w:val="auto"/>
                <w:highlight w:val="none"/>
              </w:rPr>
              <w:t>（1）源强分析</w:t>
            </w:r>
          </w:p>
          <w:p w14:paraId="05A92F7D">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rFonts w:hint="eastAsia"/>
                <w:color w:val="auto"/>
                <w:highlight w:val="none"/>
                <w:lang w:val="en-US" w:eastAsia="zh-CN"/>
              </w:rPr>
              <w:t>1）</w:t>
            </w:r>
            <w:r>
              <w:rPr>
                <w:rFonts w:hint="eastAsia"/>
                <w:color w:val="auto"/>
                <w:highlight w:val="none"/>
              </w:rPr>
              <w:t>生活污水</w:t>
            </w:r>
          </w:p>
          <w:p w14:paraId="2BC41EB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sz w:val="24"/>
                <w:highlight w:val="none"/>
                <w:lang w:val="en-US" w:eastAsia="zh-CN"/>
              </w:rPr>
              <w:t>根据前文水平衡，</w:t>
            </w:r>
            <w:r>
              <w:rPr>
                <w:rFonts w:hint="eastAsia"/>
                <w:color w:val="auto"/>
                <w:highlight w:val="none"/>
              </w:rPr>
              <w:t>生活污水产生量为</w:t>
            </w:r>
            <w:r>
              <w:rPr>
                <w:rFonts w:hint="eastAsia"/>
                <w:color w:val="auto"/>
                <w:highlight w:val="none"/>
                <w:lang w:val="en-US" w:eastAsia="zh-CN"/>
              </w:rPr>
              <w:t>2500</w:t>
            </w:r>
            <w:r>
              <w:rPr>
                <w:rFonts w:hint="eastAsia"/>
                <w:color w:val="auto"/>
                <w:highlight w:val="none"/>
              </w:rPr>
              <w:t>t/a</w:t>
            </w:r>
            <w:r>
              <w:rPr>
                <w:rFonts w:hint="eastAsia"/>
                <w:color w:val="auto"/>
                <w:highlight w:val="none"/>
                <w:lang w:eastAsia="zh-CN"/>
              </w:rPr>
              <w:t>，</w:t>
            </w:r>
            <w:r>
              <w:rPr>
                <w:rFonts w:hint="eastAsia"/>
                <w:color w:val="auto"/>
                <w:highlight w:val="none"/>
              </w:rPr>
              <w:t>生活污水污染物主要为COD</w:t>
            </w:r>
            <w:r>
              <w:rPr>
                <w:rFonts w:hint="eastAsia"/>
                <w:color w:val="auto"/>
                <w:highlight w:val="none"/>
                <w:lang w:val="en-US" w:eastAsia="zh-CN"/>
              </w:rPr>
              <w:t>4</w:t>
            </w:r>
            <w:r>
              <w:rPr>
                <w:rFonts w:hint="eastAsia"/>
                <w:color w:val="auto"/>
                <w:highlight w:val="none"/>
              </w:rPr>
              <w:t>00mg/L、SS</w:t>
            </w:r>
            <w:r>
              <w:rPr>
                <w:rFonts w:hint="eastAsia"/>
                <w:color w:val="auto"/>
                <w:highlight w:val="none"/>
                <w:lang w:val="en-US" w:eastAsia="zh-CN"/>
              </w:rPr>
              <w:t>4</w:t>
            </w:r>
            <w:r>
              <w:rPr>
                <w:rFonts w:hint="eastAsia"/>
                <w:color w:val="auto"/>
                <w:highlight w:val="none"/>
              </w:rPr>
              <w:t>00mg/L、</w:t>
            </w:r>
            <w:r>
              <w:rPr>
                <w:color w:val="auto"/>
                <w:highlight w:val="none"/>
              </w:rPr>
              <w:t>NH</w:t>
            </w:r>
            <w:r>
              <w:rPr>
                <w:color w:val="auto"/>
                <w:highlight w:val="none"/>
                <w:vertAlign w:val="subscript"/>
              </w:rPr>
              <w:t>3</w:t>
            </w:r>
            <w:r>
              <w:rPr>
                <w:color w:val="auto"/>
                <w:highlight w:val="none"/>
              </w:rPr>
              <w:t>-N</w:t>
            </w:r>
            <w:r>
              <w:rPr>
                <w:rFonts w:hint="eastAsia"/>
                <w:color w:val="auto"/>
                <w:highlight w:val="none"/>
                <w:lang w:val="en-US" w:eastAsia="zh-CN"/>
              </w:rPr>
              <w:t>20</w:t>
            </w:r>
            <w:r>
              <w:rPr>
                <w:rFonts w:hint="eastAsia"/>
                <w:color w:val="auto"/>
                <w:highlight w:val="none"/>
              </w:rPr>
              <w:t>mg/L、TN</w:t>
            </w:r>
            <w:r>
              <w:rPr>
                <w:rFonts w:hint="eastAsia"/>
                <w:color w:val="auto"/>
                <w:highlight w:val="none"/>
                <w:lang w:val="en-US" w:eastAsia="zh-CN"/>
              </w:rPr>
              <w:t>30</w:t>
            </w:r>
            <w:r>
              <w:rPr>
                <w:rFonts w:hint="eastAsia"/>
                <w:color w:val="auto"/>
                <w:highlight w:val="none"/>
              </w:rPr>
              <w:t>mg/L、</w:t>
            </w:r>
            <w:r>
              <w:rPr>
                <w:color w:val="auto"/>
                <w:highlight w:val="none"/>
              </w:rPr>
              <w:t>TP</w:t>
            </w:r>
            <w:r>
              <w:rPr>
                <w:rFonts w:hint="eastAsia"/>
                <w:color w:val="auto"/>
                <w:highlight w:val="none"/>
                <w:lang w:val="en-US" w:eastAsia="zh-CN"/>
              </w:rPr>
              <w:t>4</w:t>
            </w:r>
            <w:r>
              <w:rPr>
                <w:rFonts w:hint="eastAsia"/>
                <w:color w:val="auto"/>
                <w:highlight w:val="none"/>
              </w:rPr>
              <w:t>mg/L。</w:t>
            </w:r>
            <w:r>
              <w:rPr>
                <w:rFonts w:hint="eastAsia"/>
                <w:color w:val="auto"/>
                <w:sz w:val="24"/>
                <w:highlight w:val="none"/>
                <w:lang w:val="en-US" w:eastAsia="zh-CN"/>
              </w:rPr>
              <w:t>生活污水经化粪池处理后</w:t>
            </w:r>
            <w:r>
              <w:rPr>
                <w:rFonts w:hint="eastAsia"/>
                <w:color w:val="auto"/>
                <w:highlight w:val="none"/>
              </w:rPr>
              <w:t>接管至</w:t>
            </w:r>
            <w:r>
              <w:rPr>
                <w:rFonts w:hint="eastAsia"/>
                <w:color w:val="auto"/>
                <w:highlight w:val="none"/>
                <w:lang w:eastAsia="zh-CN"/>
              </w:rPr>
              <w:t>高新区污水处理厂处理</w:t>
            </w:r>
            <w:r>
              <w:rPr>
                <w:rFonts w:hint="eastAsia"/>
                <w:color w:val="auto"/>
                <w:highlight w:val="none"/>
              </w:rPr>
              <w:t>，处理达标后</w:t>
            </w:r>
            <w:r>
              <w:rPr>
                <w:color w:val="auto"/>
                <w:highlight w:val="none"/>
              </w:rPr>
              <w:t>尾水排入</w:t>
            </w:r>
            <w:r>
              <w:rPr>
                <w:rFonts w:hint="eastAsia"/>
                <w:color w:val="auto"/>
                <w:highlight w:val="none"/>
                <w:lang w:val="en-US" w:eastAsia="zh-CN"/>
              </w:rPr>
              <w:t>秦淮河</w:t>
            </w:r>
            <w:r>
              <w:rPr>
                <w:rFonts w:hint="eastAsia"/>
                <w:color w:val="auto"/>
                <w:highlight w:val="none"/>
              </w:rPr>
              <w:t>。</w:t>
            </w:r>
          </w:p>
          <w:p w14:paraId="3D7096F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olor w:val="auto"/>
                <w:highlight w:val="none"/>
                <w:lang w:val="en-US" w:eastAsia="zh-CN"/>
              </w:rPr>
            </w:pPr>
            <w:r>
              <w:rPr>
                <w:rFonts w:hint="eastAsia"/>
                <w:color w:val="auto"/>
                <w:highlight w:val="none"/>
                <w:lang w:val="en-US" w:eastAsia="zh-CN"/>
              </w:rPr>
              <w:t>2）仪器及器皿后续清洗</w:t>
            </w:r>
            <w:r>
              <w:rPr>
                <w:rFonts w:hint="eastAsia"/>
                <w:color w:val="auto"/>
                <w:highlight w:val="none"/>
              </w:rPr>
              <w:t>废水</w:t>
            </w:r>
          </w:p>
          <w:p w14:paraId="2D27006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根据前文水平衡，本项目仪器及器皿后续清洗废水产生量为1575t/a，主要污染物及浓度为</w:t>
            </w:r>
            <w:r>
              <w:rPr>
                <w:rFonts w:hint="eastAsia"/>
                <w:color w:val="auto"/>
                <w:highlight w:val="none"/>
              </w:rPr>
              <w:t>COD</w:t>
            </w:r>
            <w:r>
              <w:rPr>
                <w:rFonts w:hint="eastAsia"/>
                <w:color w:val="auto"/>
                <w:highlight w:val="none"/>
                <w:lang w:val="en-US" w:eastAsia="zh-CN"/>
              </w:rPr>
              <w:t>600</w:t>
            </w:r>
            <w:r>
              <w:rPr>
                <w:rFonts w:hint="eastAsia"/>
                <w:color w:val="auto"/>
                <w:highlight w:val="none"/>
              </w:rPr>
              <w:t>mg/L、SS</w:t>
            </w:r>
            <w:r>
              <w:rPr>
                <w:rFonts w:hint="eastAsia"/>
                <w:color w:val="auto"/>
                <w:highlight w:val="none"/>
                <w:lang w:val="en-US" w:eastAsia="zh-CN"/>
              </w:rPr>
              <w:t>200</w:t>
            </w:r>
            <w:r>
              <w:rPr>
                <w:rFonts w:hint="eastAsia"/>
                <w:color w:val="auto"/>
                <w:highlight w:val="none"/>
              </w:rPr>
              <w:t>mg/L、</w:t>
            </w:r>
            <w:r>
              <w:rPr>
                <w:color w:val="auto"/>
                <w:highlight w:val="none"/>
              </w:rPr>
              <w:t>NH</w:t>
            </w:r>
            <w:r>
              <w:rPr>
                <w:color w:val="auto"/>
                <w:highlight w:val="none"/>
                <w:vertAlign w:val="subscript"/>
              </w:rPr>
              <w:t>3</w:t>
            </w:r>
            <w:r>
              <w:rPr>
                <w:color w:val="auto"/>
                <w:highlight w:val="none"/>
              </w:rPr>
              <w:t>-N</w:t>
            </w:r>
            <w:r>
              <w:rPr>
                <w:rFonts w:hint="eastAsia"/>
                <w:color w:val="auto"/>
                <w:highlight w:val="none"/>
                <w:lang w:val="en-US" w:eastAsia="zh-CN"/>
              </w:rPr>
              <w:t>10</w:t>
            </w:r>
            <w:r>
              <w:rPr>
                <w:rFonts w:hint="eastAsia"/>
                <w:color w:val="auto"/>
                <w:highlight w:val="none"/>
              </w:rPr>
              <w:t>mg/L、TN</w:t>
            </w:r>
            <w:r>
              <w:rPr>
                <w:rFonts w:hint="eastAsia"/>
                <w:color w:val="auto"/>
                <w:highlight w:val="none"/>
                <w:lang w:val="en-US" w:eastAsia="zh-CN"/>
              </w:rPr>
              <w:t>15</w:t>
            </w:r>
            <w:r>
              <w:rPr>
                <w:rFonts w:hint="eastAsia"/>
                <w:color w:val="auto"/>
                <w:highlight w:val="none"/>
              </w:rPr>
              <w:t>mg/L</w:t>
            </w:r>
            <w:r>
              <w:rPr>
                <w:rFonts w:hint="eastAsia"/>
                <w:color w:val="auto"/>
                <w:highlight w:val="none"/>
                <w:lang w:eastAsia="zh-CN"/>
              </w:rPr>
              <w:t>、</w:t>
            </w:r>
            <w:r>
              <w:rPr>
                <w:rFonts w:hint="eastAsia"/>
                <w:color w:val="auto"/>
                <w:highlight w:val="none"/>
              </w:rPr>
              <w:t>T</w:t>
            </w:r>
            <w:r>
              <w:rPr>
                <w:rFonts w:hint="eastAsia"/>
                <w:color w:val="auto"/>
                <w:highlight w:val="none"/>
                <w:lang w:val="en-US" w:eastAsia="zh-CN"/>
              </w:rPr>
              <w:t>P2</w:t>
            </w:r>
            <w:r>
              <w:rPr>
                <w:rFonts w:hint="eastAsia"/>
                <w:color w:val="auto"/>
                <w:highlight w:val="none"/>
              </w:rPr>
              <w:t>mg/L</w:t>
            </w:r>
            <w:r>
              <w:rPr>
                <w:rFonts w:hint="eastAsia"/>
                <w:color w:val="auto"/>
                <w:highlight w:val="none"/>
                <w:lang w:val="en-US" w:eastAsia="zh-CN"/>
              </w:rPr>
              <w:t>。仪器及器皿后续清洗</w:t>
            </w:r>
            <w:r>
              <w:rPr>
                <w:rFonts w:hint="eastAsia"/>
                <w:color w:val="auto"/>
                <w:highlight w:val="none"/>
              </w:rPr>
              <w:t>废水</w:t>
            </w:r>
            <w:r>
              <w:rPr>
                <w:rFonts w:hint="eastAsia"/>
                <w:color w:val="auto"/>
                <w:highlight w:val="none"/>
                <w:lang w:val="en-US" w:eastAsia="zh-CN"/>
              </w:rPr>
              <w:t>经1号楼污水处理站处理后</w:t>
            </w:r>
            <w:r>
              <w:rPr>
                <w:rFonts w:hint="eastAsia"/>
                <w:color w:val="auto"/>
                <w:highlight w:val="none"/>
              </w:rPr>
              <w:t>接管至</w:t>
            </w:r>
            <w:r>
              <w:rPr>
                <w:rFonts w:hint="eastAsia"/>
                <w:color w:val="auto"/>
                <w:highlight w:val="none"/>
                <w:lang w:eastAsia="zh-CN"/>
              </w:rPr>
              <w:t>高新区污水处理厂处理</w:t>
            </w:r>
            <w:r>
              <w:rPr>
                <w:rFonts w:hint="eastAsia"/>
                <w:color w:val="auto"/>
                <w:highlight w:val="none"/>
              </w:rPr>
              <w:t>，处理达标后</w:t>
            </w:r>
            <w:r>
              <w:rPr>
                <w:color w:val="auto"/>
                <w:highlight w:val="none"/>
              </w:rPr>
              <w:t>尾水排入</w:t>
            </w:r>
            <w:r>
              <w:rPr>
                <w:rFonts w:hint="eastAsia"/>
                <w:color w:val="auto"/>
                <w:highlight w:val="none"/>
                <w:lang w:val="en-US" w:eastAsia="zh-CN"/>
              </w:rPr>
              <w:t>秦淮河</w:t>
            </w:r>
            <w:r>
              <w:rPr>
                <w:rFonts w:hint="eastAsia"/>
                <w:color w:val="auto"/>
                <w:highlight w:val="none"/>
              </w:rPr>
              <w:t>。</w:t>
            </w:r>
          </w:p>
          <w:p w14:paraId="0DC86635">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w:t>
            </w:r>
            <w:r>
              <w:rPr>
                <w:rFonts w:hint="eastAsia"/>
                <w:color w:val="auto"/>
                <w:highlight w:val="none"/>
                <w:lang w:val="en-US" w:eastAsia="zh-CN"/>
              </w:rPr>
              <w:t>地面清洁废水</w:t>
            </w:r>
          </w:p>
          <w:p w14:paraId="213F0DC7">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根据前文水平衡，本项目地面清洁废水产生量为1038.6t/a，主要污染物及浓度为</w:t>
            </w:r>
            <w:r>
              <w:rPr>
                <w:rFonts w:hint="eastAsia"/>
                <w:color w:val="auto"/>
                <w:highlight w:val="none"/>
              </w:rPr>
              <w:t>COD</w:t>
            </w:r>
            <w:r>
              <w:rPr>
                <w:rFonts w:hint="eastAsia"/>
                <w:color w:val="auto"/>
                <w:highlight w:val="none"/>
                <w:lang w:val="en-US" w:eastAsia="zh-CN"/>
              </w:rPr>
              <w:t>400</w:t>
            </w:r>
            <w:r>
              <w:rPr>
                <w:rFonts w:hint="eastAsia"/>
                <w:color w:val="auto"/>
                <w:highlight w:val="none"/>
              </w:rPr>
              <w:t>mg/L、SS</w:t>
            </w:r>
            <w:r>
              <w:rPr>
                <w:rFonts w:hint="eastAsia"/>
                <w:color w:val="auto"/>
                <w:highlight w:val="none"/>
                <w:lang w:val="en-US" w:eastAsia="zh-CN"/>
              </w:rPr>
              <w:t>200</w:t>
            </w:r>
            <w:r>
              <w:rPr>
                <w:rFonts w:hint="eastAsia"/>
                <w:color w:val="auto"/>
                <w:highlight w:val="none"/>
              </w:rPr>
              <w:t>mg/L、</w:t>
            </w:r>
            <w:r>
              <w:rPr>
                <w:color w:val="auto"/>
                <w:highlight w:val="none"/>
              </w:rPr>
              <w:t>NH</w:t>
            </w:r>
            <w:r>
              <w:rPr>
                <w:color w:val="auto"/>
                <w:highlight w:val="none"/>
                <w:vertAlign w:val="subscript"/>
              </w:rPr>
              <w:t>3</w:t>
            </w:r>
            <w:r>
              <w:rPr>
                <w:color w:val="auto"/>
                <w:highlight w:val="none"/>
              </w:rPr>
              <w:t>-N</w:t>
            </w:r>
            <w:r>
              <w:rPr>
                <w:rFonts w:hint="eastAsia"/>
                <w:color w:val="auto"/>
                <w:highlight w:val="none"/>
                <w:lang w:val="en-US" w:eastAsia="zh-CN"/>
              </w:rPr>
              <w:t>10</w:t>
            </w:r>
            <w:r>
              <w:rPr>
                <w:rFonts w:hint="eastAsia"/>
                <w:color w:val="auto"/>
                <w:highlight w:val="none"/>
              </w:rPr>
              <w:t>mg/L、TN</w:t>
            </w:r>
            <w:r>
              <w:rPr>
                <w:rFonts w:hint="eastAsia"/>
                <w:color w:val="auto"/>
                <w:highlight w:val="none"/>
                <w:lang w:val="en-US" w:eastAsia="zh-CN"/>
              </w:rPr>
              <w:t>15</w:t>
            </w:r>
            <w:r>
              <w:rPr>
                <w:rFonts w:hint="eastAsia"/>
                <w:color w:val="auto"/>
                <w:highlight w:val="none"/>
              </w:rPr>
              <w:t>mg/L</w:t>
            </w:r>
            <w:r>
              <w:rPr>
                <w:rFonts w:hint="eastAsia"/>
                <w:color w:val="auto"/>
                <w:highlight w:val="none"/>
                <w:lang w:eastAsia="zh-CN"/>
              </w:rPr>
              <w:t>、</w:t>
            </w:r>
            <w:r>
              <w:rPr>
                <w:rFonts w:hint="eastAsia"/>
                <w:color w:val="auto"/>
                <w:highlight w:val="none"/>
              </w:rPr>
              <w:t>T</w:t>
            </w:r>
            <w:r>
              <w:rPr>
                <w:rFonts w:hint="eastAsia"/>
                <w:color w:val="auto"/>
                <w:highlight w:val="none"/>
                <w:lang w:val="en-US" w:eastAsia="zh-CN"/>
              </w:rPr>
              <w:t>P2</w:t>
            </w:r>
            <w:r>
              <w:rPr>
                <w:rFonts w:hint="eastAsia"/>
                <w:color w:val="auto"/>
                <w:highlight w:val="none"/>
              </w:rPr>
              <w:t>mg/L</w:t>
            </w:r>
            <w:r>
              <w:rPr>
                <w:rFonts w:hint="eastAsia"/>
                <w:color w:val="auto"/>
                <w:highlight w:val="none"/>
                <w:lang w:val="en-US" w:eastAsia="zh-CN"/>
              </w:rPr>
              <w:t>。地面清洁废水经1号楼污水处理站处理后</w:t>
            </w:r>
            <w:r>
              <w:rPr>
                <w:rFonts w:hint="eastAsia"/>
                <w:color w:val="auto"/>
                <w:highlight w:val="none"/>
              </w:rPr>
              <w:t>接管至</w:t>
            </w:r>
            <w:r>
              <w:rPr>
                <w:rFonts w:hint="eastAsia"/>
                <w:color w:val="auto"/>
                <w:highlight w:val="none"/>
                <w:lang w:eastAsia="zh-CN"/>
              </w:rPr>
              <w:t>高新区污水处理厂处理</w:t>
            </w:r>
            <w:r>
              <w:rPr>
                <w:rFonts w:hint="eastAsia"/>
                <w:color w:val="auto"/>
                <w:highlight w:val="none"/>
              </w:rPr>
              <w:t>，处理达标后</w:t>
            </w:r>
            <w:r>
              <w:rPr>
                <w:color w:val="auto"/>
                <w:highlight w:val="none"/>
              </w:rPr>
              <w:t>尾水排入</w:t>
            </w:r>
            <w:r>
              <w:rPr>
                <w:rFonts w:hint="eastAsia"/>
                <w:color w:val="auto"/>
                <w:highlight w:val="none"/>
                <w:lang w:val="en-US" w:eastAsia="zh-CN"/>
              </w:rPr>
              <w:t>秦淮河</w:t>
            </w:r>
            <w:r>
              <w:rPr>
                <w:rFonts w:hint="eastAsia"/>
                <w:color w:val="auto"/>
                <w:highlight w:val="none"/>
              </w:rPr>
              <w:t>。</w:t>
            </w:r>
          </w:p>
          <w:p w14:paraId="37032D6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4）实验设备废水</w:t>
            </w:r>
          </w:p>
          <w:p w14:paraId="4E6BE57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rPr>
            </w:pPr>
            <w:r>
              <w:rPr>
                <w:rFonts w:hint="eastAsia"/>
                <w:color w:val="auto"/>
                <w:highlight w:val="none"/>
                <w:lang w:val="en-US" w:eastAsia="zh-CN"/>
              </w:rPr>
              <w:t>根据前文水平衡，本项目实验设备废水产生量为22.5t/a，主要污染物及浓度为COD200mg/L、SS100mg/L。实验设备废水经1号楼污水处理站处理后</w:t>
            </w:r>
            <w:r>
              <w:rPr>
                <w:rFonts w:hint="eastAsia"/>
                <w:color w:val="auto"/>
                <w:highlight w:val="none"/>
              </w:rPr>
              <w:t>接管至</w:t>
            </w:r>
            <w:r>
              <w:rPr>
                <w:rFonts w:hint="eastAsia"/>
                <w:color w:val="auto"/>
                <w:highlight w:val="none"/>
                <w:lang w:eastAsia="zh-CN"/>
              </w:rPr>
              <w:t>高新区污水处理厂处理</w:t>
            </w:r>
            <w:r>
              <w:rPr>
                <w:rFonts w:hint="eastAsia"/>
                <w:color w:val="auto"/>
                <w:highlight w:val="none"/>
              </w:rPr>
              <w:t>，处理达标后</w:t>
            </w:r>
            <w:r>
              <w:rPr>
                <w:color w:val="auto"/>
                <w:highlight w:val="none"/>
              </w:rPr>
              <w:t>尾水排入</w:t>
            </w:r>
            <w:r>
              <w:rPr>
                <w:rFonts w:hint="eastAsia"/>
                <w:color w:val="auto"/>
                <w:highlight w:val="none"/>
                <w:lang w:val="en-US" w:eastAsia="zh-CN"/>
              </w:rPr>
              <w:t>秦淮河</w:t>
            </w:r>
            <w:r>
              <w:rPr>
                <w:rFonts w:hint="eastAsia"/>
                <w:color w:val="auto"/>
                <w:highlight w:val="none"/>
              </w:rPr>
              <w:t>。</w:t>
            </w:r>
          </w:p>
          <w:p w14:paraId="30E30EF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5）纯水制备浓水</w:t>
            </w:r>
          </w:p>
          <w:p w14:paraId="602ECC6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根据前文水平衡，本项目纯水制备浓水产生量为75t/a，主要污染物及浓度为COD200mg/L、SS100mg/L。纯水制备浓水经1号楼污水处理站处理后</w:t>
            </w:r>
            <w:r>
              <w:rPr>
                <w:rFonts w:hint="eastAsia"/>
                <w:color w:val="auto"/>
                <w:highlight w:val="none"/>
              </w:rPr>
              <w:t>接管至</w:t>
            </w:r>
            <w:r>
              <w:rPr>
                <w:rFonts w:hint="eastAsia"/>
                <w:color w:val="auto"/>
                <w:highlight w:val="none"/>
                <w:lang w:eastAsia="zh-CN"/>
              </w:rPr>
              <w:t>高新区污水处理厂处理</w:t>
            </w:r>
            <w:r>
              <w:rPr>
                <w:rFonts w:hint="eastAsia"/>
                <w:color w:val="auto"/>
                <w:highlight w:val="none"/>
              </w:rPr>
              <w:t>，处理达标后</w:t>
            </w:r>
            <w:r>
              <w:rPr>
                <w:color w:val="auto"/>
                <w:highlight w:val="none"/>
              </w:rPr>
              <w:t>尾水排入</w:t>
            </w:r>
            <w:r>
              <w:rPr>
                <w:rFonts w:hint="eastAsia"/>
                <w:color w:val="auto"/>
                <w:highlight w:val="none"/>
                <w:lang w:val="en-US" w:eastAsia="zh-CN"/>
              </w:rPr>
              <w:t>秦淮河</w:t>
            </w:r>
            <w:r>
              <w:rPr>
                <w:rFonts w:hint="eastAsia"/>
                <w:color w:val="auto"/>
                <w:highlight w:val="none"/>
              </w:rPr>
              <w:t>。</w:t>
            </w:r>
          </w:p>
          <w:p w14:paraId="3189EC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6）喷淋塔废水</w:t>
            </w:r>
          </w:p>
          <w:p w14:paraId="15CA65F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根据前文水平衡，本项目喷淋塔废水产生量为37t/a，主要污染物及浓度为COD400mg/L、SS400mg/L、氨氮10mg/L、总氮15mg/L、总磷2mg/L。喷淋塔废水经1号楼污水处理站处理后</w:t>
            </w:r>
            <w:r>
              <w:rPr>
                <w:rFonts w:hint="eastAsia"/>
                <w:color w:val="auto"/>
                <w:highlight w:val="none"/>
              </w:rPr>
              <w:t>接管至</w:t>
            </w:r>
            <w:r>
              <w:rPr>
                <w:rFonts w:hint="eastAsia"/>
                <w:color w:val="auto"/>
                <w:highlight w:val="none"/>
                <w:lang w:eastAsia="zh-CN"/>
              </w:rPr>
              <w:t>高新区污水处理厂处理</w:t>
            </w:r>
            <w:r>
              <w:rPr>
                <w:rFonts w:hint="eastAsia"/>
                <w:color w:val="auto"/>
                <w:highlight w:val="none"/>
              </w:rPr>
              <w:t>，处理达标后</w:t>
            </w:r>
            <w:r>
              <w:rPr>
                <w:color w:val="auto"/>
                <w:highlight w:val="none"/>
              </w:rPr>
              <w:t>尾水排入</w:t>
            </w:r>
            <w:r>
              <w:rPr>
                <w:rFonts w:hint="eastAsia"/>
                <w:color w:val="auto"/>
                <w:highlight w:val="none"/>
                <w:lang w:val="en-US" w:eastAsia="zh-CN"/>
              </w:rPr>
              <w:t>秦淮河</w:t>
            </w:r>
            <w:r>
              <w:rPr>
                <w:rFonts w:hint="eastAsia"/>
                <w:color w:val="auto"/>
                <w:highlight w:val="none"/>
              </w:rPr>
              <w:t>。</w:t>
            </w:r>
          </w:p>
          <w:p w14:paraId="50E7B7C6">
            <w:pPr>
              <w:pStyle w:val="162"/>
              <w:bidi w:val="0"/>
              <w:rPr>
                <w:color w:val="auto"/>
                <w:highlight w:val="none"/>
              </w:rPr>
            </w:pPr>
            <w:r>
              <w:rPr>
                <w:color w:val="auto"/>
                <w:highlight w:val="none"/>
              </w:rPr>
              <w:t>建设项目水污染物</w:t>
            </w:r>
            <w:r>
              <w:rPr>
                <w:rFonts w:hint="eastAsia"/>
                <w:color w:val="auto"/>
                <w:highlight w:val="none"/>
                <w:lang w:val="en-US" w:eastAsia="zh-CN"/>
              </w:rPr>
              <w:t>产生</w:t>
            </w:r>
            <w:r>
              <w:rPr>
                <w:color w:val="auto"/>
                <w:highlight w:val="none"/>
              </w:rPr>
              <w:t>及排放情况一览表</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12"/>
              <w:gridCol w:w="903"/>
              <w:gridCol w:w="916"/>
              <w:gridCol w:w="842"/>
              <w:gridCol w:w="726"/>
              <w:gridCol w:w="819"/>
              <w:gridCol w:w="839"/>
              <w:gridCol w:w="1011"/>
              <w:gridCol w:w="839"/>
              <w:gridCol w:w="429"/>
            </w:tblGrid>
            <w:tr w14:paraId="0A8EB6F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restart"/>
                  <w:tcBorders>
                    <w:tl2br w:val="nil"/>
                    <w:tr2bl w:val="nil"/>
                  </w:tcBorders>
                  <w:noWrap w:val="0"/>
                  <w:vAlign w:val="center"/>
                </w:tcPr>
                <w:p w14:paraId="1FDC2F35">
                  <w:pPr>
                    <w:pStyle w:val="41"/>
                    <w:bidi w:val="0"/>
                    <w:rPr>
                      <w:b/>
                      <w:bCs/>
                    </w:rPr>
                  </w:pPr>
                  <w:r>
                    <w:rPr>
                      <w:rFonts w:hint="eastAsia"/>
                      <w:b/>
                      <w:bCs/>
                    </w:rPr>
                    <w:t>污水种类及产生量</w:t>
                  </w:r>
                </w:p>
              </w:tc>
              <w:tc>
                <w:tcPr>
                  <w:tcW w:w="1577" w:type="pct"/>
                  <w:gridSpan w:val="3"/>
                  <w:tcBorders>
                    <w:tl2br w:val="nil"/>
                    <w:tr2bl w:val="nil"/>
                  </w:tcBorders>
                  <w:noWrap w:val="0"/>
                  <w:vAlign w:val="center"/>
                </w:tcPr>
                <w:p w14:paraId="2DAFA7FB">
                  <w:pPr>
                    <w:pStyle w:val="41"/>
                    <w:bidi w:val="0"/>
                    <w:rPr>
                      <w:rFonts w:hint="eastAsia"/>
                      <w:b/>
                      <w:bCs/>
                      <w:lang w:eastAsia="zh-CN"/>
                    </w:rPr>
                  </w:pPr>
                  <w:r>
                    <w:rPr>
                      <w:rFonts w:hint="eastAsia"/>
                      <w:b/>
                      <w:bCs/>
                    </w:rPr>
                    <w:t>产生</w:t>
                  </w:r>
                  <w:r>
                    <w:rPr>
                      <w:rFonts w:hint="eastAsia"/>
                      <w:b/>
                      <w:bCs/>
                      <w:lang w:val="en-US" w:eastAsia="zh-CN"/>
                    </w:rPr>
                    <w:t>情况</w:t>
                  </w:r>
                </w:p>
              </w:tc>
              <w:tc>
                <w:tcPr>
                  <w:tcW w:w="430" w:type="pct"/>
                  <w:vMerge w:val="restart"/>
                  <w:tcBorders>
                    <w:tl2br w:val="nil"/>
                    <w:tr2bl w:val="nil"/>
                  </w:tcBorders>
                  <w:noWrap w:val="0"/>
                  <w:vAlign w:val="center"/>
                </w:tcPr>
                <w:p w14:paraId="3BA7FD0B">
                  <w:pPr>
                    <w:pStyle w:val="41"/>
                    <w:bidi w:val="0"/>
                    <w:rPr>
                      <w:rFonts w:hint="default"/>
                      <w:b/>
                      <w:bCs/>
                      <w:lang w:val="en-US" w:eastAsia="zh-CN"/>
                    </w:rPr>
                  </w:pPr>
                  <w:r>
                    <w:rPr>
                      <w:rFonts w:hint="eastAsia"/>
                      <w:b/>
                      <w:bCs/>
                    </w:rPr>
                    <w:t>治理措施</w:t>
                  </w:r>
                </w:p>
              </w:tc>
              <w:tc>
                <w:tcPr>
                  <w:tcW w:w="1581" w:type="pct"/>
                  <w:gridSpan w:val="3"/>
                  <w:tcBorders>
                    <w:tl2br w:val="nil"/>
                    <w:tr2bl w:val="nil"/>
                  </w:tcBorders>
                  <w:noWrap w:val="0"/>
                  <w:tcMar>
                    <w:top w:w="57" w:type="dxa"/>
                    <w:left w:w="28" w:type="dxa"/>
                    <w:bottom w:w="57" w:type="dxa"/>
                    <w:right w:w="28" w:type="dxa"/>
                  </w:tcMar>
                  <w:vAlign w:val="center"/>
                </w:tcPr>
                <w:p w14:paraId="44A7B6B7">
                  <w:pPr>
                    <w:pStyle w:val="41"/>
                    <w:bidi w:val="0"/>
                    <w:rPr>
                      <w:rFonts w:hint="default"/>
                      <w:b/>
                      <w:bCs/>
                      <w:lang w:val="en-US" w:eastAsia="zh-CN"/>
                    </w:rPr>
                  </w:pPr>
                  <w:r>
                    <w:rPr>
                      <w:rFonts w:hint="eastAsia"/>
                      <w:b/>
                      <w:bCs/>
                      <w:lang w:val="en-US" w:eastAsia="zh-CN"/>
                    </w:rPr>
                    <w:t>接管情况</w:t>
                  </w:r>
                </w:p>
              </w:tc>
              <w:tc>
                <w:tcPr>
                  <w:tcW w:w="497" w:type="pct"/>
                  <w:vMerge w:val="restart"/>
                  <w:tcBorders>
                    <w:tl2br w:val="nil"/>
                    <w:tr2bl w:val="nil"/>
                  </w:tcBorders>
                  <w:noWrap w:val="0"/>
                  <w:tcMar>
                    <w:top w:w="57" w:type="dxa"/>
                    <w:left w:w="28" w:type="dxa"/>
                    <w:bottom w:w="57" w:type="dxa"/>
                    <w:right w:w="28" w:type="dxa"/>
                  </w:tcMar>
                  <w:vAlign w:val="center"/>
                </w:tcPr>
                <w:p w14:paraId="7E18D0F5">
                  <w:pPr>
                    <w:pStyle w:val="41"/>
                    <w:bidi w:val="0"/>
                    <w:rPr>
                      <w:b/>
                      <w:bCs/>
                    </w:rPr>
                  </w:pPr>
                  <w:r>
                    <w:rPr>
                      <w:rFonts w:hint="eastAsia"/>
                      <w:b/>
                      <w:bCs/>
                    </w:rPr>
                    <w:t>标准浓度限值</w:t>
                  </w:r>
                  <w:r>
                    <w:rPr>
                      <w:rFonts w:hint="eastAsia"/>
                      <w:b/>
                      <w:bCs/>
                      <w:lang w:eastAsia="zh-CN"/>
                    </w:rPr>
                    <w:t>(</w:t>
                  </w:r>
                  <w:r>
                    <w:rPr>
                      <w:rFonts w:hint="eastAsia"/>
                      <w:b/>
                      <w:bCs/>
                    </w:rPr>
                    <w:t>mg/L)</w:t>
                  </w:r>
                </w:p>
              </w:tc>
              <w:tc>
                <w:tcPr>
                  <w:tcW w:w="254" w:type="pct"/>
                  <w:vMerge w:val="restart"/>
                  <w:tcBorders>
                    <w:tl2br w:val="nil"/>
                    <w:tr2bl w:val="nil"/>
                  </w:tcBorders>
                  <w:noWrap w:val="0"/>
                  <w:tcMar>
                    <w:top w:w="57" w:type="dxa"/>
                    <w:left w:w="28" w:type="dxa"/>
                    <w:bottom w:w="57" w:type="dxa"/>
                    <w:right w:w="28" w:type="dxa"/>
                  </w:tcMar>
                  <w:vAlign w:val="center"/>
                </w:tcPr>
                <w:p w14:paraId="02989964">
                  <w:pPr>
                    <w:pStyle w:val="41"/>
                    <w:bidi w:val="0"/>
                    <w:rPr>
                      <w:rFonts w:hint="eastAsia"/>
                      <w:b/>
                      <w:bCs/>
                      <w:lang w:eastAsia="zh-CN"/>
                    </w:rPr>
                  </w:pPr>
                  <w:r>
                    <w:rPr>
                      <w:rFonts w:hint="eastAsia"/>
                      <w:b/>
                      <w:bCs/>
                      <w:lang w:val="en-US" w:eastAsia="zh-CN"/>
                    </w:rPr>
                    <w:t>接管去向</w:t>
                  </w:r>
                </w:p>
              </w:tc>
            </w:tr>
            <w:tr w14:paraId="2F43CC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tcBorders>
                    <w:tl2br w:val="nil"/>
                    <w:tr2bl w:val="nil"/>
                  </w:tcBorders>
                  <w:noWrap w:val="0"/>
                  <w:tcMar>
                    <w:top w:w="57" w:type="dxa"/>
                    <w:bottom w:w="57" w:type="dxa"/>
                  </w:tcMar>
                  <w:vAlign w:val="center"/>
                </w:tcPr>
                <w:p w14:paraId="424D2F56">
                  <w:pPr>
                    <w:pStyle w:val="41"/>
                    <w:bidi w:val="0"/>
                  </w:pPr>
                </w:p>
              </w:tc>
              <w:tc>
                <w:tcPr>
                  <w:tcW w:w="535" w:type="pct"/>
                  <w:tcBorders>
                    <w:tl2br w:val="nil"/>
                    <w:tr2bl w:val="nil"/>
                  </w:tcBorders>
                  <w:noWrap w:val="0"/>
                  <w:tcMar>
                    <w:top w:w="57" w:type="dxa"/>
                    <w:bottom w:w="57" w:type="dxa"/>
                  </w:tcMar>
                  <w:vAlign w:val="center"/>
                </w:tcPr>
                <w:p w14:paraId="59E0BE24">
                  <w:pPr>
                    <w:pStyle w:val="41"/>
                    <w:bidi w:val="0"/>
                    <w:rPr>
                      <w:b/>
                      <w:bCs/>
                    </w:rPr>
                  </w:pPr>
                  <w:r>
                    <w:rPr>
                      <w:rFonts w:hint="eastAsia"/>
                      <w:b/>
                      <w:bCs/>
                    </w:rPr>
                    <w:t>污染物名称</w:t>
                  </w:r>
                </w:p>
              </w:tc>
              <w:tc>
                <w:tcPr>
                  <w:tcW w:w="542" w:type="pct"/>
                  <w:tcBorders>
                    <w:tl2br w:val="nil"/>
                    <w:tr2bl w:val="nil"/>
                  </w:tcBorders>
                  <w:noWrap w:val="0"/>
                  <w:tcMar>
                    <w:top w:w="57" w:type="dxa"/>
                    <w:bottom w:w="57" w:type="dxa"/>
                  </w:tcMar>
                  <w:vAlign w:val="center"/>
                </w:tcPr>
                <w:p w14:paraId="19F7C849">
                  <w:pPr>
                    <w:pStyle w:val="41"/>
                    <w:bidi w:val="0"/>
                    <w:rPr>
                      <w:b/>
                      <w:bCs/>
                    </w:rPr>
                  </w:pPr>
                  <w:r>
                    <w:rPr>
                      <w:rFonts w:hint="eastAsia"/>
                      <w:b/>
                      <w:bCs/>
                    </w:rPr>
                    <w:t>浓度</w:t>
                  </w:r>
                  <w:r>
                    <w:rPr>
                      <w:rFonts w:hint="eastAsia"/>
                      <w:b/>
                      <w:bCs/>
                      <w:lang w:eastAsia="zh-CN"/>
                    </w:rPr>
                    <w:t>(</w:t>
                  </w:r>
                  <w:r>
                    <w:rPr>
                      <w:rFonts w:hint="eastAsia"/>
                      <w:b/>
                      <w:bCs/>
                    </w:rPr>
                    <w:t>mg/L)</w:t>
                  </w:r>
                </w:p>
              </w:tc>
              <w:tc>
                <w:tcPr>
                  <w:tcW w:w="499" w:type="pct"/>
                  <w:tcBorders>
                    <w:tl2br w:val="nil"/>
                    <w:tr2bl w:val="nil"/>
                  </w:tcBorders>
                  <w:noWrap w:val="0"/>
                  <w:tcMar>
                    <w:top w:w="57" w:type="dxa"/>
                    <w:bottom w:w="57" w:type="dxa"/>
                  </w:tcMar>
                  <w:vAlign w:val="center"/>
                </w:tcPr>
                <w:p w14:paraId="084C5853">
                  <w:pPr>
                    <w:pStyle w:val="41"/>
                    <w:bidi w:val="0"/>
                    <w:rPr>
                      <w:b/>
                      <w:bCs/>
                    </w:rPr>
                  </w:pPr>
                  <w:r>
                    <w:rPr>
                      <w:rFonts w:hint="eastAsia"/>
                      <w:b/>
                      <w:bCs/>
                    </w:rPr>
                    <w:t>产生量</w:t>
                  </w:r>
                  <w:r>
                    <w:rPr>
                      <w:rFonts w:hint="eastAsia"/>
                      <w:b/>
                      <w:bCs/>
                      <w:lang w:eastAsia="zh-CN"/>
                    </w:rPr>
                    <w:t>(</w:t>
                  </w:r>
                  <w:r>
                    <w:rPr>
                      <w:rFonts w:hint="eastAsia"/>
                      <w:b/>
                      <w:bCs/>
                    </w:rPr>
                    <w:t>t/a)</w:t>
                  </w:r>
                </w:p>
              </w:tc>
              <w:tc>
                <w:tcPr>
                  <w:tcW w:w="430" w:type="pct"/>
                  <w:vMerge w:val="continue"/>
                  <w:tcBorders>
                    <w:tl2br w:val="nil"/>
                    <w:tr2bl w:val="nil"/>
                  </w:tcBorders>
                  <w:noWrap w:val="0"/>
                  <w:tcMar>
                    <w:top w:w="57" w:type="dxa"/>
                    <w:bottom w:w="57" w:type="dxa"/>
                  </w:tcMar>
                  <w:vAlign w:val="center"/>
                </w:tcPr>
                <w:p w14:paraId="21D71655">
                  <w:pPr>
                    <w:pStyle w:val="41"/>
                    <w:bidi w:val="0"/>
                    <w:rPr>
                      <w:rFonts w:hint="default"/>
                      <w:b/>
                      <w:bCs/>
                      <w:lang w:val="en-US" w:eastAsia="zh-CN"/>
                    </w:rPr>
                  </w:pPr>
                </w:p>
              </w:tc>
              <w:tc>
                <w:tcPr>
                  <w:tcW w:w="485" w:type="pct"/>
                  <w:tcBorders>
                    <w:tl2br w:val="nil"/>
                    <w:tr2bl w:val="nil"/>
                  </w:tcBorders>
                  <w:noWrap w:val="0"/>
                  <w:tcMar>
                    <w:top w:w="57" w:type="dxa"/>
                    <w:bottom w:w="57" w:type="dxa"/>
                  </w:tcMar>
                  <w:vAlign w:val="center"/>
                </w:tcPr>
                <w:p w14:paraId="1B8F21AF">
                  <w:pPr>
                    <w:pStyle w:val="41"/>
                    <w:bidi w:val="0"/>
                    <w:rPr>
                      <w:rFonts w:hint="eastAsia"/>
                      <w:b/>
                      <w:bCs/>
                    </w:rPr>
                  </w:pPr>
                  <w:r>
                    <w:rPr>
                      <w:rFonts w:hint="eastAsia"/>
                      <w:b/>
                      <w:bCs/>
                    </w:rPr>
                    <w:t>污染物名称</w:t>
                  </w:r>
                </w:p>
              </w:tc>
              <w:tc>
                <w:tcPr>
                  <w:tcW w:w="497" w:type="pct"/>
                  <w:tcBorders>
                    <w:tl2br w:val="nil"/>
                    <w:tr2bl w:val="nil"/>
                  </w:tcBorders>
                  <w:noWrap w:val="0"/>
                  <w:tcMar>
                    <w:top w:w="57" w:type="dxa"/>
                    <w:bottom w:w="57" w:type="dxa"/>
                  </w:tcMar>
                  <w:vAlign w:val="center"/>
                </w:tcPr>
                <w:p w14:paraId="16336ECA">
                  <w:pPr>
                    <w:pStyle w:val="41"/>
                    <w:bidi w:val="0"/>
                    <w:rPr>
                      <w:b/>
                      <w:bCs/>
                    </w:rPr>
                  </w:pPr>
                  <w:r>
                    <w:rPr>
                      <w:rFonts w:hint="eastAsia"/>
                      <w:b/>
                      <w:bCs/>
                    </w:rPr>
                    <w:t>浓度</w:t>
                  </w:r>
                  <w:r>
                    <w:rPr>
                      <w:rFonts w:hint="eastAsia"/>
                      <w:b/>
                      <w:bCs/>
                      <w:lang w:eastAsia="zh-CN"/>
                    </w:rPr>
                    <w:t>(</w:t>
                  </w:r>
                  <w:r>
                    <w:rPr>
                      <w:rFonts w:hint="eastAsia"/>
                      <w:b/>
                      <w:bCs/>
                    </w:rPr>
                    <w:t>mg/L)</w:t>
                  </w:r>
                </w:p>
              </w:tc>
              <w:tc>
                <w:tcPr>
                  <w:tcW w:w="599" w:type="pct"/>
                  <w:tcBorders>
                    <w:tl2br w:val="nil"/>
                    <w:tr2bl w:val="nil"/>
                  </w:tcBorders>
                  <w:noWrap w:val="0"/>
                  <w:tcMar>
                    <w:top w:w="57" w:type="dxa"/>
                    <w:bottom w:w="57" w:type="dxa"/>
                  </w:tcMar>
                  <w:vAlign w:val="center"/>
                </w:tcPr>
                <w:p w14:paraId="7CECEC32">
                  <w:pPr>
                    <w:pStyle w:val="41"/>
                    <w:bidi w:val="0"/>
                    <w:rPr>
                      <w:b/>
                      <w:bCs/>
                    </w:rPr>
                  </w:pPr>
                  <w:r>
                    <w:rPr>
                      <w:rFonts w:hint="eastAsia"/>
                      <w:b/>
                      <w:bCs/>
                      <w:lang w:val="en-US" w:eastAsia="zh-CN"/>
                    </w:rPr>
                    <w:t>接管量</w:t>
                  </w:r>
                  <w:r>
                    <w:rPr>
                      <w:rFonts w:hint="eastAsia"/>
                      <w:b/>
                      <w:bCs/>
                    </w:rPr>
                    <w:t>(t/a)</w:t>
                  </w:r>
                </w:p>
              </w:tc>
              <w:tc>
                <w:tcPr>
                  <w:tcW w:w="497" w:type="pct"/>
                  <w:vMerge w:val="continue"/>
                  <w:tcBorders>
                    <w:tl2br w:val="nil"/>
                    <w:tr2bl w:val="nil"/>
                  </w:tcBorders>
                  <w:noWrap w:val="0"/>
                  <w:tcMar>
                    <w:top w:w="57" w:type="dxa"/>
                    <w:bottom w:w="57" w:type="dxa"/>
                  </w:tcMar>
                  <w:vAlign w:val="center"/>
                </w:tcPr>
                <w:p w14:paraId="2FE29079">
                  <w:pPr>
                    <w:pStyle w:val="41"/>
                    <w:bidi w:val="0"/>
                    <w:rPr>
                      <w:b/>
                      <w:bCs/>
                    </w:rPr>
                  </w:pPr>
                </w:p>
              </w:tc>
              <w:tc>
                <w:tcPr>
                  <w:tcW w:w="254" w:type="pct"/>
                  <w:vMerge w:val="continue"/>
                  <w:tcBorders>
                    <w:tl2br w:val="nil"/>
                    <w:tr2bl w:val="nil"/>
                  </w:tcBorders>
                  <w:noWrap w:val="0"/>
                  <w:tcMar>
                    <w:top w:w="57" w:type="dxa"/>
                    <w:bottom w:w="57" w:type="dxa"/>
                  </w:tcMar>
                  <w:vAlign w:val="center"/>
                </w:tcPr>
                <w:p w14:paraId="21F00044">
                  <w:pPr>
                    <w:pStyle w:val="41"/>
                    <w:bidi w:val="0"/>
                    <w:rPr>
                      <w:b/>
                      <w:bCs/>
                    </w:rPr>
                  </w:pPr>
                </w:p>
              </w:tc>
            </w:tr>
            <w:tr w14:paraId="13D0FF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restart"/>
                  <w:vAlign w:val="center"/>
                </w:tcPr>
                <w:p w14:paraId="27F9BF71">
                  <w:pPr>
                    <w:pStyle w:val="41"/>
                    <w:bidi w:val="0"/>
                    <w:rPr>
                      <w:rFonts w:hint="default"/>
                      <w:lang w:val="en-US" w:eastAsia="zh-CN"/>
                    </w:rPr>
                  </w:pPr>
                  <w:r>
                    <w:rPr>
                      <w:rFonts w:hint="eastAsia"/>
                      <w:lang w:val="en-US" w:eastAsia="zh-CN"/>
                    </w:rPr>
                    <w:t>生活污水2500t/a</w:t>
                  </w:r>
                </w:p>
              </w:tc>
              <w:tc>
                <w:tcPr>
                  <w:tcW w:w="535" w:type="pct"/>
                  <w:shd w:val="clear" w:color="auto" w:fill="auto"/>
                  <w:vAlign w:val="center"/>
                </w:tcPr>
                <w:p w14:paraId="4783BF05">
                  <w:pPr>
                    <w:pStyle w:val="41"/>
                    <w:bidi w:val="0"/>
                    <w:rPr>
                      <w:rFonts w:hint="eastAsia"/>
                      <w:lang w:val="en-US" w:eastAsia="zh-CN"/>
                    </w:rPr>
                  </w:pPr>
                  <w:r>
                    <w:rPr>
                      <w:rFonts w:hint="eastAsia"/>
                    </w:rPr>
                    <w:t>COD</w:t>
                  </w:r>
                </w:p>
              </w:tc>
              <w:tc>
                <w:tcPr>
                  <w:tcW w:w="542" w:type="pct"/>
                  <w:shd w:val="clear" w:color="auto" w:fill="auto"/>
                  <w:vAlign w:val="center"/>
                </w:tcPr>
                <w:p w14:paraId="45ECCCA4">
                  <w:pPr>
                    <w:pStyle w:val="41"/>
                    <w:bidi w:val="0"/>
                    <w:rPr>
                      <w:rFonts w:hint="default"/>
                      <w:lang w:val="en-US" w:eastAsia="zh-CN"/>
                    </w:rPr>
                  </w:pPr>
                  <w:r>
                    <w:rPr>
                      <w:rFonts w:hint="eastAsia"/>
                    </w:rPr>
                    <w:t>400</w:t>
                  </w:r>
                </w:p>
              </w:tc>
              <w:tc>
                <w:tcPr>
                  <w:tcW w:w="499" w:type="pct"/>
                  <w:shd w:val="clear" w:color="auto" w:fill="auto"/>
                  <w:vAlign w:val="center"/>
                </w:tcPr>
                <w:p w14:paraId="0107E3D2">
                  <w:pPr>
                    <w:pStyle w:val="41"/>
                    <w:bidi w:val="0"/>
                    <w:rPr>
                      <w:rFonts w:hint="default"/>
                      <w:lang w:val="en-US" w:eastAsia="zh-CN"/>
                    </w:rPr>
                  </w:pPr>
                  <w:r>
                    <w:rPr>
                      <w:rFonts w:hint="eastAsia"/>
                    </w:rPr>
                    <w:t>1</w:t>
                  </w:r>
                </w:p>
              </w:tc>
              <w:tc>
                <w:tcPr>
                  <w:tcW w:w="430" w:type="pct"/>
                  <w:vMerge w:val="restart"/>
                  <w:vAlign w:val="center"/>
                </w:tcPr>
                <w:p w14:paraId="5B1DC346">
                  <w:pPr>
                    <w:pStyle w:val="41"/>
                    <w:bidi w:val="0"/>
                    <w:rPr>
                      <w:rFonts w:hint="default"/>
                      <w:lang w:val="en-US" w:eastAsia="zh-CN"/>
                    </w:rPr>
                  </w:pPr>
                  <w:r>
                    <w:rPr>
                      <w:rFonts w:hint="eastAsia"/>
                      <w:lang w:val="en-US" w:eastAsia="zh-CN"/>
                    </w:rPr>
                    <w:t>化粪池</w:t>
                  </w:r>
                </w:p>
              </w:tc>
              <w:tc>
                <w:tcPr>
                  <w:tcW w:w="485" w:type="pct"/>
                  <w:shd w:val="clear" w:color="auto" w:fill="auto"/>
                  <w:vAlign w:val="center"/>
                </w:tcPr>
                <w:p w14:paraId="172772C9">
                  <w:pPr>
                    <w:pStyle w:val="41"/>
                    <w:bidi w:val="0"/>
                    <w:rPr>
                      <w:rFonts w:hint="eastAsia"/>
                      <w:lang w:val="en-US" w:eastAsia="zh-CN"/>
                    </w:rPr>
                  </w:pPr>
                  <w:r>
                    <w:t>COD</w:t>
                  </w:r>
                </w:p>
              </w:tc>
              <w:tc>
                <w:tcPr>
                  <w:tcW w:w="497" w:type="pct"/>
                  <w:shd w:val="clear" w:color="auto" w:fill="auto"/>
                  <w:vAlign w:val="center"/>
                </w:tcPr>
                <w:p w14:paraId="218A2537">
                  <w:pPr>
                    <w:pStyle w:val="41"/>
                    <w:bidi w:val="0"/>
                    <w:rPr>
                      <w:rFonts w:hint="default"/>
                      <w:lang w:val="en-US" w:eastAsia="zh-CN"/>
                    </w:rPr>
                  </w:pPr>
                  <w:r>
                    <w:rPr>
                      <w:rFonts w:hint="eastAsia"/>
                    </w:rPr>
                    <w:t>280</w:t>
                  </w:r>
                </w:p>
              </w:tc>
              <w:tc>
                <w:tcPr>
                  <w:tcW w:w="599" w:type="pct"/>
                  <w:shd w:val="clear" w:color="auto" w:fill="auto"/>
                  <w:vAlign w:val="center"/>
                </w:tcPr>
                <w:p w14:paraId="3EC452EB">
                  <w:pPr>
                    <w:pStyle w:val="41"/>
                    <w:bidi w:val="0"/>
                    <w:rPr>
                      <w:rFonts w:hint="eastAsia"/>
                      <w:lang w:val="en-US" w:eastAsia="zh-CN"/>
                    </w:rPr>
                  </w:pPr>
                  <w:r>
                    <w:rPr>
                      <w:rFonts w:hint="eastAsia"/>
                    </w:rPr>
                    <w:t>0.7</w:t>
                  </w:r>
                </w:p>
              </w:tc>
              <w:tc>
                <w:tcPr>
                  <w:tcW w:w="497" w:type="pct"/>
                  <w:shd w:val="clear" w:color="auto" w:fill="auto"/>
                  <w:vAlign w:val="center"/>
                </w:tcPr>
                <w:p w14:paraId="191E2438">
                  <w:pPr>
                    <w:pStyle w:val="41"/>
                    <w:bidi w:val="0"/>
                    <w:rPr>
                      <w:rFonts w:hint="eastAsia"/>
                      <w:lang w:val="en-US" w:eastAsia="zh-CN"/>
                    </w:rPr>
                  </w:pPr>
                  <w:r>
                    <w:rPr>
                      <w:rFonts w:hint="eastAsia"/>
                      <w:lang w:val="en-US" w:eastAsia="zh-CN"/>
                    </w:rPr>
                    <w:t>500</w:t>
                  </w:r>
                </w:p>
              </w:tc>
              <w:tc>
                <w:tcPr>
                  <w:tcW w:w="254" w:type="pct"/>
                  <w:vMerge w:val="restart"/>
                  <w:vAlign w:val="center"/>
                </w:tcPr>
                <w:p w14:paraId="78F983C7">
                  <w:pPr>
                    <w:pStyle w:val="41"/>
                    <w:bidi w:val="0"/>
                    <w:rPr>
                      <w:rFonts w:hint="default" w:eastAsia="宋体"/>
                      <w:lang w:val="en-US" w:eastAsia="zh-CN"/>
                    </w:rPr>
                  </w:pPr>
                  <w:r>
                    <w:rPr>
                      <w:rFonts w:hint="eastAsia"/>
                      <w:lang w:val="en-US" w:eastAsia="zh-CN"/>
                    </w:rPr>
                    <w:t>高新区污水处理厂</w:t>
                  </w:r>
                </w:p>
              </w:tc>
            </w:tr>
            <w:tr w14:paraId="1AB11C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0CD96EFD">
                  <w:pPr>
                    <w:pStyle w:val="41"/>
                    <w:bidi w:val="0"/>
                  </w:pPr>
                </w:p>
              </w:tc>
              <w:tc>
                <w:tcPr>
                  <w:tcW w:w="535" w:type="pct"/>
                  <w:shd w:val="clear" w:color="auto" w:fill="auto"/>
                  <w:vAlign w:val="center"/>
                </w:tcPr>
                <w:p w14:paraId="7101E265">
                  <w:pPr>
                    <w:pStyle w:val="41"/>
                    <w:bidi w:val="0"/>
                    <w:rPr>
                      <w:rFonts w:hint="eastAsia"/>
                      <w:lang w:val="en-US" w:eastAsia="zh-CN"/>
                    </w:rPr>
                  </w:pPr>
                  <w:r>
                    <w:rPr>
                      <w:rFonts w:hint="eastAsia"/>
                    </w:rPr>
                    <w:t>SS</w:t>
                  </w:r>
                </w:p>
              </w:tc>
              <w:tc>
                <w:tcPr>
                  <w:tcW w:w="542" w:type="pct"/>
                  <w:shd w:val="clear" w:color="auto" w:fill="auto"/>
                  <w:vAlign w:val="center"/>
                </w:tcPr>
                <w:p w14:paraId="7C7CC31F">
                  <w:pPr>
                    <w:pStyle w:val="41"/>
                    <w:bidi w:val="0"/>
                    <w:rPr>
                      <w:rFonts w:hint="default"/>
                      <w:lang w:val="en-US" w:eastAsia="zh-CN"/>
                    </w:rPr>
                  </w:pPr>
                  <w:r>
                    <w:rPr>
                      <w:rFonts w:hint="eastAsia"/>
                    </w:rPr>
                    <w:t>400</w:t>
                  </w:r>
                </w:p>
              </w:tc>
              <w:tc>
                <w:tcPr>
                  <w:tcW w:w="499" w:type="pct"/>
                  <w:shd w:val="clear" w:color="auto" w:fill="auto"/>
                  <w:vAlign w:val="center"/>
                </w:tcPr>
                <w:p w14:paraId="3FB254F0">
                  <w:pPr>
                    <w:pStyle w:val="41"/>
                    <w:bidi w:val="0"/>
                    <w:rPr>
                      <w:rFonts w:hint="default"/>
                      <w:lang w:val="en-US" w:eastAsia="zh-CN"/>
                    </w:rPr>
                  </w:pPr>
                  <w:r>
                    <w:rPr>
                      <w:rFonts w:hint="eastAsia"/>
                    </w:rPr>
                    <w:t>1</w:t>
                  </w:r>
                </w:p>
              </w:tc>
              <w:tc>
                <w:tcPr>
                  <w:tcW w:w="430" w:type="pct"/>
                  <w:vMerge w:val="continue"/>
                  <w:vAlign w:val="center"/>
                </w:tcPr>
                <w:p w14:paraId="29C7F0A1">
                  <w:pPr>
                    <w:pStyle w:val="41"/>
                    <w:bidi w:val="0"/>
                    <w:rPr>
                      <w:rFonts w:hint="eastAsia"/>
                      <w:lang w:val="en-US" w:eastAsia="zh-CN"/>
                    </w:rPr>
                  </w:pPr>
                </w:p>
              </w:tc>
              <w:tc>
                <w:tcPr>
                  <w:tcW w:w="485" w:type="pct"/>
                  <w:shd w:val="clear" w:color="auto" w:fill="auto"/>
                  <w:vAlign w:val="center"/>
                </w:tcPr>
                <w:p w14:paraId="41C9D9B0">
                  <w:pPr>
                    <w:pStyle w:val="41"/>
                    <w:bidi w:val="0"/>
                    <w:rPr>
                      <w:rFonts w:hint="eastAsia"/>
                      <w:lang w:val="en-US" w:eastAsia="zh-CN"/>
                    </w:rPr>
                  </w:pPr>
                  <w:r>
                    <w:t>SS</w:t>
                  </w:r>
                </w:p>
              </w:tc>
              <w:tc>
                <w:tcPr>
                  <w:tcW w:w="497" w:type="pct"/>
                  <w:shd w:val="clear" w:color="auto" w:fill="auto"/>
                  <w:vAlign w:val="center"/>
                </w:tcPr>
                <w:p w14:paraId="15240E82">
                  <w:pPr>
                    <w:pStyle w:val="41"/>
                    <w:bidi w:val="0"/>
                    <w:rPr>
                      <w:rFonts w:hint="default"/>
                      <w:lang w:val="en-US" w:eastAsia="zh-CN"/>
                    </w:rPr>
                  </w:pPr>
                  <w:r>
                    <w:rPr>
                      <w:rFonts w:hint="eastAsia"/>
                    </w:rPr>
                    <w:t>200</w:t>
                  </w:r>
                </w:p>
              </w:tc>
              <w:tc>
                <w:tcPr>
                  <w:tcW w:w="599" w:type="pct"/>
                  <w:shd w:val="clear" w:color="auto" w:fill="auto"/>
                  <w:vAlign w:val="center"/>
                </w:tcPr>
                <w:p w14:paraId="6872F4F6">
                  <w:pPr>
                    <w:pStyle w:val="41"/>
                    <w:bidi w:val="0"/>
                    <w:rPr>
                      <w:rFonts w:hint="eastAsia"/>
                      <w:lang w:val="en-US" w:eastAsia="zh-CN"/>
                    </w:rPr>
                  </w:pPr>
                  <w:r>
                    <w:rPr>
                      <w:rFonts w:hint="eastAsia"/>
                    </w:rPr>
                    <w:t>0.5</w:t>
                  </w:r>
                </w:p>
              </w:tc>
              <w:tc>
                <w:tcPr>
                  <w:tcW w:w="497" w:type="pct"/>
                  <w:shd w:val="clear" w:color="auto" w:fill="auto"/>
                  <w:vAlign w:val="center"/>
                </w:tcPr>
                <w:p w14:paraId="4D4D259C">
                  <w:pPr>
                    <w:pStyle w:val="41"/>
                    <w:bidi w:val="0"/>
                    <w:rPr>
                      <w:rFonts w:hint="eastAsia"/>
                      <w:lang w:val="en-US" w:eastAsia="zh-CN"/>
                    </w:rPr>
                  </w:pPr>
                  <w:r>
                    <w:rPr>
                      <w:rFonts w:hint="eastAsia"/>
                      <w:lang w:val="en-US" w:eastAsia="zh-CN"/>
                    </w:rPr>
                    <w:t>400</w:t>
                  </w:r>
                </w:p>
              </w:tc>
              <w:tc>
                <w:tcPr>
                  <w:tcW w:w="254" w:type="pct"/>
                  <w:vMerge w:val="continue"/>
                  <w:vAlign w:val="center"/>
                </w:tcPr>
                <w:p w14:paraId="2CCD78EE">
                  <w:pPr>
                    <w:pStyle w:val="41"/>
                    <w:bidi w:val="0"/>
                  </w:pPr>
                </w:p>
              </w:tc>
            </w:tr>
            <w:tr w14:paraId="1BBC0D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56AB4B52">
                  <w:pPr>
                    <w:pStyle w:val="41"/>
                    <w:bidi w:val="0"/>
                  </w:pPr>
                </w:p>
              </w:tc>
              <w:tc>
                <w:tcPr>
                  <w:tcW w:w="535" w:type="pct"/>
                  <w:shd w:val="clear" w:color="auto" w:fill="auto"/>
                  <w:vAlign w:val="center"/>
                </w:tcPr>
                <w:p w14:paraId="43E2A170">
                  <w:pPr>
                    <w:pStyle w:val="41"/>
                    <w:bidi w:val="0"/>
                    <w:rPr>
                      <w:rFonts w:hint="eastAsia"/>
                      <w:lang w:val="en-US" w:eastAsia="zh-CN"/>
                    </w:rPr>
                  </w:pPr>
                  <w:r>
                    <w:rPr>
                      <w:rFonts w:hint="eastAsia"/>
                    </w:rPr>
                    <w:t>NH</w:t>
                  </w:r>
                  <w:r>
                    <w:rPr>
                      <w:rFonts w:hint="eastAsia"/>
                      <w:vertAlign w:val="subscript"/>
                    </w:rPr>
                    <w:t>3</w:t>
                  </w:r>
                  <w:r>
                    <w:rPr>
                      <w:rFonts w:hint="eastAsia"/>
                    </w:rPr>
                    <w:t>-N</w:t>
                  </w:r>
                </w:p>
              </w:tc>
              <w:tc>
                <w:tcPr>
                  <w:tcW w:w="542" w:type="pct"/>
                  <w:shd w:val="clear" w:color="auto" w:fill="auto"/>
                  <w:vAlign w:val="center"/>
                </w:tcPr>
                <w:p w14:paraId="6475F011">
                  <w:pPr>
                    <w:pStyle w:val="41"/>
                    <w:bidi w:val="0"/>
                    <w:rPr>
                      <w:rFonts w:hint="default"/>
                      <w:lang w:val="en-US" w:eastAsia="zh-CN"/>
                    </w:rPr>
                  </w:pPr>
                  <w:r>
                    <w:rPr>
                      <w:rFonts w:hint="eastAsia"/>
                    </w:rPr>
                    <w:t>20</w:t>
                  </w:r>
                </w:p>
              </w:tc>
              <w:tc>
                <w:tcPr>
                  <w:tcW w:w="499" w:type="pct"/>
                  <w:shd w:val="clear" w:color="auto" w:fill="auto"/>
                  <w:vAlign w:val="center"/>
                </w:tcPr>
                <w:p w14:paraId="638F6BFB">
                  <w:pPr>
                    <w:pStyle w:val="41"/>
                    <w:bidi w:val="0"/>
                    <w:rPr>
                      <w:rFonts w:hint="eastAsia"/>
                      <w:lang w:val="en-US" w:eastAsia="zh-CN"/>
                    </w:rPr>
                  </w:pPr>
                  <w:r>
                    <w:rPr>
                      <w:rFonts w:hint="eastAsia"/>
                    </w:rPr>
                    <w:t>0.05</w:t>
                  </w:r>
                </w:p>
              </w:tc>
              <w:tc>
                <w:tcPr>
                  <w:tcW w:w="430" w:type="pct"/>
                  <w:vMerge w:val="continue"/>
                  <w:vAlign w:val="center"/>
                </w:tcPr>
                <w:p w14:paraId="3D9284CE">
                  <w:pPr>
                    <w:pStyle w:val="41"/>
                    <w:bidi w:val="0"/>
                    <w:rPr>
                      <w:rFonts w:hint="eastAsia"/>
                      <w:lang w:val="en-US" w:eastAsia="zh-CN"/>
                    </w:rPr>
                  </w:pPr>
                </w:p>
              </w:tc>
              <w:tc>
                <w:tcPr>
                  <w:tcW w:w="485" w:type="pct"/>
                  <w:shd w:val="clear" w:color="auto" w:fill="auto"/>
                  <w:vAlign w:val="center"/>
                </w:tcPr>
                <w:p w14:paraId="2FD1941F">
                  <w:pPr>
                    <w:pStyle w:val="41"/>
                    <w:bidi w:val="0"/>
                    <w:rPr>
                      <w:rFonts w:hint="eastAsia"/>
                      <w:lang w:val="en-US" w:eastAsia="zh-CN"/>
                    </w:rPr>
                  </w:pPr>
                  <w:r>
                    <w:t>NH</w:t>
                  </w:r>
                  <w:r>
                    <w:rPr>
                      <w:vertAlign w:val="subscript"/>
                    </w:rPr>
                    <w:t>3</w:t>
                  </w:r>
                  <w:r>
                    <w:t>-N</w:t>
                  </w:r>
                </w:p>
              </w:tc>
              <w:tc>
                <w:tcPr>
                  <w:tcW w:w="497" w:type="pct"/>
                  <w:shd w:val="clear" w:color="auto" w:fill="auto"/>
                  <w:vAlign w:val="center"/>
                </w:tcPr>
                <w:p w14:paraId="650ECF36">
                  <w:pPr>
                    <w:pStyle w:val="41"/>
                    <w:bidi w:val="0"/>
                    <w:rPr>
                      <w:rFonts w:hint="default"/>
                      <w:lang w:val="en-US" w:eastAsia="zh-CN"/>
                    </w:rPr>
                  </w:pPr>
                  <w:r>
                    <w:rPr>
                      <w:rFonts w:hint="eastAsia"/>
                    </w:rPr>
                    <w:t>20</w:t>
                  </w:r>
                </w:p>
              </w:tc>
              <w:tc>
                <w:tcPr>
                  <w:tcW w:w="599" w:type="pct"/>
                  <w:shd w:val="clear" w:color="auto" w:fill="auto"/>
                  <w:vAlign w:val="center"/>
                </w:tcPr>
                <w:p w14:paraId="2CAE4653">
                  <w:pPr>
                    <w:pStyle w:val="41"/>
                    <w:bidi w:val="0"/>
                    <w:rPr>
                      <w:rFonts w:hint="default"/>
                      <w:lang w:val="en-US" w:eastAsia="zh-CN"/>
                    </w:rPr>
                  </w:pPr>
                  <w:r>
                    <w:rPr>
                      <w:rFonts w:hint="eastAsia"/>
                    </w:rPr>
                    <w:t>0.05</w:t>
                  </w:r>
                </w:p>
              </w:tc>
              <w:tc>
                <w:tcPr>
                  <w:tcW w:w="497" w:type="pct"/>
                  <w:shd w:val="clear" w:color="auto" w:fill="auto"/>
                  <w:vAlign w:val="center"/>
                </w:tcPr>
                <w:p w14:paraId="063CD9FB">
                  <w:pPr>
                    <w:pStyle w:val="41"/>
                    <w:bidi w:val="0"/>
                    <w:rPr>
                      <w:rFonts w:hint="default"/>
                      <w:lang w:val="en-US" w:eastAsia="zh-CN"/>
                    </w:rPr>
                  </w:pPr>
                  <w:r>
                    <w:rPr>
                      <w:rFonts w:hint="eastAsia"/>
                      <w:lang w:val="en-US" w:eastAsia="zh-CN"/>
                    </w:rPr>
                    <w:t>20</w:t>
                  </w:r>
                </w:p>
              </w:tc>
              <w:tc>
                <w:tcPr>
                  <w:tcW w:w="254" w:type="pct"/>
                  <w:vMerge w:val="continue"/>
                  <w:vAlign w:val="center"/>
                </w:tcPr>
                <w:p w14:paraId="30A0E6F1">
                  <w:pPr>
                    <w:pStyle w:val="41"/>
                    <w:bidi w:val="0"/>
                  </w:pPr>
                </w:p>
              </w:tc>
            </w:tr>
            <w:tr w14:paraId="012522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71CC9D7C">
                  <w:pPr>
                    <w:pStyle w:val="41"/>
                    <w:bidi w:val="0"/>
                  </w:pPr>
                </w:p>
              </w:tc>
              <w:tc>
                <w:tcPr>
                  <w:tcW w:w="535" w:type="pct"/>
                  <w:shd w:val="clear" w:color="auto" w:fill="auto"/>
                  <w:vAlign w:val="center"/>
                </w:tcPr>
                <w:p w14:paraId="7E5079FD">
                  <w:pPr>
                    <w:pStyle w:val="41"/>
                    <w:bidi w:val="0"/>
                    <w:rPr>
                      <w:rFonts w:hint="eastAsia"/>
                      <w:lang w:val="en-US" w:eastAsia="zh-CN"/>
                    </w:rPr>
                  </w:pPr>
                  <w:r>
                    <w:rPr>
                      <w:rFonts w:hint="eastAsia"/>
                    </w:rPr>
                    <w:t>TN</w:t>
                  </w:r>
                </w:p>
              </w:tc>
              <w:tc>
                <w:tcPr>
                  <w:tcW w:w="542" w:type="pct"/>
                  <w:shd w:val="clear" w:color="auto" w:fill="auto"/>
                  <w:vAlign w:val="center"/>
                </w:tcPr>
                <w:p w14:paraId="4E718ED3">
                  <w:pPr>
                    <w:pStyle w:val="41"/>
                    <w:bidi w:val="0"/>
                    <w:rPr>
                      <w:rFonts w:hint="default"/>
                      <w:lang w:val="en-US" w:eastAsia="zh-CN"/>
                    </w:rPr>
                  </w:pPr>
                  <w:r>
                    <w:rPr>
                      <w:rFonts w:hint="eastAsia"/>
                    </w:rPr>
                    <w:t>30</w:t>
                  </w:r>
                </w:p>
              </w:tc>
              <w:tc>
                <w:tcPr>
                  <w:tcW w:w="499" w:type="pct"/>
                  <w:shd w:val="clear" w:color="auto" w:fill="auto"/>
                  <w:vAlign w:val="center"/>
                </w:tcPr>
                <w:p w14:paraId="3D8D1F15">
                  <w:pPr>
                    <w:pStyle w:val="41"/>
                    <w:bidi w:val="0"/>
                    <w:rPr>
                      <w:rFonts w:hint="default"/>
                      <w:lang w:val="en-US" w:eastAsia="zh-CN"/>
                    </w:rPr>
                  </w:pPr>
                  <w:r>
                    <w:rPr>
                      <w:rFonts w:hint="eastAsia"/>
                    </w:rPr>
                    <w:t>0.075</w:t>
                  </w:r>
                </w:p>
              </w:tc>
              <w:tc>
                <w:tcPr>
                  <w:tcW w:w="430" w:type="pct"/>
                  <w:vMerge w:val="continue"/>
                  <w:vAlign w:val="center"/>
                </w:tcPr>
                <w:p w14:paraId="761EBAEA">
                  <w:pPr>
                    <w:pStyle w:val="41"/>
                    <w:bidi w:val="0"/>
                    <w:rPr>
                      <w:rFonts w:hint="eastAsia"/>
                      <w:lang w:val="en-US" w:eastAsia="zh-CN"/>
                    </w:rPr>
                  </w:pPr>
                </w:p>
              </w:tc>
              <w:tc>
                <w:tcPr>
                  <w:tcW w:w="485" w:type="pct"/>
                  <w:shd w:val="clear" w:color="auto" w:fill="auto"/>
                  <w:vAlign w:val="center"/>
                </w:tcPr>
                <w:p w14:paraId="0A2DA388">
                  <w:pPr>
                    <w:pStyle w:val="41"/>
                    <w:bidi w:val="0"/>
                    <w:rPr>
                      <w:rFonts w:hint="eastAsia"/>
                      <w:lang w:val="en-US" w:eastAsia="zh-CN"/>
                    </w:rPr>
                  </w:pPr>
                  <w:r>
                    <w:rPr>
                      <w:rFonts w:hint="eastAsia"/>
                    </w:rPr>
                    <w:t>TN</w:t>
                  </w:r>
                </w:p>
              </w:tc>
              <w:tc>
                <w:tcPr>
                  <w:tcW w:w="497" w:type="pct"/>
                  <w:shd w:val="clear" w:color="auto" w:fill="auto"/>
                  <w:vAlign w:val="center"/>
                </w:tcPr>
                <w:p w14:paraId="6CCCB780">
                  <w:pPr>
                    <w:pStyle w:val="41"/>
                    <w:bidi w:val="0"/>
                    <w:rPr>
                      <w:rFonts w:hint="default"/>
                      <w:lang w:val="en-US" w:eastAsia="zh-CN"/>
                    </w:rPr>
                  </w:pPr>
                  <w:r>
                    <w:rPr>
                      <w:rFonts w:hint="eastAsia"/>
                    </w:rPr>
                    <w:t>30</w:t>
                  </w:r>
                </w:p>
              </w:tc>
              <w:tc>
                <w:tcPr>
                  <w:tcW w:w="599" w:type="pct"/>
                  <w:shd w:val="clear" w:color="auto" w:fill="auto"/>
                  <w:vAlign w:val="center"/>
                </w:tcPr>
                <w:p w14:paraId="122DC03D">
                  <w:pPr>
                    <w:pStyle w:val="41"/>
                    <w:bidi w:val="0"/>
                    <w:rPr>
                      <w:rFonts w:hint="default"/>
                      <w:lang w:val="en-US" w:eastAsia="zh-CN"/>
                    </w:rPr>
                  </w:pPr>
                  <w:r>
                    <w:rPr>
                      <w:rFonts w:hint="eastAsia"/>
                    </w:rPr>
                    <w:t>0.075</w:t>
                  </w:r>
                </w:p>
              </w:tc>
              <w:tc>
                <w:tcPr>
                  <w:tcW w:w="497" w:type="pct"/>
                  <w:shd w:val="clear" w:color="auto" w:fill="auto"/>
                  <w:vAlign w:val="center"/>
                </w:tcPr>
                <w:p w14:paraId="468D0A31">
                  <w:pPr>
                    <w:pStyle w:val="41"/>
                    <w:bidi w:val="0"/>
                    <w:rPr>
                      <w:rFonts w:hint="default"/>
                      <w:lang w:val="en-US" w:eastAsia="zh-CN"/>
                    </w:rPr>
                  </w:pPr>
                  <w:r>
                    <w:rPr>
                      <w:rFonts w:hint="eastAsia"/>
                      <w:lang w:val="en-US" w:eastAsia="zh-CN"/>
                    </w:rPr>
                    <w:t>30</w:t>
                  </w:r>
                </w:p>
              </w:tc>
              <w:tc>
                <w:tcPr>
                  <w:tcW w:w="254" w:type="pct"/>
                  <w:vMerge w:val="continue"/>
                  <w:vAlign w:val="center"/>
                </w:tcPr>
                <w:p w14:paraId="6D52F4DE">
                  <w:pPr>
                    <w:pStyle w:val="41"/>
                    <w:bidi w:val="0"/>
                  </w:pPr>
                </w:p>
              </w:tc>
            </w:tr>
            <w:tr w14:paraId="2DEC2C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73702643">
                  <w:pPr>
                    <w:pStyle w:val="41"/>
                    <w:bidi w:val="0"/>
                  </w:pPr>
                </w:p>
              </w:tc>
              <w:tc>
                <w:tcPr>
                  <w:tcW w:w="535" w:type="pct"/>
                  <w:shd w:val="clear" w:color="auto" w:fill="auto"/>
                  <w:vAlign w:val="center"/>
                </w:tcPr>
                <w:p w14:paraId="57195636">
                  <w:pPr>
                    <w:pStyle w:val="41"/>
                    <w:bidi w:val="0"/>
                    <w:rPr>
                      <w:rFonts w:hint="eastAsia"/>
                      <w:lang w:val="en-US" w:eastAsia="zh-CN"/>
                    </w:rPr>
                  </w:pPr>
                  <w:r>
                    <w:rPr>
                      <w:rFonts w:hint="eastAsia"/>
                    </w:rPr>
                    <w:t>TP</w:t>
                  </w:r>
                </w:p>
              </w:tc>
              <w:tc>
                <w:tcPr>
                  <w:tcW w:w="542" w:type="pct"/>
                  <w:shd w:val="clear" w:color="auto" w:fill="auto"/>
                  <w:vAlign w:val="center"/>
                </w:tcPr>
                <w:p w14:paraId="67897152">
                  <w:pPr>
                    <w:pStyle w:val="41"/>
                    <w:bidi w:val="0"/>
                    <w:rPr>
                      <w:rFonts w:hint="default"/>
                      <w:lang w:val="en-US" w:eastAsia="zh-CN"/>
                    </w:rPr>
                  </w:pPr>
                  <w:r>
                    <w:rPr>
                      <w:rFonts w:hint="eastAsia"/>
                    </w:rPr>
                    <w:t>4</w:t>
                  </w:r>
                </w:p>
              </w:tc>
              <w:tc>
                <w:tcPr>
                  <w:tcW w:w="499" w:type="pct"/>
                  <w:shd w:val="clear" w:color="auto" w:fill="auto"/>
                  <w:vAlign w:val="center"/>
                </w:tcPr>
                <w:p w14:paraId="183800FD">
                  <w:pPr>
                    <w:pStyle w:val="41"/>
                    <w:bidi w:val="0"/>
                    <w:rPr>
                      <w:rFonts w:hint="default"/>
                      <w:lang w:val="en-US" w:eastAsia="zh-CN"/>
                    </w:rPr>
                  </w:pPr>
                  <w:r>
                    <w:rPr>
                      <w:rFonts w:hint="eastAsia"/>
                    </w:rPr>
                    <w:t>0.01</w:t>
                  </w:r>
                </w:p>
              </w:tc>
              <w:tc>
                <w:tcPr>
                  <w:tcW w:w="430" w:type="pct"/>
                  <w:vMerge w:val="continue"/>
                  <w:vAlign w:val="center"/>
                </w:tcPr>
                <w:p w14:paraId="5A8A617A">
                  <w:pPr>
                    <w:pStyle w:val="41"/>
                    <w:bidi w:val="0"/>
                    <w:rPr>
                      <w:rFonts w:hint="eastAsia"/>
                      <w:lang w:val="en-US" w:eastAsia="zh-CN"/>
                    </w:rPr>
                  </w:pPr>
                </w:p>
              </w:tc>
              <w:tc>
                <w:tcPr>
                  <w:tcW w:w="485" w:type="pct"/>
                  <w:shd w:val="clear" w:color="auto" w:fill="auto"/>
                  <w:vAlign w:val="center"/>
                </w:tcPr>
                <w:p w14:paraId="22E8CE87">
                  <w:pPr>
                    <w:pStyle w:val="41"/>
                    <w:bidi w:val="0"/>
                    <w:rPr>
                      <w:rFonts w:hint="eastAsia"/>
                      <w:lang w:val="en-US" w:eastAsia="zh-CN"/>
                    </w:rPr>
                  </w:pPr>
                  <w:r>
                    <w:rPr>
                      <w:rFonts w:hint="eastAsia"/>
                      <w:lang w:val="en-US" w:eastAsia="zh-CN"/>
                    </w:rPr>
                    <w:t>TP</w:t>
                  </w:r>
                </w:p>
              </w:tc>
              <w:tc>
                <w:tcPr>
                  <w:tcW w:w="497" w:type="pct"/>
                  <w:shd w:val="clear" w:color="auto" w:fill="auto"/>
                  <w:vAlign w:val="center"/>
                </w:tcPr>
                <w:p w14:paraId="15D518CA">
                  <w:pPr>
                    <w:pStyle w:val="41"/>
                    <w:bidi w:val="0"/>
                    <w:rPr>
                      <w:rFonts w:hint="default"/>
                      <w:lang w:val="en-US" w:eastAsia="zh-CN"/>
                    </w:rPr>
                  </w:pPr>
                  <w:r>
                    <w:rPr>
                      <w:rFonts w:hint="eastAsia"/>
                    </w:rPr>
                    <w:t>4</w:t>
                  </w:r>
                </w:p>
              </w:tc>
              <w:tc>
                <w:tcPr>
                  <w:tcW w:w="599" w:type="pct"/>
                  <w:shd w:val="clear" w:color="auto" w:fill="auto"/>
                  <w:vAlign w:val="center"/>
                </w:tcPr>
                <w:p w14:paraId="10DFC4FD">
                  <w:pPr>
                    <w:pStyle w:val="41"/>
                    <w:bidi w:val="0"/>
                    <w:rPr>
                      <w:rFonts w:hint="default"/>
                      <w:lang w:val="en-US" w:eastAsia="zh-CN"/>
                    </w:rPr>
                  </w:pPr>
                  <w:r>
                    <w:rPr>
                      <w:rFonts w:hint="eastAsia"/>
                    </w:rPr>
                    <w:t>0.01</w:t>
                  </w:r>
                </w:p>
              </w:tc>
              <w:tc>
                <w:tcPr>
                  <w:tcW w:w="497" w:type="pct"/>
                  <w:shd w:val="clear" w:color="auto" w:fill="auto"/>
                  <w:vAlign w:val="center"/>
                </w:tcPr>
                <w:p w14:paraId="6D72DE6D">
                  <w:pPr>
                    <w:pStyle w:val="41"/>
                    <w:bidi w:val="0"/>
                    <w:rPr>
                      <w:rFonts w:hint="eastAsia"/>
                      <w:lang w:val="en-US" w:eastAsia="zh-CN"/>
                    </w:rPr>
                  </w:pPr>
                  <w:r>
                    <w:rPr>
                      <w:rFonts w:hint="eastAsia"/>
                      <w:lang w:val="en-US" w:eastAsia="zh-CN"/>
                    </w:rPr>
                    <w:t>4</w:t>
                  </w:r>
                </w:p>
              </w:tc>
              <w:tc>
                <w:tcPr>
                  <w:tcW w:w="254" w:type="pct"/>
                  <w:vMerge w:val="continue"/>
                  <w:vAlign w:val="center"/>
                </w:tcPr>
                <w:p w14:paraId="131C0640">
                  <w:pPr>
                    <w:pStyle w:val="41"/>
                    <w:bidi w:val="0"/>
                  </w:pPr>
                </w:p>
              </w:tc>
            </w:tr>
            <w:tr w14:paraId="1A39C5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restart"/>
                  <w:vAlign w:val="center"/>
                </w:tcPr>
                <w:p w14:paraId="46DC03F3">
                  <w:pPr>
                    <w:pStyle w:val="41"/>
                    <w:bidi w:val="0"/>
                    <w:rPr>
                      <w:rFonts w:hint="default"/>
                      <w:lang w:val="en-US" w:eastAsia="zh-CN"/>
                    </w:rPr>
                  </w:pPr>
                  <w:r>
                    <w:rPr>
                      <w:rFonts w:hint="eastAsia"/>
                      <w:lang w:val="en-US" w:eastAsia="zh-CN"/>
                    </w:rPr>
                    <w:t>仪器及器皿后续清洗废水1575t/a</w:t>
                  </w:r>
                </w:p>
              </w:tc>
              <w:tc>
                <w:tcPr>
                  <w:tcW w:w="535" w:type="pct"/>
                  <w:shd w:val="clear" w:color="auto" w:fill="auto"/>
                  <w:vAlign w:val="center"/>
                </w:tcPr>
                <w:p w14:paraId="418AE4EC">
                  <w:pPr>
                    <w:pStyle w:val="41"/>
                    <w:bidi w:val="0"/>
                    <w:rPr>
                      <w:rFonts w:hint="eastAsia"/>
                      <w:lang w:val="en-US" w:eastAsia="zh-CN"/>
                    </w:rPr>
                  </w:pPr>
                  <w:r>
                    <w:rPr>
                      <w:rFonts w:hint="eastAsia"/>
                    </w:rPr>
                    <w:t>COD</w:t>
                  </w:r>
                </w:p>
              </w:tc>
              <w:tc>
                <w:tcPr>
                  <w:tcW w:w="542" w:type="pct"/>
                  <w:shd w:val="clear" w:color="auto" w:fill="auto"/>
                  <w:vAlign w:val="center"/>
                </w:tcPr>
                <w:p w14:paraId="25C3A4E9">
                  <w:pPr>
                    <w:pStyle w:val="41"/>
                    <w:bidi w:val="0"/>
                    <w:rPr>
                      <w:rFonts w:hint="default" w:eastAsia="宋体"/>
                      <w:lang w:val="en-US" w:eastAsia="zh-CN"/>
                    </w:rPr>
                  </w:pPr>
                  <w:r>
                    <w:rPr>
                      <w:rFonts w:hint="eastAsia"/>
                      <w:lang w:val="en-US" w:eastAsia="zh-CN"/>
                    </w:rPr>
                    <w:t>600</w:t>
                  </w:r>
                </w:p>
              </w:tc>
              <w:tc>
                <w:tcPr>
                  <w:tcW w:w="499" w:type="pct"/>
                  <w:shd w:val="clear" w:color="auto" w:fill="auto"/>
                  <w:vAlign w:val="center"/>
                </w:tcPr>
                <w:p w14:paraId="5225121A">
                  <w:pPr>
                    <w:pStyle w:val="41"/>
                    <w:bidi w:val="0"/>
                    <w:rPr>
                      <w:rFonts w:hint="default" w:eastAsia="宋体"/>
                      <w:lang w:val="en-US" w:eastAsia="zh-CN"/>
                    </w:rPr>
                  </w:pPr>
                  <w:r>
                    <w:rPr>
                      <w:rFonts w:hint="eastAsia"/>
                    </w:rPr>
                    <w:t>0.</w:t>
                  </w:r>
                  <w:r>
                    <w:rPr>
                      <w:rFonts w:hint="eastAsia"/>
                      <w:lang w:val="en-US" w:eastAsia="zh-CN"/>
                    </w:rPr>
                    <w:t>945</w:t>
                  </w:r>
                </w:p>
              </w:tc>
              <w:tc>
                <w:tcPr>
                  <w:tcW w:w="430" w:type="pct"/>
                  <w:vMerge w:val="restart"/>
                  <w:vAlign w:val="center"/>
                </w:tcPr>
                <w:p w14:paraId="1A12FD48">
                  <w:pPr>
                    <w:pStyle w:val="41"/>
                    <w:bidi w:val="0"/>
                    <w:rPr>
                      <w:rFonts w:hint="default"/>
                      <w:lang w:val="en-US" w:eastAsia="zh-CN"/>
                    </w:rPr>
                  </w:pPr>
                  <w:r>
                    <w:rPr>
                      <w:rFonts w:hint="eastAsia"/>
                      <w:lang w:val="en-US" w:eastAsia="zh-CN"/>
                    </w:rPr>
                    <w:t>污水处理站（1号楼）TW003</w:t>
                  </w:r>
                </w:p>
              </w:tc>
              <w:tc>
                <w:tcPr>
                  <w:tcW w:w="485" w:type="pct"/>
                  <w:shd w:val="clear" w:color="auto" w:fill="auto"/>
                  <w:vAlign w:val="center"/>
                </w:tcPr>
                <w:p w14:paraId="26E4AB02">
                  <w:pPr>
                    <w:pStyle w:val="41"/>
                    <w:bidi w:val="0"/>
                    <w:rPr>
                      <w:rFonts w:hint="eastAsia"/>
                      <w:lang w:val="en-US" w:eastAsia="zh-CN"/>
                    </w:rPr>
                  </w:pPr>
                  <w:r>
                    <w:t>COD</w:t>
                  </w:r>
                </w:p>
              </w:tc>
              <w:tc>
                <w:tcPr>
                  <w:tcW w:w="497" w:type="pct"/>
                  <w:shd w:val="clear" w:color="auto" w:fill="auto"/>
                  <w:vAlign w:val="center"/>
                </w:tcPr>
                <w:p w14:paraId="33E348DA">
                  <w:pPr>
                    <w:pStyle w:val="41"/>
                    <w:bidi w:val="0"/>
                    <w:jc w:val="center"/>
                    <w:rPr>
                      <w:rFonts w:hint="default"/>
                      <w:lang w:val="en-US" w:eastAsia="zh-CN"/>
                    </w:rPr>
                  </w:pPr>
                  <w:r>
                    <w:rPr>
                      <w:rFonts w:hint="eastAsia"/>
                    </w:rPr>
                    <w:t>192.86</w:t>
                  </w:r>
                </w:p>
              </w:tc>
              <w:tc>
                <w:tcPr>
                  <w:tcW w:w="599" w:type="pct"/>
                  <w:shd w:val="clear" w:color="auto" w:fill="auto"/>
                  <w:vAlign w:val="center"/>
                </w:tcPr>
                <w:p w14:paraId="59D50302">
                  <w:pPr>
                    <w:pStyle w:val="41"/>
                    <w:bidi w:val="0"/>
                    <w:jc w:val="center"/>
                    <w:rPr>
                      <w:rFonts w:hint="eastAsia"/>
                      <w:lang w:val="en-US" w:eastAsia="zh-CN"/>
                    </w:rPr>
                  </w:pPr>
                  <w:r>
                    <w:rPr>
                      <w:rFonts w:hint="eastAsia"/>
                    </w:rPr>
                    <w:t>0.5300</w:t>
                  </w:r>
                </w:p>
              </w:tc>
              <w:tc>
                <w:tcPr>
                  <w:tcW w:w="497" w:type="pct"/>
                  <w:shd w:val="clear" w:color="auto" w:fill="auto"/>
                  <w:vAlign w:val="center"/>
                </w:tcPr>
                <w:p w14:paraId="49CCE455">
                  <w:pPr>
                    <w:pStyle w:val="41"/>
                    <w:bidi w:val="0"/>
                    <w:rPr>
                      <w:rFonts w:hint="eastAsia"/>
                      <w:lang w:val="en-US" w:eastAsia="zh-CN"/>
                    </w:rPr>
                  </w:pPr>
                  <w:r>
                    <w:rPr>
                      <w:rFonts w:hint="eastAsia"/>
                      <w:lang w:val="en-US" w:eastAsia="zh-CN"/>
                    </w:rPr>
                    <w:t>500</w:t>
                  </w:r>
                </w:p>
              </w:tc>
              <w:tc>
                <w:tcPr>
                  <w:tcW w:w="254" w:type="pct"/>
                  <w:vMerge w:val="continue"/>
                  <w:vAlign w:val="center"/>
                </w:tcPr>
                <w:p w14:paraId="1036A0EC">
                  <w:pPr>
                    <w:pStyle w:val="41"/>
                    <w:bidi w:val="0"/>
                  </w:pPr>
                </w:p>
              </w:tc>
            </w:tr>
            <w:tr w14:paraId="7E1CAF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7A5C088F">
                  <w:pPr>
                    <w:pStyle w:val="41"/>
                    <w:bidi w:val="0"/>
                  </w:pPr>
                </w:p>
              </w:tc>
              <w:tc>
                <w:tcPr>
                  <w:tcW w:w="535" w:type="pct"/>
                  <w:shd w:val="clear" w:color="auto" w:fill="auto"/>
                  <w:vAlign w:val="center"/>
                </w:tcPr>
                <w:p w14:paraId="6E56E101">
                  <w:pPr>
                    <w:pStyle w:val="41"/>
                    <w:bidi w:val="0"/>
                    <w:rPr>
                      <w:rFonts w:hint="eastAsia"/>
                      <w:lang w:val="en-US" w:eastAsia="zh-CN"/>
                    </w:rPr>
                  </w:pPr>
                  <w:r>
                    <w:rPr>
                      <w:rFonts w:hint="eastAsia"/>
                    </w:rPr>
                    <w:t>SS</w:t>
                  </w:r>
                </w:p>
              </w:tc>
              <w:tc>
                <w:tcPr>
                  <w:tcW w:w="542" w:type="pct"/>
                  <w:shd w:val="clear" w:color="auto" w:fill="auto"/>
                  <w:vAlign w:val="center"/>
                </w:tcPr>
                <w:p w14:paraId="7B9C8EC5">
                  <w:pPr>
                    <w:pStyle w:val="41"/>
                    <w:bidi w:val="0"/>
                    <w:rPr>
                      <w:rFonts w:hint="default"/>
                      <w:lang w:val="en-US" w:eastAsia="zh-CN"/>
                    </w:rPr>
                  </w:pPr>
                  <w:r>
                    <w:rPr>
                      <w:rFonts w:hint="eastAsia"/>
                    </w:rPr>
                    <w:t>200</w:t>
                  </w:r>
                </w:p>
              </w:tc>
              <w:tc>
                <w:tcPr>
                  <w:tcW w:w="499" w:type="pct"/>
                  <w:shd w:val="clear" w:color="auto" w:fill="auto"/>
                  <w:vAlign w:val="center"/>
                </w:tcPr>
                <w:p w14:paraId="5E428347">
                  <w:pPr>
                    <w:pStyle w:val="41"/>
                    <w:bidi w:val="0"/>
                    <w:rPr>
                      <w:rFonts w:hint="eastAsia"/>
                      <w:lang w:val="en-US" w:eastAsia="zh-CN"/>
                    </w:rPr>
                  </w:pPr>
                  <w:r>
                    <w:rPr>
                      <w:rFonts w:hint="eastAsia"/>
                    </w:rPr>
                    <w:t>0.315</w:t>
                  </w:r>
                </w:p>
              </w:tc>
              <w:tc>
                <w:tcPr>
                  <w:tcW w:w="430" w:type="pct"/>
                  <w:vMerge w:val="continue"/>
                  <w:vAlign w:val="center"/>
                </w:tcPr>
                <w:p w14:paraId="62A0F236">
                  <w:pPr>
                    <w:pStyle w:val="41"/>
                    <w:bidi w:val="0"/>
                    <w:rPr>
                      <w:rFonts w:hint="eastAsia"/>
                      <w:lang w:val="en-US" w:eastAsia="zh-CN"/>
                    </w:rPr>
                  </w:pPr>
                </w:p>
              </w:tc>
              <w:tc>
                <w:tcPr>
                  <w:tcW w:w="485" w:type="pct"/>
                  <w:shd w:val="clear" w:color="auto" w:fill="auto"/>
                  <w:vAlign w:val="center"/>
                </w:tcPr>
                <w:p w14:paraId="502CF1B0">
                  <w:pPr>
                    <w:pStyle w:val="41"/>
                    <w:bidi w:val="0"/>
                    <w:rPr>
                      <w:rFonts w:hint="eastAsia"/>
                      <w:lang w:val="en-US" w:eastAsia="zh-CN"/>
                    </w:rPr>
                  </w:pPr>
                  <w:r>
                    <w:t>SS</w:t>
                  </w:r>
                </w:p>
              </w:tc>
              <w:tc>
                <w:tcPr>
                  <w:tcW w:w="497" w:type="pct"/>
                  <w:shd w:val="clear" w:color="auto" w:fill="auto"/>
                  <w:vAlign w:val="center"/>
                </w:tcPr>
                <w:p w14:paraId="12191AB8">
                  <w:pPr>
                    <w:pStyle w:val="41"/>
                    <w:bidi w:val="0"/>
                    <w:jc w:val="center"/>
                    <w:rPr>
                      <w:rFonts w:hint="eastAsia"/>
                      <w:lang w:val="en-US" w:eastAsia="zh-CN"/>
                    </w:rPr>
                  </w:pPr>
                  <w:r>
                    <w:rPr>
                      <w:rFonts w:hint="eastAsia"/>
                    </w:rPr>
                    <w:t>99.57</w:t>
                  </w:r>
                </w:p>
              </w:tc>
              <w:tc>
                <w:tcPr>
                  <w:tcW w:w="599" w:type="pct"/>
                  <w:shd w:val="clear" w:color="auto" w:fill="auto"/>
                  <w:vAlign w:val="center"/>
                </w:tcPr>
                <w:p w14:paraId="7BA10B02">
                  <w:pPr>
                    <w:pStyle w:val="41"/>
                    <w:bidi w:val="0"/>
                    <w:jc w:val="center"/>
                    <w:rPr>
                      <w:rFonts w:hint="eastAsia"/>
                      <w:lang w:val="en-US" w:eastAsia="zh-CN"/>
                    </w:rPr>
                  </w:pPr>
                  <w:r>
                    <w:rPr>
                      <w:rFonts w:hint="eastAsia"/>
                    </w:rPr>
                    <w:t>0.2736</w:t>
                  </w:r>
                </w:p>
              </w:tc>
              <w:tc>
                <w:tcPr>
                  <w:tcW w:w="497" w:type="pct"/>
                  <w:shd w:val="clear" w:color="auto" w:fill="auto"/>
                  <w:vAlign w:val="center"/>
                </w:tcPr>
                <w:p w14:paraId="31E1369B">
                  <w:pPr>
                    <w:pStyle w:val="41"/>
                    <w:bidi w:val="0"/>
                    <w:rPr>
                      <w:rFonts w:hint="eastAsia"/>
                      <w:lang w:val="en-US" w:eastAsia="zh-CN"/>
                    </w:rPr>
                  </w:pPr>
                  <w:r>
                    <w:rPr>
                      <w:rFonts w:hint="eastAsia"/>
                      <w:lang w:val="en-US" w:eastAsia="zh-CN"/>
                    </w:rPr>
                    <w:t>400</w:t>
                  </w:r>
                </w:p>
              </w:tc>
              <w:tc>
                <w:tcPr>
                  <w:tcW w:w="254" w:type="pct"/>
                  <w:vMerge w:val="continue"/>
                  <w:vAlign w:val="center"/>
                </w:tcPr>
                <w:p w14:paraId="466200C7">
                  <w:pPr>
                    <w:pStyle w:val="41"/>
                    <w:bidi w:val="0"/>
                  </w:pPr>
                </w:p>
              </w:tc>
            </w:tr>
            <w:tr w14:paraId="6DB7F8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18E8D206">
                  <w:pPr>
                    <w:pStyle w:val="41"/>
                    <w:bidi w:val="0"/>
                  </w:pPr>
                </w:p>
              </w:tc>
              <w:tc>
                <w:tcPr>
                  <w:tcW w:w="535" w:type="pct"/>
                  <w:shd w:val="clear" w:color="auto" w:fill="auto"/>
                  <w:vAlign w:val="center"/>
                </w:tcPr>
                <w:p w14:paraId="4134D8B0">
                  <w:pPr>
                    <w:pStyle w:val="41"/>
                    <w:bidi w:val="0"/>
                    <w:rPr>
                      <w:rFonts w:hint="eastAsia"/>
                      <w:lang w:val="en-US" w:eastAsia="zh-CN"/>
                    </w:rPr>
                  </w:pPr>
                  <w:r>
                    <w:rPr>
                      <w:rFonts w:hint="eastAsia"/>
                    </w:rPr>
                    <w:t>NH</w:t>
                  </w:r>
                  <w:r>
                    <w:rPr>
                      <w:rFonts w:hint="eastAsia"/>
                      <w:vertAlign w:val="subscript"/>
                    </w:rPr>
                    <w:t>3</w:t>
                  </w:r>
                  <w:r>
                    <w:rPr>
                      <w:rFonts w:hint="eastAsia"/>
                    </w:rPr>
                    <w:t>-N</w:t>
                  </w:r>
                </w:p>
              </w:tc>
              <w:tc>
                <w:tcPr>
                  <w:tcW w:w="542" w:type="pct"/>
                  <w:shd w:val="clear" w:color="auto" w:fill="auto"/>
                  <w:vAlign w:val="center"/>
                </w:tcPr>
                <w:p w14:paraId="61BD5140">
                  <w:pPr>
                    <w:pStyle w:val="41"/>
                    <w:bidi w:val="0"/>
                    <w:rPr>
                      <w:rFonts w:hint="default"/>
                      <w:lang w:val="en-US" w:eastAsia="zh-CN"/>
                    </w:rPr>
                  </w:pPr>
                  <w:r>
                    <w:rPr>
                      <w:rFonts w:hint="eastAsia"/>
                    </w:rPr>
                    <w:t>10</w:t>
                  </w:r>
                </w:p>
              </w:tc>
              <w:tc>
                <w:tcPr>
                  <w:tcW w:w="499" w:type="pct"/>
                  <w:shd w:val="clear" w:color="auto" w:fill="auto"/>
                  <w:vAlign w:val="center"/>
                </w:tcPr>
                <w:p w14:paraId="4EB90871">
                  <w:pPr>
                    <w:pStyle w:val="41"/>
                    <w:bidi w:val="0"/>
                    <w:rPr>
                      <w:rFonts w:hint="eastAsia" w:eastAsia="宋体"/>
                      <w:lang w:val="en-US" w:eastAsia="zh-CN"/>
                    </w:rPr>
                  </w:pPr>
                  <w:r>
                    <w:rPr>
                      <w:rFonts w:hint="eastAsia"/>
                    </w:rPr>
                    <w:t>0.015</w:t>
                  </w:r>
                  <w:r>
                    <w:rPr>
                      <w:rFonts w:hint="eastAsia"/>
                      <w:lang w:val="en-US" w:eastAsia="zh-CN"/>
                    </w:rPr>
                    <w:t>8</w:t>
                  </w:r>
                </w:p>
              </w:tc>
              <w:tc>
                <w:tcPr>
                  <w:tcW w:w="430" w:type="pct"/>
                  <w:vMerge w:val="continue"/>
                  <w:vAlign w:val="center"/>
                </w:tcPr>
                <w:p w14:paraId="02B3AC2A">
                  <w:pPr>
                    <w:pStyle w:val="41"/>
                    <w:bidi w:val="0"/>
                    <w:rPr>
                      <w:rFonts w:hint="eastAsia"/>
                      <w:lang w:val="en-US" w:eastAsia="zh-CN"/>
                    </w:rPr>
                  </w:pPr>
                </w:p>
              </w:tc>
              <w:tc>
                <w:tcPr>
                  <w:tcW w:w="485" w:type="pct"/>
                  <w:shd w:val="clear" w:color="auto" w:fill="auto"/>
                  <w:vAlign w:val="center"/>
                </w:tcPr>
                <w:p w14:paraId="7B789103">
                  <w:pPr>
                    <w:pStyle w:val="41"/>
                    <w:bidi w:val="0"/>
                    <w:rPr>
                      <w:rFonts w:hint="eastAsia"/>
                      <w:lang w:val="en-US" w:eastAsia="zh-CN"/>
                    </w:rPr>
                  </w:pPr>
                  <w:r>
                    <w:t>NH</w:t>
                  </w:r>
                  <w:r>
                    <w:rPr>
                      <w:vertAlign w:val="subscript"/>
                    </w:rPr>
                    <w:t>3</w:t>
                  </w:r>
                  <w:r>
                    <w:t>-N</w:t>
                  </w:r>
                </w:p>
              </w:tc>
              <w:tc>
                <w:tcPr>
                  <w:tcW w:w="497" w:type="pct"/>
                  <w:shd w:val="clear" w:color="auto" w:fill="auto"/>
                  <w:vAlign w:val="center"/>
                </w:tcPr>
                <w:p w14:paraId="077CCEAB">
                  <w:pPr>
                    <w:pStyle w:val="41"/>
                    <w:bidi w:val="0"/>
                    <w:jc w:val="center"/>
                    <w:rPr>
                      <w:rFonts w:hint="default"/>
                      <w:lang w:val="en-US" w:eastAsia="zh-CN"/>
                    </w:rPr>
                  </w:pPr>
                  <w:r>
                    <w:rPr>
                      <w:rFonts w:hint="eastAsia"/>
                    </w:rPr>
                    <w:t>5.79</w:t>
                  </w:r>
                </w:p>
              </w:tc>
              <w:tc>
                <w:tcPr>
                  <w:tcW w:w="599" w:type="pct"/>
                  <w:shd w:val="clear" w:color="auto" w:fill="auto"/>
                  <w:vAlign w:val="center"/>
                </w:tcPr>
                <w:p w14:paraId="0804A07B">
                  <w:pPr>
                    <w:pStyle w:val="41"/>
                    <w:bidi w:val="0"/>
                    <w:jc w:val="center"/>
                    <w:rPr>
                      <w:rFonts w:hint="eastAsia"/>
                      <w:lang w:val="en-US" w:eastAsia="zh-CN"/>
                    </w:rPr>
                  </w:pPr>
                  <w:r>
                    <w:rPr>
                      <w:rFonts w:hint="eastAsia"/>
                    </w:rPr>
                    <w:t>0.0159</w:t>
                  </w:r>
                </w:p>
              </w:tc>
              <w:tc>
                <w:tcPr>
                  <w:tcW w:w="497" w:type="pct"/>
                  <w:shd w:val="clear" w:color="auto" w:fill="auto"/>
                  <w:vAlign w:val="center"/>
                </w:tcPr>
                <w:p w14:paraId="61410893">
                  <w:pPr>
                    <w:pStyle w:val="41"/>
                    <w:bidi w:val="0"/>
                    <w:rPr>
                      <w:rFonts w:hint="eastAsia"/>
                      <w:lang w:val="en-US" w:eastAsia="zh-CN"/>
                    </w:rPr>
                  </w:pPr>
                  <w:r>
                    <w:rPr>
                      <w:rFonts w:hint="eastAsia"/>
                      <w:lang w:val="en-US" w:eastAsia="zh-CN"/>
                    </w:rPr>
                    <w:t>20</w:t>
                  </w:r>
                </w:p>
              </w:tc>
              <w:tc>
                <w:tcPr>
                  <w:tcW w:w="254" w:type="pct"/>
                  <w:vMerge w:val="continue"/>
                  <w:vAlign w:val="center"/>
                </w:tcPr>
                <w:p w14:paraId="7F50BEB4">
                  <w:pPr>
                    <w:pStyle w:val="41"/>
                    <w:bidi w:val="0"/>
                  </w:pPr>
                </w:p>
              </w:tc>
            </w:tr>
            <w:tr w14:paraId="223B23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695E98AA">
                  <w:pPr>
                    <w:pStyle w:val="41"/>
                    <w:bidi w:val="0"/>
                  </w:pPr>
                </w:p>
              </w:tc>
              <w:tc>
                <w:tcPr>
                  <w:tcW w:w="535" w:type="pct"/>
                  <w:shd w:val="clear" w:color="auto" w:fill="auto"/>
                  <w:vAlign w:val="center"/>
                </w:tcPr>
                <w:p w14:paraId="1D80B579">
                  <w:pPr>
                    <w:pStyle w:val="41"/>
                    <w:bidi w:val="0"/>
                    <w:rPr>
                      <w:rFonts w:hint="eastAsia"/>
                      <w:lang w:val="en-US" w:eastAsia="zh-CN"/>
                    </w:rPr>
                  </w:pPr>
                  <w:r>
                    <w:rPr>
                      <w:rFonts w:hint="eastAsia"/>
                    </w:rPr>
                    <w:t>TN</w:t>
                  </w:r>
                </w:p>
              </w:tc>
              <w:tc>
                <w:tcPr>
                  <w:tcW w:w="542" w:type="pct"/>
                  <w:shd w:val="clear" w:color="auto" w:fill="auto"/>
                  <w:vAlign w:val="center"/>
                </w:tcPr>
                <w:p w14:paraId="2B48F358">
                  <w:pPr>
                    <w:pStyle w:val="41"/>
                    <w:bidi w:val="0"/>
                    <w:rPr>
                      <w:rFonts w:hint="default"/>
                      <w:lang w:val="en-US" w:eastAsia="zh-CN"/>
                    </w:rPr>
                  </w:pPr>
                  <w:r>
                    <w:rPr>
                      <w:rFonts w:hint="eastAsia"/>
                    </w:rPr>
                    <w:t>15</w:t>
                  </w:r>
                </w:p>
              </w:tc>
              <w:tc>
                <w:tcPr>
                  <w:tcW w:w="499" w:type="pct"/>
                  <w:shd w:val="clear" w:color="auto" w:fill="auto"/>
                  <w:vAlign w:val="center"/>
                </w:tcPr>
                <w:p w14:paraId="17C4CD4D">
                  <w:pPr>
                    <w:pStyle w:val="41"/>
                    <w:bidi w:val="0"/>
                    <w:rPr>
                      <w:rFonts w:hint="eastAsia"/>
                      <w:lang w:val="en-US" w:eastAsia="zh-CN"/>
                    </w:rPr>
                  </w:pPr>
                  <w:r>
                    <w:rPr>
                      <w:rFonts w:hint="eastAsia"/>
                    </w:rPr>
                    <w:t>0.0236</w:t>
                  </w:r>
                </w:p>
              </w:tc>
              <w:tc>
                <w:tcPr>
                  <w:tcW w:w="430" w:type="pct"/>
                  <w:vMerge w:val="continue"/>
                  <w:vAlign w:val="center"/>
                </w:tcPr>
                <w:p w14:paraId="0223B3AD">
                  <w:pPr>
                    <w:pStyle w:val="41"/>
                    <w:bidi w:val="0"/>
                    <w:rPr>
                      <w:rFonts w:hint="eastAsia"/>
                      <w:lang w:val="en-US" w:eastAsia="zh-CN"/>
                    </w:rPr>
                  </w:pPr>
                </w:p>
              </w:tc>
              <w:tc>
                <w:tcPr>
                  <w:tcW w:w="485" w:type="pct"/>
                  <w:shd w:val="clear" w:color="auto" w:fill="auto"/>
                  <w:vAlign w:val="center"/>
                </w:tcPr>
                <w:p w14:paraId="233C39B7">
                  <w:pPr>
                    <w:pStyle w:val="41"/>
                    <w:bidi w:val="0"/>
                    <w:rPr>
                      <w:rFonts w:hint="eastAsia"/>
                      <w:lang w:val="en-US" w:eastAsia="zh-CN"/>
                    </w:rPr>
                  </w:pPr>
                  <w:r>
                    <w:rPr>
                      <w:rFonts w:hint="eastAsia"/>
                    </w:rPr>
                    <w:t>TN</w:t>
                  </w:r>
                </w:p>
              </w:tc>
              <w:tc>
                <w:tcPr>
                  <w:tcW w:w="497" w:type="pct"/>
                  <w:shd w:val="clear" w:color="auto" w:fill="auto"/>
                  <w:vAlign w:val="center"/>
                </w:tcPr>
                <w:p w14:paraId="0014D43A">
                  <w:pPr>
                    <w:pStyle w:val="41"/>
                    <w:bidi w:val="0"/>
                    <w:jc w:val="center"/>
                    <w:rPr>
                      <w:rFonts w:hint="default"/>
                      <w:lang w:val="en-US" w:eastAsia="zh-CN"/>
                    </w:rPr>
                  </w:pPr>
                  <w:r>
                    <w:rPr>
                      <w:rFonts w:hint="eastAsia"/>
                    </w:rPr>
                    <w:t>7.96</w:t>
                  </w:r>
                </w:p>
              </w:tc>
              <w:tc>
                <w:tcPr>
                  <w:tcW w:w="599" w:type="pct"/>
                  <w:shd w:val="clear" w:color="auto" w:fill="auto"/>
                  <w:vAlign w:val="center"/>
                </w:tcPr>
                <w:p w14:paraId="4BF60649">
                  <w:pPr>
                    <w:pStyle w:val="41"/>
                    <w:bidi w:val="0"/>
                    <w:jc w:val="center"/>
                    <w:rPr>
                      <w:rFonts w:hint="eastAsia"/>
                      <w:lang w:val="en-US" w:eastAsia="zh-CN"/>
                    </w:rPr>
                  </w:pPr>
                  <w:r>
                    <w:rPr>
                      <w:rFonts w:hint="eastAsia"/>
                    </w:rPr>
                    <w:t>0.0219</w:t>
                  </w:r>
                </w:p>
              </w:tc>
              <w:tc>
                <w:tcPr>
                  <w:tcW w:w="497" w:type="pct"/>
                  <w:shd w:val="clear" w:color="auto" w:fill="auto"/>
                  <w:vAlign w:val="center"/>
                </w:tcPr>
                <w:p w14:paraId="1D9BF98A">
                  <w:pPr>
                    <w:pStyle w:val="41"/>
                    <w:bidi w:val="0"/>
                    <w:rPr>
                      <w:rFonts w:hint="eastAsia"/>
                      <w:lang w:val="en-US" w:eastAsia="zh-CN"/>
                    </w:rPr>
                  </w:pPr>
                  <w:r>
                    <w:rPr>
                      <w:rFonts w:hint="eastAsia"/>
                      <w:lang w:val="en-US" w:eastAsia="zh-CN"/>
                    </w:rPr>
                    <w:t>30</w:t>
                  </w:r>
                </w:p>
              </w:tc>
              <w:tc>
                <w:tcPr>
                  <w:tcW w:w="254" w:type="pct"/>
                  <w:vMerge w:val="continue"/>
                  <w:vAlign w:val="center"/>
                </w:tcPr>
                <w:p w14:paraId="36103EB6">
                  <w:pPr>
                    <w:pStyle w:val="41"/>
                    <w:bidi w:val="0"/>
                  </w:pPr>
                </w:p>
              </w:tc>
            </w:tr>
            <w:tr w14:paraId="1540FB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45D0ADD4">
                  <w:pPr>
                    <w:pStyle w:val="41"/>
                    <w:bidi w:val="0"/>
                  </w:pPr>
                </w:p>
              </w:tc>
              <w:tc>
                <w:tcPr>
                  <w:tcW w:w="535" w:type="pct"/>
                  <w:shd w:val="clear" w:color="auto" w:fill="auto"/>
                  <w:vAlign w:val="center"/>
                </w:tcPr>
                <w:p w14:paraId="7019AA4E">
                  <w:pPr>
                    <w:pStyle w:val="41"/>
                    <w:bidi w:val="0"/>
                    <w:rPr>
                      <w:rFonts w:hint="eastAsia"/>
                      <w:lang w:val="en-US" w:eastAsia="zh-CN"/>
                    </w:rPr>
                  </w:pPr>
                  <w:r>
                    <w:rPr>
                      <w:rFonts w:hint="eastAsia"/>
                    </w:rPr>
                    <w:t>TP</w:t>
                  </w:r>
                </w:p>
              </w:tc>
              <w:tc>
                <w:tcPr>
                  <w:tcW w:w="542" w:type="pct"/>
                  <w:shd w:val="clear" w:color="auto" w:fill="auto"/>
                  <w:vAlign w:val="center"/>
                </w:tcPr>
                <w:p w14:paraId="6579F88D">
                  <w:pPr>
                    <w:pStyle w:val="41"/>
                    <w:bidi w:val="0"/>
                    <w:rPr>
                      <w:rFonts w:hint="default"/>
                      <w:lang w:val="en-US" w:eastAsia="zh-CN"/>
                    </w:rPr>
                  </w:pPr>
                  <w:r>
                    <w:rPr>
                      <w:rFonts w:hint="eastAsia"/>
                    </w:rPr>
                    <w:t>2</w:t>
                  </w:r>
                </w:p>
              </w:tc>
              <w:tc>
                <w:tcPr>
                  <w:tcW w:w="499" w:type="pct"/>
                  <w:shd w:val="clear" w:color="auto" w:fill="auto"/>
                  <w:vAlign w:val="center"/>
                </w:tcPr>
                <w:p w14:paraId="563AE60E">
                  <w:pPr>
                    <w:pStyle w:val="41"/>
                    <w:bidi w:val="0"/>
                    <w:rPr>
                      <w:rFonts w:hint="eastAsia" w:eastAsia="宋体"/>
                      <w:lang w:val="en-US" w:eastAsia="zh-CN"/>
                    </w:rPr>
                  </w:pPr>
                  <w:r>
                    <w:rPr>
                      <w:rFonts w:hint="eastAsia"/>
                    </w:rPr>
                    <w:t>0.003</w:t>
                  </w:r>
                  <w:r>
                    <w:rPr>
                      <w:rFonts w:hint="eastAsia"/>
                      <w:lang w:val="en-US" w:eastAsia="zh-CN"/>
                    </w:rPr>
                    <w:t>2</w:t>
                  </w:r>
                </w:p>
              </w:tc>
              <w:tc>
                <w:tcPr>
                  <w:tcW w:w="430" w:type="pct"/>
                  <w:vMerge w:val="continue"/>
                  <w:vAlign w:val="center"/>
                </w:tcPr>
                <w:p w14:paraId="165AACDC">
                  <w:pPr>
                    <w:pStyle w:val="41"/>
                    <w:bidi w:val="0"/>
                    <w:rPr>
                      <w:rFonts w:hint="eastAsia"/>
                      <w:lang w:val="en-US" w:eastAsia="zh-CN"/>
                    </w:rPr>
                  </w:pPr>
                </w:p>
              </w:tc>
              <w:tc>
                <w:tcPr>
                  <w:tcW w:w="485" w:type="pct"/>
                  <w:shd w:val="clear" w:color="auto" w:fill="auto"/>
                  <w:vAlign w:val="center"/>
                </w:tcPr>
                <w:p w14:paraId="16F59E40">
                  <w:pPr>
                    <w:pStyle w:val="41"/>
                    <w:bidi w:val="0"/>
                    <w:rPr>
                      <w:rFonts w:hint="eastAsia"/>
                      <w:lang w:val="en-US" w:eastAsia="zh-CN"/>
                    </w:rPr>
                  </w:pPr>
                  <w:r>
                    <w:rPr>
                      <w:rFonts w:hint="eastAsia"/>
                      <w:lang w:val="en-US" w:eastAsia="zh-CN"/>
                    </w:rPr>
                    <w:t>TP</w:t>
                  </w:r>
                </w:p>
              </w:tc>
              <w:tc>
                <w:tcPr>
                  <w:tcW w:w="497" w:type="pct"/>
                  <w:shd w:val="clear" w:color="auto" w:fill="auto"/>
                  <w:vAlign w:val="center"/>
                </w:tcPr>
                <w:p w14:paraId="4A9AA9A1">
                  <w:pPr>
                    <w:pStyle w:val="41"/>
                    <w:bidi w:val="0"/>
                    <w:jc w:val="center"/>
                    <w:rPr>
                      <w:rFonts w:hint="eastAsia"/>
                      <w:lang w:val="en-US" w:eastAsia="zh-CN"/>
                    </w:rPr>
                  </w:pPr>
                  <w:r>
                    <w:rPr>
                      <w:rFonts w:hint="eastAsia"/>
                    </w:rPr>
                    <w:t>1.74</w:t>
                  </w:r>
                </w:p>
              </w:tc>
              <w:tc>
                <w:tcPr>
                  <w:tcW w:w="599" w:type="pct"/>
                  <w:shd w:val="clear" w:color="auto" w:fill="auto"/>
                  <w:vAlign w:val="center"/>
                </w:tcPr>
                <w:p w14:paraId="1A69C278">
                  <w:pPr>
                    <w:pStyle w:val="41"/>
                    <w:bidi w:val="0"/>
                    <w:jc w:val="center"/>
                    <w:rPr>
                      <w:rFonts w:hint="eastAsia"/>
                      <w:lang w:val="en-US" w:eastAsia="zh-CN"/>
                    </w:rPr>
                  </w:pPr>
                  <w:r>
                    <w:rPr>
                      <w:rFonts w:hint="eastAsia"/>
                    </w:rPr>
                    <w:t>0.0048</w:t>
                  </w:r>
                </w:p>
              </w:tc>
              <w:tc>
                <w:tcPr>
                  <w:tcW w:w="497" w:type="pct"/>
                  <w:shd w:val="clear" w:color="auto" w:fill="auto"/>
                  <w:vAlign w:val="center"/>
                </w:tcPr>
                <w:p w14:paraId="4C5CB164">
                  <w:pPr>
                    <w:pStyle w:val="41"/>
                    <w:bidi w:val="0"/>
                    <w:rPr>
                      <w:rFonts w:hint="eastAsia"/>
                      <w:lang w:val="en-US" w:eastAsia="zh-CN"/>
                    </w:rPr>
                  </w:pPr>
                  <w:r>
                    <w:rPr>
                      <w:rFonts w:hint="eastAsia"/>
                      <w:lang w:val="en-US" w:eastAsia="zh-CN"/>
                    </w:rPr>
                    <w:t>4</w:t>
                  </w:r>
                </w:p>
              </w:tc>
              <w:tc>
                <w:tcPr>
                  <w:tcW w:w="254" w:type="pct"/>
                  <w:vMerge w:val="continue"/>
                  <w:vAlign w:val="center"/>
                </w:tcPr>
                <w:p w14:paraId="4F3532DE">
                  <w:pPr>
                    <w:pStyle w:val="41"/>
                    <w:bidi w:val="0"/>
                  </w:pPr>
                </w:p>
              </w:tc>
            </w:tr>
            <w:tr w14:paraId="17F931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restart"/>
                  <w:vAlign w:val="center"/>
                </w:tcPr>
                <w:p w14:paraId="35CA2BDB">
                  <w:pPr>
                    <w:pStyle w:val="41"/>
                    <w:bidi w:val="0"/>
                    <w:rPr>
                      <w:rFonts w:hint="default"/>
                      <w:lang w:val="en-US" w:eastAsia="zh-CN"/>
                    </w:rPr>
                  </w:pPr>
                  <w:r>
                    <w:rPr>
                      <w:rFonts w:hint="eastAsia"/>
                      <w:lang w:val="en-US" w:eastAsia="zh-CN"/>
                    </w:rPr>
                    <w:t>地面清洁废水1038.6t/a</w:t>
                  </w:r>
                </w:p>
              </w:tc>
              <w:tc>
                <w:tcPr>
                  <w:tcW w:w="535" w:type="pct"/>
                  <w:shd w:val="clear" w:color="auto" w:fill="auto"/>
                  <w:vAlign w:val="center"/>
                </w:tcPr>
                <w:p w14:paraId="2E084392">
                  <w:pPr>
                    <w:pStyle w:val="41"/>
                    <w:bidi w:val="0"/>
                    <w:rPr>
                      <w:rFonts w:hint="eastAsia"/>
                      <w:lang w:val="en-US" w:eastAsia="zh-CN"/>
                    </w:rPr>
                  </w:pPr>
                  <w:r>
                    <w:rPr>
                      <w:rFonts w:hint="eastAsia"/>
                    </w:rPr>
                    <w:t>COD</w:t>
                  </w:r>
                </w:p>
              </w:tc>
              <w:tc>
                <w:tcPr>
                  <w:tcW w:w="542" w:type="pct"/>
                  <w:shd w:val="clear" w:color="auto" w:fill="auto"/>
                  <w:vAlign w:val="center"/>
                </w:tcPr>
                <w:p w14:paraId="76DF6820">
                  <w:pPr>
                    <w:pStyle w:val="41"/>
                    <w:bidi w:val="0"/>
                    <w:rPr>
                      <w:rFonts w:hint="eastAsia"/>
                      <w:lang w:val="en-US" w:eastAsia="zh-CN"/>
                    </w:rPr>
                  </w:pPr>
                  <w:r>
                    <w:rPr>
                      <w:rFonts w:hint="eastAsia"/>
                    </w:rPr>
                    <w:t>400</w:t>
                  </w:r>
                </w:p>
              </w:tc>
              <w:tc>
                <w:tcPr>
                  <w:tcW w:w="499" w:type="pct"/>
                  <w:shd w:val="clear" w:color="auto" w:fill="auto"/>
                  <w:vAlign w:val="center"/>
                </w:tcPr>
                <w:p w14:paraId="5686C658">
                  <w:pPr>
                    <w:pStyle w:val="41"/>
                    <w:bidi w:val="0"/>
                    <w:rPr>
                      <w:rFonts w:hint="eastAsia"/>
                      <w:lang w:val="en-US" w:eastAsia="zh-CN"/>
                    </w:rPr>
                  </w:pPr>
                  <w:r>
                    <w:rPr>
                      <w:rFonts w:hint="eastAsia"/>
                    </w:rPr>
                    <w:t>0.4154</w:t>
                  </w:r>
                </w:p>
              </w:tc>
              <w:tc>
                <w:tcPr>
                  <w:tcW w:w="430" w:type="pct"/>
                  <w:vMerge w:val="continue"/>
                  <w:vAlign w:val="center"/>
                </w:tcPr>
                <w:p w14:paraId="33A669A8">
                  <w:pPr>
                    <w:pStyle w:val="41"/>
                    <w:bidi w:val="0"/>
                    <w:rPr>
                      <w:rFonts w:hint="eastAsia"/>
                      <w:lang w:val="en-US" w:eastAsia="zh-CN"/>
                    </w:rPr>
                  </w:pPr>
                </w:p>
              </w:tc>
              <w:tc>
                <w:tcPr>
                  <w:tcW w:w="485" w:type="pct"/>
                  <w:shd w:val="clear" w:color="auto" w:fill="auto"/>
                  <w:vAlign w:val="center"/>
                </w:tcPr>
                <w:p w14:paraId="448480E3">
                  <w:pPr>
                    <w:pStyle w:val="41"/>
                    <w:bidi w:val="0"/>
                    <w:jc w:val="center"/>
                    <w:rPr>
                      <w:rFonts w:hint="default"/>
                      <w:lang w:val="en-US" w:eastAsia="zh-CN"/>
                    </w:rPr>
                  </w:pPr>
                  <w:r>
                    <w:rPr>
                      <w:rFonts w:hint="eastAsia"/>
                      <w:lang w:val="en-US" w:eastAsia="zh-CN"/>
                    </w:rPr>
                    <w:t>/</w:t>
                  </w:r>
                </w:p>
              </w:tc>
              <w:tc>
                <w:tcPr>
                  <w:tcW w:w="497" w:type="pct"/>
                  <w:shd w:val="clear" w:color="auto" w:fill="auto"/>
                  <w:vAlign w:val="center"/>
                </w:tcPr>
                <w:p w14:paraId="3B77096F">
                  <w:pPr>
                    <w:pStyle w:val="41"/>
                    <w:bidi w:val="0"/>
                    <w:jc w:val="center"/>
                    <w:rPr>
                      <w:rFonts w:hint="eastAsia"/>
                      <w:lang w:val="en-US" w:eastAsia="zh-CN"/>
                    </w:rPr>
                  </w:pPr>
                  <w:r>
                    <w:rPr>
                      <w:rFonts w:hint="eastAsia"/>
                      <w:lang w:val="en-US" w:eastAsia="zh-CN"/>
                    </w:rPr>
                    <w:t>/</w:t>
                  </w:r>
                </w:p>
              </w:tc>
              <w:tc>
                <w:tcPr>
                  <w:tcW w:w="599" w:type="pct"/>
                  <w:shd w:val="clear" w:color="auto" w:fill="auto"/>
                  <w:vAlign w:val="center"/>
                </w:tcPr>
                <w:p w14:paraId="11E070BA">
                  <w:pPr>
                    <w:pStyle w:val="41"/>
                    <w:bidi w:val="0"/>
                    <w:jc w:val="center"/>
                    <w:rPr>
                      <w:rFonts w:hint="eastAsia"/>
                    </w:rPr>
                  </w:pPr>
                  <w:r>
                    <w:rPr>
                      <w:rFonts w:hint="eastAsia"/>
                      <w:lang w:val="en-US" w:eastAsia="zh-CN"/>
                    </w:rPr>
                    <w:t>/</w:t>
                  </w:r>
                </w:p>
              </w:tc>
              <w:tc>
                <w:tcPr>
                  <w:tcW w:w="497" w:type="pct"/>
                  <w:shd w:val="clear" w:color="auto" w:fill="auto"/>
                  <w:vAlign w:val="center"/>
                </w:tcPr>
                <w:p w14:paraId="5AED06D9">
                  <w:pPr>
                    <w:pStyle w:val="41"/>
                    <w:bidi w:val="0"/>
                    <w:jc w:val="center"/>
                    <w:rPr>
                      <w:rFonts w:hint="eastAsia"/>
                      <w:lang w:val="en-US" w:eastAsia="zh-CN"/>
                    </w:rPr>
                  </w:pPr>
                  <w:r>
                    <w:rPr>
                      <w:rFonts w:hint="eastAsia"/>
                      <w:lang w:val="en-US" w:eastAsia="zh-CN"/>
                    </w:rPr>
                    <w:t>/</w:t>
                  </w:r>
                </w:p>
              </w:tc>
              <w:tc>
                <w:tcPr>
                  <w:tcW w:w="254" w:type="pct"/>
                  <w:vMerge w:val="continue"/>
                  <w:vAlign w:val="center"/>
                </w:tcPr>
                <w:p w14:paraId="5FE42EA7">
                  <w:pPr>
                    <w:pStyle w:val="41"/>
                    <w:bidi w:val="0"/>
                  </w:pPr>
                </w:p>
              </w:tc>
            </w:tr>
            <w:tr w14:paraId="01B9C1D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1E0A83B0">
                  <w:pPr>
                    <w:pStyle w:val="41"/>
                    <w:bidi w:val="0"/>
                  </w:pPr>
                </w:p>
              </w:tc>
              <w:tc>
                <w:tcPr>
                  <w:tcW w:w="535" w:type="pct"/>
                  <w:shd w:val="clear" w:color="auto" w:fill="auto"/>
                  <w:vAlign w:val="center"/>
                </w:tcPr>
                <w:p w14:paraId="71C1ABD5">
                  <w:pPr>
                    <w:pStyle w:val="41"/>
                    <w:bidi w:val="0"/>
                    <w:rPr>
                      <w:rFonts w:hint="eastAsia"/>
                      <w:lang w:val="en-US" w:eastAsia="zh-CN"/>
                    </w:rPr>
                  </w:pPr>
                  <w:r>
                    <w:rPr>
                      <w:rFonts w:hint="eastAsia"/>
                    </w:rPr>
                    <w:t>SS</w:t>
                  </w:r>
                </w:p>
              </w:tc>
              <w:tc>
                <w:tcPr>
                  <w:tcW w:w="542" w:type="pct"/>
                  <w:shd w:val="clear" w:color="auto" w:fill="auto"/>
                  <w:vAlign w:val="center"/>
                </w:tcPr>
                <w:p w14:paraId="327B9BE7">
                  <w:pPr>
                    <w:pStyle w:val="41"/>
                    <w:bidi w:val="0"/>
                    <w:rPr>
                      <w:rFonts w:hint="eastAsia"/>
                      <w:lang w:val="en-US" w:eastAsia="zh-CN"/>
                    </w:rPr>
                  </w:pPr>
                  <w:r>
                    <w:rPr>
                      <w:rFonts w:hint="eastAsia"/>
                    </w:rPr>
                    <w:t>200</w:t>
                  </w:r>
                </w:p>
              </w:tc>
              <w:tc>
                <w:tcPr>
                  <w:tcW w:w="499" w:type="pct"/>
                  <w:shd w:val="clear" w:color="auto" w:fill="auto"/>
                  <w:vAlign w:val="center"/>
                </w:tcPr>
                <w:p w14:paraId="385BD8EE">
                  <w:pPr>
                    <w:pStyle w:val="41"/>
                    <w:bidi w:val="0"/>
                    <w:rPr>
                      <w:rFonts w:hint="eastAsia"/>
                      <w:lang w:val="en-US" w:eastAsia="zh-CN"/>
                    </w:rPr>
                  </w:pPr>
                  <w:r>
                    <w:rPr>
                      <w:rFonts w:hint="eastAsia"/>
                    </w:rPr>
                    <w:t>0.2077</w:t>
                  </w:r>
                </w:p>
              </w:tc>
              <w:tc>
                <w:tcPr>
                  <w:tcW w:w="430" w:type="pct"/>
                  <w:vMerge w:val="continue"/>
                  <w:vAlign w:val="center"/>
                </w:tcPr>
                <w:p w14:paraId="0B353932">
                  <w:pPr>
                    <w:pStyle w:val="41"/>
                    <w:bidi w:val="0"/>
                    <w:rPr>
                      <w:rFonts w:hint="eastAsia"/>
                      <w:lang w:val="en-US" w:eastAsia="zh-CN"/>
                    </w:rPr>
                  </w:pPr>
                </w:p>
              </w:tc>
              <w:tc>
                <w:tcPr>
                  <w:tcW w:w="485" w:type="pct"/>
                  <w:shd w:val="clear" w:color="auto" w:fill="auto"/>
                  <w:vAlign w:val="center"/>
                </w:tcPr>
                <w:p w14:paraId="4E87CA92">
                  <w:pPr>
                    <w:pStyle w:val="41"/>
                    <w:bidi w:val="0"/>
                    <w:jc w:val="center"/>
                    <w:rPr>
                      <w:rFonts w:hint="eastAsia"/>
                      <w:lang w:val="en-US" w:eastAsia="zh-CN"/>
                    </w:rPr>
                  </w:pPr>
                  <w:r>
                    <w:rPr>
                      <w:rFonts w:hint="eastAsia"/>
                      <w:lang w:val="en-US" w:eastAsia="zh-CN"/>
                    </w:rPr>
                    <w:t>/</w:t>
                  </w:r>
                </w:p>
              </w:tc>
              <w:tc>
                <w:tcPr>
                  <w:tcW w:w="497" w:type="pct"/>
                  <w:shd w:val="clear" w:color="auto" w:fill="auto"/>
                  <w:vAlign w:val="center"/>
                </w:tcPr>
                <w:p w14:paraId="4514C676">
                  <w:pPr>
                    <w:pStyle w:val="41"/>
                    <w:bidi w:val="0"/>
                    <w:jc w:val="center"/>
                    <w:rPr>
                      <w:rFonts w:hint="eastAsia"/>
                      <w:lang w:val="en-US" w:eastAsia="zh-CN"/>
                    </w:rPr>
                  </w:pPr>
                  <w:r>
                    <w:rPr>
                      <w:rFonts w:hint="eastAsia"/>
                      <w:lang w:val="en-US" w:eastAsia="zh-CN"/>
                    </w:rPr>
                    <w:t>/</w:t>
                  </w:r>
                </w:p>
              </w:tc>
              <w:tc>
                <w:tcPr>
                  <w:tcW w:w="599" w:type="pct"/>
                  <w:shd w:val="clear" w:color="auto" w:fill="auto"/>
                  <w:vAlign w:val="center"/>
                </w:tcPr>
                <w:p w14:paraId="60A314B6">
                  <w:pPr>
                    <w:pStyle w:val="41"/>
                    <w:bidi w:val="0"/>
                    <w:jc w:val="center"/>
                    <w:rPr>
                      <w:rFonts w:hint="eastAsia"/>
                    </w:rPr>
                  </w:pPr>
                  <w:r>
                    <w:rPr>
                      <w:rFonts w:hint="eastAsia"/>
                      <w:lang w:val="en-US" w:eastAsia="zh-CN"/>
                    </w:rPr>
                    <w:t>/</w:t>
                  </w:r>
                </w:p>
              </w:tc>
              <w:tc>
                <w:tcPr>
                  <w:tcW w:w="497" w:type="pct"/>
                  <w:shd w:val="clear" w:color="auto" w:fill="auto"/>
                  <w:vAlign w:val="center"/>
                </w:tcPr>
                <w:p w14:paraId="539650D1">
                  <w:pPr>
                    <w:pStyle w:val="41"/>
                    <w:bidi w:val="0"/>
                    <w:jc w:val="center"/>
                    <w:rPr>
                      <w:rFonts w:hint="eastAsia"/>
                      <w:lang w:val="en-US" w:eastAsia="zh-CN"/>
                    </w:rPr>
                  </w:pPr>
                  <w:r>
                    <w:rPr>
                      <w:rFonts w:hint="eastAsia"/>
                      <w:lang w:val="en-US" w:eastAsia="zh-CN"/>
                    </w:rPr>
                    <w:t>/</w:t>
                  </w:r>
                </w:p>
              </w:tc>
              <w:tc>
                <w:tcPr>
                  <w:tcW w:w="254" w:type="pct"/>
                  <w:vMerge w:val="continue"/>
                  <w:vAlign w:val="center"/>
                </w:tcPr>
                <w:p w14:paraId="65B3D676">
                  <w:pPr>
                    <w:pStyle w:val="41"/>
                    <w:bidi w:val="0"/>
                  </w:pPr>
                </w:p>
              </w:tc>
            </w:tr>
            <w:tr w14:paraId="7A76FC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009DF761">
                  <w:pPr>
                    <w:pStyle w:val="41"/>
                    <w:bidi w:val="0"/>
                  </w:pPr>
                </w:p>
              </w:tc>
              <w:tc>
                <w:tcPr>
                  <w:tcW w:w="535" w:type="pct"/>
                  <w:shd w:val="clear" w:color="auto" w:fill="auto"/>
                  <w:vAlign w:val="center"/>
                </w:tcPr>
                <w:p w14:paraId="7B484958">
                  <w:pPr>
                    <w:pStyle w:val="41"/>
                    <w:bidi w:val="0"/>
                    <w:rPr>
                      <w:rFonts w:hint="eastAsia"/>
                      <w:lang w:val="en-US" w:eastAsia="zh-CN"/>
                    </w:rPr>
                  </w:pPr>
                  <w:r>
                    <w:rPr>
                      <w:rFonts w:hint="eastAsia"/>
                    </w:rPr>
                    <w:t>NH</w:t>
                  </w:r>
                  <w:r>
                    <w:rPr>
                      <w:rFonts w:hint="eastAsia"/>
                      <w:vertAlign w:val="subscript"/>
                    </w:rPr>
                    <w:t>3</w:t>
                  </w:r>
                  <w:r>
                    <w:rPr>
                      <w:rFonts w:hint="eastAsia"/>
                    </w:rPr>
                    <w:t>-N</w:t>
                  </w:r>
                </w:p>
              </w:tc>
              <w:tc>
                <w:tcPr>
                  <w:tcW w:w="542" w:type="pct"/>
                  <w:shd w:val="clear" w:color="auto" w:fill="auto"/>
                  <w:vAlign w:val="center"/>
                </w:tcPr>
                <w:p w14:paraId="3CD42855">
                  <w:pPr>
                    <w:pStyle w:val="41"/>
                    <w:bidi w:val="0"/>
                    <w:rPr>
                      <w:rFonts w:hint="eastAsia"/>
                      <w:lang w:val="en-US" w:eastAsia="zh-CN"/>
                    </w:rPr>
                  </w:pPr>
                  <w:r>
                    <w:rPr>
                      <w:rFonts w:hint="eastAsia"/>
                    </w:rPr>
                    <w:t>10</w:t>
                  </w:r>
                </w:p>
              </w:tc>
              <w:tc>
                <w:tcPr>
                  <w:tcW w:w="499" w:type="pct"/>
                  <w:shd w:val="clear" w:color="auto" w:fill="auto"/>
                  <w:vAlign w:val="center"/>
                </w:tcPr>
                <w:p w14:paraId="02DA9EA2">
                  <w:pPr>
                    <w:pStyle w:val="41"/>
                    <w:bidi w:val="0"/>
                    <w:rPr>
                      <w:rFonts w:hint="eastAsia" w:eastAsia="宋体"/>
                      <w:lang w:val="en-US" w:eastAsia="zh-CN"/>
                    </w:rPr>
                  </w:pPr>
                  <w:r>
                    <w:rPr>
                      <w:rFonts w:hint="eastAsia"/>
                    </w:rPr>
                    <w:t>0.010</w:t>
                  </w:r>
                  <w:r>
                    <w:rPr>
                      <w:rFonts w:hint="eastAsia"/>
                      <w:lang w:val="en-US" w:eastAsia="zh-CN"/>
                    </w:rPr>
                    <w:t>4</w:t>
                  </w:r>
                </w:p>
              </w:tc>
              <w:tc>
                <w:tcPr>
                  <w:tcW w:w="430" w:type="pct"/>
                  <w:vMerge w:val="continue"/>
                  <w:vAlign w:val="center"/>
                </w:tcPr>
                <w:p w14:paraId="3D4382AC">
                  <w:pPr>
                    <w:pStyle w:val="41"/>
                    <w:bidi w:val="0"/>
                    <w:rPr>
                      <w:rFonts w:hint="eastAsia"/>
                      <w:lang w:val="en-US" w:eastAsia="zh-CN"/>
                    </w:rPr>
                  </w:pPr>
                </w:p>
              </w:tc>
              <w:tc>
                <w:tcPr>
                  <w:tcW w:w="485" w:type="pct"/>
                  <w:shd w:val="clear" w:color="auto" w:fill="auto"/>
                  <w:vAlign w:val="center"/>
                </w:tcPr>
                <w:p w14:paraId="2C11F160">
                  <w:pPr>
                    <w:pStyle w:val="41"/>
                    <w:bidi w:val="0"/>
                    <w:jc w:val="center"/>
                    <w:rPr>
                      <w:rFonts w:hint="eastAsia"/>
                      <w:lang w:val="en-US" w:eastAsia="zh-CN"/>
                    </w:rPr>
                  </w:pPr>
                  <w:r>
                    <w:rPr>
                      <w:rFonts w:hint="eastAsia"/>
                      <w:lang w:val="en-US" w:eastAsia="zh-CN"/>
                    </w:rPr>
                    <w:t>/</w:t>
                  </w:r>
                </w:p>
              </w:tc>
              <w:tc>
                <w:tcPr>
                  <w:tcW w:w="497" w:type="pct"/>
                  <w:shd w:val="clear" w:color="auto" w:fill="auto"/>
                  <w:vAlign w:val="center"/>
                </w:tcPr>
                <w:p w14:paraId="2FC79829">
                  <w:pPr>
                    <w:pStyle w:val="41"/>
                    <w:bidi w:val="0"/>
                    <w:jc w:val="center"/>
                    <w:rPr>
                      <w:rFonts w:hint="eastAsia"/>
                      <w:lang w:val="en-US" w:eastAsia="zh-CN"/>
                    </w:rPr>
                  </w:pPr>
                  <w:r>
                    <w:rPr>
                      <w:rFonts w:hint="eastAsia"/>
                      <w:lang w:val="en-US" w:eastAsia="zh-CN"/>
                    </w:rPr>
                    <w:t>/</w:t>
                  </w:r>
                </w:p>
              </w:tc>
              <w:tc>
                <w:tcPr>
                  <w:tcW w:w="599" w:type="pct"/>
                  <w:shd w:val="clear" w:color="auto" w:fill="auto"/>
                  <w:vAlign w:val="center"/>
                </w:tcPr>
                <w:p w14:paraId="47283BAB">
                  <w:pPr>
                    <w:pStyle w:val="41"/>
                    <w:bidi w:val="0"/>
                    <w:jc w:val="center"/>
                    <w:rPr>
                      <w:rFonts w:hint="eastAsia"/>
                    </w:rPr>
                  </w:pPr>
                  <w:r>
                    <w:rPr>
                      <w:rFonts w:hint="eastAsia"/>
                      <w:lang w:val="en-US" w:eastAsia="zh-CN"/>
                    </w:rPr>
                    <w:t>/</w:t>
                  </w:r>
                </w:p>
              </w:tc>
              <w:tc>
                <w:tcPr>
                  <w:tcW w:w="497" w:type="pct"/>
                  <w:shd w:val="clear" w:color="auto" w:fill="auto"/>
                  <w:vAlign w:val="center"/>
                </w:tcPr>
                <w:p w14:paraId="05D53711">
                  <w:pPr>
                    <w:pStyle w:val="41"/>
                    <w:bidi w:val="0"/>
                    <w:jc w:val="center"/>
                    <w:rPr>
                      <w:rFonts w:hint="eastAsia"/>
                      <w:lang w:val="en-US" w:eastAsia="zh-CN"/>
                    </w:rPr>
                  </w:pPr>
                  <w:r>
                    <w:rPr>
                      <w:rFonts w:hint="eastAsia"/>
                      <w:lang w:val="en-US" w:eastAsia="zh-CN"/>
                    </w:rPr>
                    <w:t>/</w:t>
                  </w:r>
                </w:p>
              </w:tc>
              <w:tc>
                <w:tcPr>
                  <w:tcW w:w="254" w:type="pct"/>
                  <w:vMerge w:val="continue"/>
                  <w:vAlign w:val="center"/>
                </w:tcPr>
                <w:p w14:paraId="4B125B22">
                  <w:pPr>
                    <w:pStyle w:val="41"/>
                    <w:bidi w:val="0"/>
                  </w:pPr>
                </w:p>
              </w:tc>
            </w:tr>
            <w:tr w14:paraId="058083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034C0270">
                  <w:pPr>
                    <w:pStyle w:val="41"/>
                    <w:bidi w:val="0"/>
                  </w:pPr>
                </w:p>
              </w:tc>
              <w:tc>
                <w:tcPr>
                  <w:tcW w:w="535" w:type="pct"/>
                  <w:shd w:val="clear" w:color="auto" w:fill="auto"/>
                  <w:vAlign w:val="center"/>
                </w:tcPr>
                <w:p w14:paraId="77CFB327">
                  <w:pPr>
                    <w:pStyle w:val="41"/>
                    <w:bidi w:val="0"/>
                    <w:rPr>
                      <w:rFonts w:hint="eastAsia"/>
                      <w:lang w:val="en-US" w:eastAsia="zh-CN"/>
                    </w:rPr>
                  </w:pPr>
                  <w:r>
                    <w:rPr>
                      <w:rFonts w:hint="eastAsia"/>
                    </w:rPr>
                    <w:t>TN</w:t>
                  </w:r>
                </w:p>
              </w:tc>
              <w:tc>
                <w:tcPr>
                  <w:tcW w:w="542" w:type="pct"/>
                  <w:shd w:val="clear" w:color="auto" w:fill="auto"/>
                  <w:vAlign w:val="center"/>
                </w:tcPr>
                <w:p w14:paraId="41955F36">
                  <w:pPr>
                    <w:pStyle w:val="41"/>
                    <w:bidi w:val="0"/>
                    <w:rPr>
                      <w:rFonts w:hint="eastAsia"/>
                      <w:lang w:val="en-US" w:eastAsia="zh-CN"/>
                    </w:rPr>
                  </w:pPr>
                  <w:r>
                    <w:rPr>
                      <w:rFonts w:hint="eastAsia"/>
                    </w:rPr>
                    <w:t>15</w:t>
                  </w:r>
                </w:p>
              </w:tc>
              <w:tc>
                <w:tcPr>
                  <w:tcW w:w="499" w:type="pct"/>
                  <w:shd w:val="clear" w:color="auto" w:fill="auto"/>
                  <w:vAlign w:val="center"/>
                </w:tcPr>
                <w:p w14:paraId="03B2637F">
                  <w:pPr>
                    <w:pStyle w:val="41"/>
                    <w:bidi w:val="0"/>
                    <w:rPr>
                      <w:rFonts w:hint="eastAsia" w:eastAsia="宋体"/>
                      <w:lang w:val="en-US" w:eastAsia="zh-CN"/>
                    </w:rPr>
                  </w:pPr>
                  <w:r>
                    <w:rPr>
                      <w:rFonts w:hint="eastAsia"/>
                    </w:rPr>
                    <w:t>0.015</w:t>
                  </w:r>
                  <w:r>
                    <w:rPr>
                      <w:rFonts w:hint="eastAsia"/>
                      <w:lang w:val="en-US" w:eastAsia="zh-CN"/>
                    </w:rPr>
                    <w:t>6</w:t>
                  </w:r>
                </w:p>
              </w:tc>
              <w:tc>
                <w:tcPr>
                  <w:tcW w:w="430" w:type="pct"/>
                  <w:vMerge w:val="continue"/>
                  <w:vAlign w:val="center"/>
                </w:tcPr>
                <w:p w14:paraId="3DB8C8B3">
                  <w:pPr>
                    <w:pStyle w:val="41"/>
                    <w:bidi w:val="0"/>
                    <w:rPr>
                      <w:rFonts w:hint="eastAsia"/>
                      <w:lang w:val="en-US" w:eastAsia="zh-CN"/>
                    </w:rPr>
                  </w:pPr>
                </w:p>
              </w:tc>
              <w:tc>
                <w:tcPr>
                  <w:tcW w:w="485" w:type="pct"/>
                  <w:shd w:val="clear" w:color="auto" w:fill="auto"/>
                  <w:vAlign w:val="center"/>
                </w:tcPr>
                <w:p w14:paraId="4DC5D9E4">
                  <w:pPr>
                    <w:pStyle w:val="41"/>
                    <w:bidi w:val="0"/>
                    <w:jc w:val="center"/>
                    <w:rPr>
                      <w:rFonts w:hint="eastAsia"/>
                      <w:lang w:val="en-US" w:eastAsia="zh-CN"/>
                    </w:rPr>
                  </w:pPr>
                  <w:r>
                    <w:rPr>
                      <w:rFonts w:hint="eastAsia"/>
                      <w:lang w:val="en-US" w:eastAsia="zh-CN"/>
                    </w:rPr>
                    <w:t>/</w:t>
                  </w:r>
                </w:p>
              </w:tc>
              <w:tc>
                <w:tcPr>
                  <w:tcW w:w="497" w:type="pct"/>
                  <w:shd w:val="clear" w:color="auto" w:fill="auto"/>
                  <w:vAlign w:val="center"/>
                </w:tcPr>
                <w:p w14:paraId="68B9E4D5">
                  <w:pPr>
                    <w:pStyle w:val="41"/>
                    <w:bidi w:val="0"/>
                    <w:jc w:val="center"/>
                    <w:rPr>
                      <w:rFonts w:hint="eastAsia"/>
                      <w:lang w:val="en-US" w:eastAsia="zh-CN"/>
                    </w:rPr>
                  </w:pPr>
                  <w:r>
                    <w:rPr>
                      <w:rFonts w:hint="eastAsia"/>
                      <w:lang w:val="en-US" w:eastAsia="zh-CN"/>
                    </w:rPr>
                    <w:t>/</w:t>
                  </w:r>
                </w:p>
              </w:tc>
              <w:tc>
                <w:tcPr>
                  <w:tcW w:w="599" w:type="pct"/>
                  <w:shd w:val="clear" w:color="auto" w:fill="auto"/>
                  <w:vAlign w:val="center"/>
                </w:tcPr>
                <w:p w14:paraId="7D26759E">
                  <w:pPr>
                    <w:pStyle w:val="41"/>
                    <w:bidi w:val="0"/>
                    <w:jc w:val="center"/>
                    <w:rPr>
                      <w:rFonts w:hint="eastAsia"/>
                    </w:rPr>
                  </w:pPr>
                  <w:r>
                    <w:rPr>
                      <w:rFonts w:hint="eastAsia"/>
                      <w:lang w:val="en-US" w:eastAsia="zh-CN"/>
                    </w:rPr>
                    <w:t>/</w:t>
                  </w:r>
                </w:p>
              </w:tc>
              <w:tc>
                <w:tcPr>
                  <w:tcW w:w="497" w:type="pct"/>
                  <w:shd w:val="clear" w:color="auto" w:fill="auto"/>
                  <w:vAlign w:val="center"/>
                </w:tcPr>
                <w:p w14:paraId="616A6EC0">
                  <w:pPr>
                    <w:pStyle w:val="41"/>
                    <w:bidi w:val="0"/>
                    <w:jc w:val="center"/>
                    <w:rPr>
                      <w:rFonts w:hint="eastAsia"/>
                      <w:lang w:val="en-US" w:eastAsia="zh-CN"/>
                    </w:rPr>
                  </w:pPr>
                  <w:r>
                    <w:rPr>
                      <w:rFonts w:hint="eastAsia"/>
                      <w:lang w:val="en-US" w:eastAsia="zh-CN"/>
                    </w:rPr>
                    <w:t>/</w:t>
                  </w:r>
                </w:p>
              </w:tc>
              <w:tc>
                <w:tcPr>
                  <w:tcW w:w="254" w:type="pct"/>
                  <w:vMerge w:val="continue"/>
                  <w:vAlign w:val="center"/>
                </w:tcPr>
                <w:p w14:paraId="41B95F99">
                  <w:pPr>
                    <w:pStyle w:val="41"/>
                    <w:bidi w:val="0"/>
                  </w:pPr>
                </w:p>
              </w:tc>
            </w:tr>
            <w:tr w14:paraId="6EF710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156C9F4A">
                  <w:pPr>
                    <w:pStyle w:val="41"/>
                    <w:bidi w:val="0"/>
                  </w:pPr>
                </w:p>
              </w:tc>
              <w:tc>
                <w:tcPr>
                  <w:tcW w:w="535" w:type="pct"/>
                  <w:shd w:val="clear" w:color="auto" w:fill="auto"/>
                  <w:vAlign w:val="center"/>
                </w:tcPr>
                <w:p w14:paraId="7A15D928">
                  <w:pPr>
                    <w:pStyle w:val="41"/>
                    <w:bidi w:val="0"/>
                    <w:rPr>
                      <w:rFonts w:hint="eastAsia"/>
                      <w:lang w:val="en-US" w:eastAsia="zh-CN"/>
                    </w:rPr>
                  </w:pPr>
                  <w:r>
                    <w:rPr>
                      <w:rFonts w:hint="eastAsia"/>
                    </w:rPr>
                    <w:t>TP</w:t>
                  </w:r>
                </w:p>
              </w:tc>
              <w:tc>
                <w:tcPr>
                  <w:tcW w:w="542" w:type="pct"/>
                  <w:shd w:val="clear" w:color="auto" w:fill="auto"/>
                  <w:vAlign w:val="center"/>
                </w:tcPr>
                <w:p w14:paraId="52A6096B">
                  <w:pPr>
                    <w:pStyle w:val="41"/>
                    <w:bidi w:val="0"/>
                    <w:rPr>
                      <w:rFonts w:hint="eastAsia"/>
                      <w:lang w:val="en-US" w:eastAsia="zh-CN"/>
                    </w:rPr>
                  </w:pPr>
                  <w:r>
                    <w:rPr>
                      <w:rFonts w:hint="eastAsia"/>
                    </w:rPr>
                    <w:t>2</w:t>
                  </w:r>
                </w:p>
              </w:tc>
              <w:tc>
                <w:tcPr>
                  <w:tcW w:w="499" w:type="pct"/>
                  <w:shd w:val="clear" w:color="auto" w:fill="auto"/>
                  <w:vAlign w:val="center"/>
                </w:tcPr>
                <w:p w14:paraId="15F4DFD0">
                  <w:pPr>
                    <w:pStyle w:val="41"/>
                    <w:bidi w:val="0"/>
                    <w:rPr>
                      <w:rFonts w:hint="eastAsia" w:eastAsia="宋体"/>
                      <w:lang w:val="en-US" w:eastAsia="zh-CN"/>
                    </w:rPr>
                  </w:pPr>
                  <w:r>
                    <w:rPr>
                      <w:rFonts w:hint="eastAsia"/>
                    </w:rPr>
                    <w:t>0.002</w:t>
                  </w:r>
                  <w:r>
                    <w:rPr>
                      <w:rFonts w:hint="eastAsia"/>
                      <w:lang w:val="en-US" w:eastAsia="zh-CN"/>
                    </w:rPr>
                    <w:t>1</w:t>
                  </w:r>
                </w:p>
              </w:tc>
              <w:tc>
                <w:tcPr>
                  <w:tcW w:w="430" w:type="pct"/>
                  <w:vMerge w:val="continue"/>
                  <w:vAlign w:val="center"/>
                </w:tcPr>
                <w:p w14:paraId="7410A25C">
                  <w:pPr>
                    <w:pStyle w:val="41"/>
                    <w:bidi w:val="0"/>
                    <w:rPr>
                      <w:rFonts w:hint="eastAsia"/>
                      <w:lang w:val="en-US" w:eastAsia="zh-CN"/>
                    </w:rPr>
                  </w:pPr>
                </w:p>
              </w:tc>
              <w:tc>
                <w:tcPr>
                  <w:tcW w:w="485" w:type="pct"/>
                  <w:shd w:val="clear" w:color="auto" w:fill="auto"/>
                  <w:vAlign w:val="center"/>
                </w:tcPr>
                <w:p w14:paraId="57539A7E">
                  <w:pPr>
                    <w:pStyle w:val="41"/>
                    <w:bidi w:val="0"/>
                    <w:jc w:val="center"/>
                    <w:rPr>
                      <w:rFonts w:hint="eastAsia"/>
                      <w:lang w:val="en-US" w:eastAsia="zh-CN"/>
                    </w:rPr>
                  </w:pPr>
                  <w:r>
                    <w:rPr>
                      <w:rFonts w:hint="eastAsia"/>
                      <w:lang w:val="en-US" w:eastAsia="zh-CN"/>
                    </w:rPr>
                    <w:t>/</w:t>
                  </w:r>
                </w:p>
              </w:tc>
              <w:tc>
                <w:tcPr>
                  <w:tcW w:w="497" w:type="pct"/>
                  <w:shd w:val="clear" w:color="auto" w:fill="auto"/>
                  <w:vAlign w:val="center"/>
                </w:tcPr>
                <w:p w14:paraId="737EB6D0">
                  <w:pPr>
                    <w:pStyle w:val="41"/>
                    <w:bidi w:val="0"/>
                    <w:jc w:val="center"/>
                    <w:rPr>
                      <w:rFonts w:hint="eastAsia"/>
                      <w:lang w:val="en-US" w:eastAsia="zh-CN"/>
                    </w:rPr>
                  </w:pPr>
                  <w:r>
                    <w:rPr>
                      <w:rFonts w:hint="eastAsia"/>
                      <w:lang w:val="en-US" w:eastAsia="zh-CN"/>
                    </w:rPr>
                    <w:t>/</w:t>
                  </w:r>
                </w:p>
              </w:tc>
              <w:tc>
                <w:tcPr>
                  <w:tcW w:w="599" w:type="pct"/>
                  <w:shd w:val="clear" w:color="auto" w:fill="auto"/>
                  <w:vAlign w:val="center"/>
                </w:tcPr>
                <w:p w14:paraId="0EC85449">
                  <w:pPr>
                    <w:pStyle w:val="41"/>
                    <w:bidi w:val="0"/>
                    <w:jc w:val="center"/>
                    <w:rPr>
                      <w:rFonts w:hint="eastAsia"/>
                    </w:rPr>
                  </w:pPr>
                  <w:r>
                    <w:rPr>
                      <w:rFonts w:hint="eastAsia"/>
                      <w:lang w:val="en-US" w:eastAsia="zh-CN"/>
                    </w:rPr>
                    <w:t>/</w:t>
                  </w:r>
                </w:p>
              </w:tc>
              <w:tc>
                <w:tcPr>
                  <w:tcW w:w="497" w:type="pct"/>
                  <w:shd w:val="clear" w:color="auto" w:fill="auto"/>
                  <w:vAlign w:val="center"/>
                </w:tcPr>
                <w:p w14:paraId="540BD153">
                  <w:pPr>
                    <w:pStyle w:val="41"/>
                    <w:bidi w:val="0"/>
                    <w:jc w:val="center"/>
                    <w:rPr>
                      <w:rFonts w:hint="eastAsia"/>
                      <w:lang w:val="en-US" w:eastAsia="zh-CN"/>
                    </w:rPr>
                  </w:pPr>
                  <w:r>
                    <w:rPr>
                      <w:rFonts w:hint="eastAsia"/>
                      <w:lang w:val="en-US" w:eastAsia="zh-CN"/>
                    </w:rPr>
                    <w:t>/</w:t>
                  </w:r>
                </w:p>
              </w:tc>
              <w:tc>
                <w:tcPr>
                  <w:tcW w:w="254" w:type="pct"/>
                  <w:vMerge w:val="continue"/>
                  <w:vAlign w:val="center"/>
                </w:tcPr>
                <w:p w14:paraId="403FA566">
                  <w:pPr>
                    <w:pStyle w:val="41"/>
                    <w:bidi w:val="0"/>
                  </w:pPr>
                </w:p>
              </w:tc>
            </w:tr>
            <w:tr w14:paraId="58560E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restart"/>
                  <w:vAlign w:val="center"/>
                </w:tcPr>
                <w:p w14:paraId="4456A3E2">
                  <w:pPr>
                    <w:pStyle w:val="41"/>
                    <w:bidi w:val="0"/>
                    <w:rPr>
                      <w:rFonts w:hint="default"/>
                      <w:lang w:val="en-US" w:eastAsia="zh-CN"/>
                    </w:rPr>
                  </w:pPr>
                  <w:r>
                    <w:rPr>
                      <w:rFonts w:hint="eastAsia"/>
                      <w:lang w:val="en-US" w:eastAsia="zh-CN"/>
                    </w:rPr>
                    <w:t>实验设备废水22.5t/a</w:t>
                  </w:r>
                </w:p>
              </w:tc>
              <w:tc>
                <w:tcPr>
                  <w:tcW w:w="535" w:type="pct"/>
                  <w:shd w:val="clear" w:color="auto" w:fill="auto"/>
                  <w:vAlign w:val="center"/>
                </w:tcPr>
                <w:p w14:paraId="7866997B">
                  <w:pPr>
                    <w:pStyle w:val="41"/>
                    <w:bidi w:val="0"/>
                    <w:rPr>
                      <w:rFonts w:hint="eastAsia"/>
                      <w:lang w:val="en-US" w:eastAsia="zh-CN"/>
                    </w:rPr>
                  </w:pPr>
                  <w:r>
                    <w:rPr>
                      <w:rFonts w:hint="eastAsia"/>
                    </w:rPr>
                    <w:t>COD</w:t>
                  </w:r>
                </w:p>
              </w:tc>
              <w:tc>
                <w:tcPr>
                  <w:tcW w:w="542" w:type="pct"/>
                  <w:shd w:val="clear" w:color="auto" w:fill="auto"/>
                  <w:vAlign w:val="center"/>
                </w:tcPr>
                <w:p w14:paraId="06737586">
                  <w:pPr>
                    <w:pStyle w:val="41"/>
                    <w:bidi w:val="0"/>
                    <w:rPr>
                      <w:rFonts w:hint="eastAsia"/>
                      <w:lang w:val="en-US" w:eastAsia="zh-CN"/>
                    </w:rPr>
                  </w:pPr>
                  <w:r>
                    <w:rPr>
                      <w:rFonts w:hint="eastAsia"/>
                    </w:rPr>
                    <w:t>200</w:t>
                  </w:r>
                </w:p>
              </w:tc>
              <w:tc>
                <w:tcPr>
                  <w:tcW w:w="499" w:type="pct"/>
                  <w:shd w:val="clear" w:color="auto" w:fill="auto"/>
                  <w:vAlign w:val="center"/>
                </w:tcPr>
                <w:p w14:paraId="1B16D6A5">
                  <w:pPr>
                    <w:pStyle w:val="41"/>
                    <w:bidi w:val="0"/>
                    <w:rPr>
                      <w:rFonts w:hint="eastAsia"/>
                      <w:lang w:val="en-US" w:eastAsia="zh-CN"/>
                    </w:rPr>
                  </w:pPr>
                  <w:r>
                    <w:rPr>
                      <w:rFonts w:hint="eastAsia"/>
                    </w:rPr>
                    <w:t>0.0045</w:t>
                  </w:r>
                </w:p>
              </w:tc>
              <w:tc>
                <w:tcPr>
                  <w:tcW w:w="430" w:type="pct"/>
                  <w:vMerge w:val="continue"/>
                  <w:vAlign w:val="center"/>
                </w:tcPr>
                <w:p w14:paraId="1C29F963">
                  <w:pPr>
                    <w:pStyle w:val="41"/>
                    <w:bidi w:val="0"/>
                    <w:rPr>
                      <w:rFonts w:hint="eastAsia"/>
                      <w:lang w:val="en-US" w:eastAsia="zh-CN"/>
                    </w:rPr>
                  </w:pPr>
                </w:p>
              </w:tc>
              <w:tc>
                <w:tcPr>
                  <w:tcW w:w="485" w:type="pct"/>
                  <w:shd w:val="clear" w:color="auto" w:fill="auto"/>
                  <w:vAlign w:val="center"/>
                </w:tcPr>
                <w:p w14:paraId="18DB3467">
                  <w:pPr>
                    <w:pStyle w:val="41"/>
                    <w:bidi w:val="0"/>
                    <w:jc w:val="center"/>
                    <w:rPr>
                      <w:rFonts w:hint="eastAsia"/>
                      <w:lang w:val="en-US" w:eastAsia="zh-CN"/>
                    </w:rPr>
                  </w:pPr>
                  <w:r>
                    <w:rPr>
                      <w:rFonts w:hint="eastAsia"/>
                      <w:lang w:val="en-US" w:eastAsia="zh-CN"/>
                    </w:rPr>
                    <w:t>/</w:t>
                  </w:r>
                </w:p>
              </w:tc>
              <w:tc>
                <w:tcPr>
                  <w:tcW w:w="497" w:type="pct"/>
                  <w:shd w:val="clear" w:color="auto" w:fill="auto"/>
                  <w:vAlign w:val="center"/>
                </w:tcPr>
                <w:p w14:paraId="3A6C70E3">
                  <w:pPr>
                    <w:pStyle w:val="41"/>
                    <w:bidi w:val="0"/>
                    <w:jc w:val="center"/>
                    <w:rPr>
                      <w:rFonts w:hint="eastAsia"/>
                      <w:lang w:val="en-US" w:eastAsia="zh-CN"/>
                    </w:rPr>
                  </w:pPr>
                  <w:r>
                    <w:rPr>
                      <w:rFonts w:hint="eastAsia"/>
                      <w:lang w:val="en-US" w:eastAsia="zh-CN"/>
                    </w:rPr>
                    <w:t>/</w:t>
                  </w:r>
                </w:p>
              </w:tc>
              <w:tc>
                <w:tcPr>
                  <w:tcW w:w="599" w:type="pct"/>
                  <w:shd w:val="clear" w:color="auto" w:fill="auto"/>
                  <w:vAlign w:val="center"/>
                </w:tcPr>
                <w:p w14:paraId="744293C8">
                  <w:pPr>
                    <w:pStyle w:val="41"/>
                    <w:bidi w:val="0"/>
                    <w:jc w:val="center"/>
                    <w:rPr>
                      <w:rFonts w:hint="eastAsia"/>
                    </w:rPr>
                  </w:pPr>
                  <w:r>
                    <w:rPr>
                      <w:rFonts w:hint="eastAsia"/>
                      <w:lang w:val="en-US" w:eastAsia="zh-CN"/>
                    </w:rPr>
                    <w:t>/</w:t>
                  </w:r>
                </w:p>
              </w:tc>
              <w:tc>
                <w:tcPr>
                  <w:tcW w:w="497" w:type="pct"/>
                  <w:shd w:val="clear" w:color="auto" w:fill="auto"/>
                  <w:vAlign w:val="center"/>
                </w:tcPr>
                <w:p w14:paraId="449E02B4">
                  <w:pPr>
                    <w:pStyle w:val="41"/>
                    <w:bidi w:val="0"/>
                    <w:jc w:val="center"/>
                    <w:rPr>
                      <w:rFonts w:hint="eastAsia"/>
                      <w:lang w:val="en-US" w:eastAsia="zh-CN"/>
                    </w:rPr>
                  </w:pPr>
                  <w:r>
                    <w:rPr>
                      <w:rFonts w:hint="eastAsia"/>
                      <w:lang w:val="en-US" w:eastAsia="zh-CN"/>
                    </w:rPr>
                    <w:t>/</w:t>
                  </w:r>
                </w:p>
              </w:tc>
              <w:tc>
                <w:tcPr>
                  <w:tcW w:w="254" w:type="pct"/>
                  <w:vMerge w:val="continue"/>
                  <w:vAlign w:val="center"/>
                </w:tcPr>
                <w:p w14:paraId="70F39D97">
                  <w:pPr>
                    <w:pStyle w:val="41"/>
                    <w:bidi w:val="0"/>
                  </w:pPr>
                </w:p>
              </w:tc>
            </w:tr>
            <w:tr w14:paraId="24E5F5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0B17085C">
                  <w:pPr>
                    <w:pStyle w:val="41"/>
                    <w:bidi w:val="0"/>
                  </w:pPr>
                </w:p>
              </w:tc>
              <w:tc>
                <w:tcPr>
                  <w:tcW w:w="535" w:type="pct"/>
                  <w:shd w:val="clear" w:color="auto" w:fill="auto"/>
                  <w:vAlign w:val="center"/>
                </w:tcPr>
                <w:p w14:paraId="04F28844">
                  <w:pPr>
                    <w:pStyle w:val="41"/>
                    <w:bidi w:val="0"/>
                    <w:rPr>
                      <w:rFonts w:hint="eastAsia"/>
                      <w:lang w:val="en-US" w:eastAsia="zh-CN"/>
                    </w:rPr>
                  </w:pPr>
                  <w:r>
                    <w:rPr>
                      <w:rFonts w:hint="eastAsia"/>
                    </w:rPr>
                    <w:t>SS</w:t>
                  </w:r>
                </w:p>
              </w:tc>
              <w:tc>
                <w:tcPr>
                  <w:tcW w:w="542" w:type="pct"/>
                  <w:shd w:val="clear" w:color="auto" w:fill="auto"/>
                  <w:vAlign w:val="center"/>
                </w:tcPr>
                <w:p w14:paraId="1C72C14C">
                  <w:pPr>
                    <w:pStyle w:val="41"/>
                    <w:bidi w:val="0"/>
                    <w:rPr>
                      <w:rFonts w:hint="eastAsia"/>
                      <w:lang w:val="en-US" w:eastAsia="zh-CN"/>
                    </w:rPr>
                  </w:pPr>
                  <w:r>
                    <w:rPr>
                      <w:rFonts w:hint="eastAsia"/>
                    </w:rPr>
                    <w:t>100</w:t>
                  </w:r>
                </w:p>
              </w:tc>
              <w:tc>
                <w:tcPr>
                  <w:tcW w:w="499" w:type="pct"/>
                  <w:shd w:val="clear" w:color="auto" w:fill="auto"/>
                  <w:vAlign w:val="center"/>
                </w:tcPr>
                <w:p w14:paraId="509C6F13">
                  <w:pPr>
                    <w:pStyle w:val="41"/>
                    <w:bidi w:val="0"/>
                    <w:rPr>
                      <w:rFonts w:hint="eastAsia" w:eastAsia="宋体"/>
                      <w:lang w:val="en-US" w:eastAsia="zh-CN"/>
                    </w:rPr>
                  </w:pPr>
                  <w:r>
                    <w:rPr>
                      <w:rFonts w:hint="eastAsia"/>
                    </w:rPr>
                    <w:t>0.002</w:t>
                  </w:r>
                  <w:r>
                    <w:rPr>
                      <w:rFonts w:hint="eastAsia"/>
                      <w:lang w:val="en-US" w:eastAsia="zh-CN"/>
                    </w:rPr>
                    <w:t>3</w:t>
                  </w:r>
                </w:p>
              </w:tc>
              <w:tc>
                <w:tcPr>
                  <w:tcW w:w="430" w:type="pct"/>
                  <w:vMerge w:val="continue"/>
                  <w:vAlign w:val="center"/>
                </w:tcPr>
                <w:p w14:paraId="42B6C3E4">
                  <w:pPr>
                    <w:pStyle w:val="41"/>
                    <w:bidi w:val="0"/>
                    <w:rPr>
                      <w:rFonts w:hint="eastAsia"/>
                      <w:lang w:val="en-US" w:eastAsia="zh-CN"/>
                    </w:rPr>
                  </w:pPr>
                </w:p>
              </w:tc>
              <w:tc>
                <w:tcPr>
                  <w:tcW w:w="485" w:type="pct"/>
                  <w:shd w:val="clear" w:color="auto" w:fill="auto"/>
                  <w:vAlign w:val="center"/>
                </w:tcPr>
                <w:p w14:paraId="2BECBCA7">
                  <w:pPr>
                    <w:pStyle w:val="41"/>
                    <w:bidi w:val="0"/>
                    <w:jc w:val="center"/>
                    <w:rPr>
                      <w:rFonts w:hint="eastAsia"/>
                      <w:lang w:val="en-US" w:eastAsia="zh-CN"/>
                    </w:rPr>
                  </w:pPr>
                  <w:r>
                    <w:rPr>
                      <w:rFonts w:hint="eastAsia"/>
                      <w:lang w:val="en-US" w:eastAsia="zh-CN"/>
                    </w:rPr>
                    <w:t>/</w:t>
                  </w:r>
                </w:p>
              </w:tc>
              <w:tc>
                <w:tcPr>
                  <w:tcW w:w="497" w:type="pct"/>
                  <w:shd w:val="clear" w:color="auto" w:fill="auto"/>
                  <w:vAlign w:val="center"/>
                </w:tcPr>
                <w:p w14:paraId="7E6E5CA8">
                  <w:pPr>
                    <w:pStyle w:val="41"/>
                    <w:bidi w:val="0"/>
                    <w:jc w:val="center"/>
                    <w:rPr>
                      <w:rFonts w:hint="eastAsia"/>
                      <w:lang w:val="en-US" w:eastAsia="zh-CN"/>
                    </w:rPr>
                  </w:pPr>
                  <w:r>
                    <w:rPr>
                      <w:rFonts w:hint="eastAsia"/>
                      <w:lang w:val="en-US" w:eastAsia="zh-CN"/>
                    </w:rPr>
                    <w:t>/</w:t>
                  </w:r>
                </w:p>
              </w:tc>
              <w:tc>
                <w:tcPr>
                  <w:tcW w:w="599" w:type="pct"/>
                  <w:shd w:val="clear" w:color="auto" w:fill="auto"/>
                  <w:vAlign w:val="center"/>
                </w:tcPr>
                <w:p w14:paraId="28092E86">
                  <w:pPr>
                    <w:pStyle w:val="41"/>
                    <w:bidi w:val="0"/>
                    <w:jc w:val="center"/>
                    <w:rPr>
                      <w:rFonts w:hint="eastAsia"/>
                    </w:rPr>
                  </w:pPr>
                  <w:r>
                    <w:rPr>
                      <w:rFonts w:hint="eastAsia"/>
                      <w:lang w:val="en-US" w:eastAsia="zh-CN"/>
                    </w:rPr>
                    <w:t>/</w:t>
                  </w:r>
                </w:p>
              </w:tc>
              <w:tc>
                <w:tcPr>
                  <w:tcW w:w="497" w:type="pct"/>
                  <w:shd w:val="clear" w:color="auto" w:fill="auto"/>
                  <w:vAlign w:val="center"/>
                </w:tcPr>
                <w:p w14:paraId="75E46EC5">
                  <w:pPr>
                    <w:pStyle w:val="41"/>
                    <w:bidi w:val="0"/>
                    <w:jc w:val="center"/>
                    <w:rPr>
                      <w:rFonts w:hint="eastAsia"/>
                      <w:lang w:val="en-US" w:eastAsia="zh-CN"/>
                    </w:rPr>
                  </w:pPr>
                  <w:r>
                    <w:rPr>
                      <w:rFonts w:hint="eastAsia"/>
                      <w:lang w:val="en-US" w:eastAsia="zh-CN"/>
                    </w:rPr>
                    <w:t>/</w:t>
                  </w:r>
                </w:p>
              </w:tc>
              <w:tc>
                <w:tcPr>
                  <w:tcW w:w="254" w:type="pct"/>
                  <w:vMerge w:val="continue"/>
                  <w:vAlign w:val="center"/>
                </w:tcPr>
                <w:p w14:paraId="48395AB4">
                  <w:pPr>
                    <w:pStyle w:val="41"/>
                    <w:bidi w:val="0"/>
                  </w:pPr>
                </w:p>
              </w:tc>
            </w:tr>
            <w:tr w14:paraId="043B14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restart"/>
                  <w:vAlign w:val="center"/>
                </w:tcPr>
                <w:p w14:paraId="5D9D33F3">
                  <w:pPr>
                    <w:pStyle w:val="41"/>
                    <w:bidi w:val="0"/>
                    <w:rPr>
                      <w:rFonts w:hint="default"/>
                      <w:lang w:val="en-US" w:eastAsia="zh-CN"/>
                    </w:rPr>
                  </w:pPr>
                  <w:r>
                    <w:rPr>
                      <w:rFonts w:hint="eastAsia"/>
                      <w:lang w:val="en-US" w:eastAsia="zh-CN"/>
                    </w:rPr>
                    <w:t>纯水制备浓水</w:t>
                  </w:r>
                  <w:r>
                    <w:rPr>
                      <w:rFonts w:hint="eastAsia"/>
                      <w:color w:val="auto"/>
                      <w:lang w:val="en-US" w:eastAsia="zh-CN"/>
                    </w:rPr>
                    <w:t>75</w:t>
                  </w:r>
                  <w:r>
                    <w:rPr>
                      <w:rFonts w:hint="eastAsia"/>
                      <w:lang w:val="en-US" w:eastAsia="zh-CN"/>
                    </w:rPr>
                    <w:t>t/a</w:t>
                  </w:r>
                </w:p>
              </w:tc>
              <w:tc>
                <w:tcPr>
                  <w:tcW w:w="535" w:type="pct"/>
                  <w:shd w:val="clear" w:color="auto" w:fill="auto"/>
                  <w:vAlign w:val="center"/>
                </w:tcPr>
                <w:p w14:paraId="5DB5DC26">
                  <w:pPr>
                    <w:pStyle w:val="41"/>
                    <w:bidi w:val="0"/>
                    <w:rPr>
                      <w:rFonts w:hint="eastAsia"/>
                      <w:lang w:val="en-US" w:eastAsia="zh-CN"/>
                    </w:rPr>
                  </w:pPr>
                  <w:r>
                    <w:rPr>
                      <w:rFonts w:hint="eastAsia"/>
                    </w:rPr>
                    <w:t>COD</w:t>
                  </w:r>
                </w:p>
              </w:tc>
              <w:tc>
                <w:tcPr>
                  <w:tcW w:w="542" w:type="pct"/>
                  <w:shd w:val="clear" w:color="auto" w:fill="auto"/>
                  <w:vAlign w:val="center"/>
                </w:tcPr>
                <w:p w14:paraId="769C5F35">
                  <w:pPr>
                    <w:pStyle w:val="41"/>
                    <w:bidi w:val="0"/>
                    <w:rPr>
                      <w:rFonts w:hint="eastAsia"/>
                      <w:lang w:val="en-US" w:eastAsia="zh-CN"/>
                    </w:rPr>
                  </w:pPr>
                  <w:r>
                    <w:rPr>
                      <w:rFonts w:hint="eastAsia"/>
                    </w:rPr>
                    <w:t>200</w:t>
                  </w:r>
                </w:p>
              </w:tc>
              <w:tc>
                <w:tcPr>
                  <w:tcW w:w="499" w:type="pct"/>
                  <w:shd w:val="clear" w:color="auto" w:fill="auto"/>
                  <w:vAlign w:val="center"/>
                </w:tcPr>
                <w:p w14:paraId="6E55DE7F">
                  <w:pPr>
                    <w:pStyle w:val="41"/>
                    <w:bidi w:val="0"/>
                    <w:rPr>
                      <w:rFonts w:hint="eastAsia" w:eastAsia="宋体"/>
                      <w:lang w:val="en-US" w:eastAsia="zh-CN"/>
                    </w:rPr>
                  </w:pPr>
                  <w:r>
                    <w:rPr>
                      <w:rFonts w:hint="eastAsia"/>
                    </w:rPr>
                    <w:t>0.01</w:t>
                  </w:r>
                  <w:r>
                    <w:rPr>
                      <w:rFonts w:hint="eastAsia"/>
                      <w:lang w:val="en-US" w:eastAsia="zh-CN"/>
                    </w:rPr>
                    <w:t>5</w:t>
                  </w:r>
                </w:p>
              </w:tc>
              <w:tc>
                <w:tcPr>
                  <w:tcW w:w="430" w:type="pct"/>
                  <w:vMerge w:val="continue"/>
                  <w:vAlign w:val="center"/>
                </w:tcPr>
                <w:p w14:paraId="3F7F9966">
                  <w:pPr>
                    <w:pStyle w:val="41"/>
                    <w:bidi w:val="0"/>
                    <w:rPr>
                      <w:rFonts w:hint="eastAsia"/>
                      <w:lang w:val="en-US" w:eastAsia="zh-CN"/>
                    </w:rPr>
                  </w:pPr>
                </w:p>
              </w:tc>
              <w:tc>
                <w:tcPr>
                  <w:tcW w:w="485" w:type="pct"/>
                  <w:shd w:val="clear" w:color="auto" w:fill="auto"/>
                  <w:vAlign w:val="center"/>
                </w:tcPr>
                <w:p w14:paraId="60D300E3">
                  <w:pPr>
                    <w:pStyle w:val="41"/>
                    <w:bidi w:val="0"/>
                    <w:jc w:val="center"/>
                    <w:rPr>
                      <w:rFonts w:hint="eastAsia"/>
                      <w:lang w:val="en-US" w:eastAsia="zh-CN"/>
                    </w:rPr>
                  </w:pPr>
                  <w:r>
                    <w:rPr>
                      <w:rFonts w:hint="eastAsia"/>
                      <w:lang w:val="en-US" w:eastAsia="zh-CN"/>
                    </w:rPr>
                    <w:t>/</w:t>
                  </w:r>
                </w:p>
              </w:tc>
              <w:tc>
                <w:tcPr>
                  <w:tcW w:w="497" w:type="pct"/>
                  <w:shd w:val="clear" w:color="auto" w:fill="auto"/>
                  <w:vAlign w:val="center"/>
                </w:tcPr>
                <w:p w14:paraId="185A987A">
                  <w:pPr>
                    <w:pStyle w:val="41"/>
                    <w:bidi w:val="0"/>
                    <w:jc w:val="center"/>
                    <w:rPr>
                      <w:rFonts w:hint="eastAsia"/>
                      <w:lang w:val="en-US" w:eastAsia="zh-CN"/>
                    </w:rPr>
                  </w:pPr>
                  <w:r>
                    <w:rPr>
                      <w:rFonts w:hint="eastAsia"/>
                      <w:lang w:val="en-US" w:eastAsia="zh-CN"/>
                    </w:rPr>
                    <w:t>/</w:t>
                  </w:r>
                </w:p>
              </w:tc>
              <w:tc>
                <w:tcPr>
                  <w:tcW w:w="599" w:type="pct"/>
                  <w:shd w:val="clear" w:color="auto" w:fill="auto"/>
                  <w:vAlign w:val="center"/>
                </w:tcPr>
                <w:p w14:paraId="6B96D2C9">
                  <w:pPr>
                    <w:pStyle w:val="41"/>
                    <w:bidi w:val="0"/>
                    <w:jc w:val="center"/>
                    <w:rPr>
                      <w:rFonts w:hint="eastAsia"/>
                    </w:rPr>
                  </w:pPr>
                  <w:r>
                    <w:rPr>
                      <w:rFonts w:hint="eastAsia"/>
                      <w:lang w:val="en-US" w:eastAsia="zh-CN"/>
                    </w:rPr>
                    <w:t>/</w:t>
                  </w:r>
                </w:p>
              </w:tc>
              <w:tc>
                <w:tcPr>
                  <w:tcW w:w="497" w:type="pct"/>
                  <w:shd w:val="clear" w:color="auto" w:fill="auto"/>
                  <w:vAlign w:val="center"/>
                </w:tcPr>
                <w:p w14:paraId="113388D8">
                  <w:pPr>
                    <w:pStyle w:val="41"/>
                    <w:bidi w:val="0"/>
                    <w:jc w:val="center"/>
                    <w:rPr>
                      <w:rFonts w:hint="eastAsia"/>
                      <w:lang w:val="en-US" w:eastAsia="zh-CN"/>
                    </w:rPr>
                  </w:pPr>
                  <w:r>
                    <w:rPr>
                      <w:rFonts w:hint="eastAsia"/>
                      <w:lang w:val="en-US" w:eastAsia="zh-CN"/>
                    </w:rPr>
                    <w:t>/</w:t>
                  </w:r>
                </w:p>
              </w:tc>
              <w:tc>
                <w:tcPr>
                  <w:tcW w:w="254" w:type="pct"/>
                  <w:vMerge w:val="continue"/>
                  <w:vAlign w:val="center"/>
                </w:tcPr>
                <w:p w14:paraId="3120FDD9">
                  <w:pPr>
                    <w:pStyle w:val="41"/>
                    <w:bidi w:val="0"/>
                  </w:pPr>
                </w:p>
              </w:tc>
            </w:tr>
            <w:tr w14:paraId="77FD53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5D7357AD">
                  <w:pPr>
                    <w:pStyle w:val="41"/>
                    <w:bidi w:val="0"/>
                  </w:pPr>
                </w:p>
              </w:tc>
              <w:tc>
                <w:tcPr>
                  <w:tcW w:w="535" w:type="pct"/>
                  <w:shd w:val="clear" w:color="auto" w:fill="auto"/>
                  <w:vAlign w:val="center"/>
                </w:tcPr>
                <w:p w14:paraId="0BEF7383">
                  <w:pPr>
                    <w:pStyle w:val="41"/>
                    <w:bidi w:val="0"/>
                    <w:rPr>
                      <w:rFonts w:hint="eastAsia"/>
                      <w:lang w:val="en-US" w:eastAsia="zh-CN"/>
                    </w:rPr>
                  </w:pPr>
                  <w:r>
                    <w:rPr>
                      <w:rFonts w:hint="eastAsia"/>
                    </w:rPr>
                    <w:t>SS</w:t>
                  </w:r>
                </w:p>
              </w:tc>
              <w:tc>
                <w:tcPr>
                  <w:tcW w:w="542" w:type="pct"/>
                  <w:shd w:val="clear" w:color="auto" w:fill="auto"/>
                  <w:vAlign w:val="center"/>
                </w:tcPr>
                <w:p w14:paraId="050F30EE">
                  <w:pPr>
                    <w:pStyle w:val="41"/>
                    <w:bidi w:val="0"/>
                    <w:rPr>
                      <w:rFonts w:hint="eastAsia"/>
                      <w:lang w:val="en-US" w:eastAsia="zh-CN"/>
                    </w:rPr>
                  </w:pPr>
                  <w:r>
                    <w:rPr>
                      <w:rFonts w:hint="eastAsia"/>
                    </w:rPr>
                    <w:t>100</w:t>
                  </w:r>
                </w:p>
              </w:tc>
              <w:tc>
                <w:tcPr>
                  <w:tcW w:w="499" w:type="pct"/>
                  <w:shd w:val="clear" w:color="auto" w:fill="auto"/>
                  <w:vAlign w:val="center"/>
                </w:tcPr>
                <w:p w14:paraId="4E38A1F5">
                  <w:pPr>
                    <w:pStyle w:val="41"/>
                    <w:bidi w:val="0"/>
                    <w:rPr>
                      <w:rFonts w:hint="eastAsia"/>
                      <w:lang w:val="en-US" w:eastAsia="zh-CN"/>
                    </w:rPr>
                  </w:pPr>
                  <w:r>
                    <w:rPr>
                      <w:rFonts w:hint="eastAsia"/>
                    </w:rPr>
                    <w:t>0.00</w:t>
                  </w:r>
                  <w:r>
                    <w:rPr>
                      <w:rFonts w:hint="eastAsia"/>
                      <w:lang w:val="en-US" w:eastAsia="zh-CN"/>
                    </w:rPr>
                    <w:t>7</w:t>
                  </w:r>
                  <w:r>
                    <w:rPr>
                      <w:rFonts w:hint="eastAsia"/>
                    </w:rPr>
                    <w:t>5</w:t>
                  </w:r>
                </w:p>
              </w:tc>
              <w:tc>
                <w:tcPr>
                  <w:tcW w:w="430" w:type="pct"/>
                  <w:vMerge w:val="continue"/>
                  <w:vAlign w:val="center"/>
                </w:tcPr>
                <w:p w14:paraId="6AE1A59B">
                  <w:pPr>
                    <w:pStyle w:val="41"/>
                    <w:bidi w:val="0"/>
                    <w:rPr>
                      <w:rFonts w:hint="eastAsia"/>
                      <w:lang w:val="en-US" w:eastAsia="zh-CN"/>
                    </w:rPr>
                  </w:pPr>
                </w:p>
              </w:tc>
              <w:tc>
                <w:tcPr>
                  <w:tcW w:w="485" w:type="pct"/>
                  <w:shd w:val="clear" w:color="auto" w:fill="auto"/>
                  <w:vAlign w:val="center"/>
                </w:tcPr>
                <w:p w14:paraId="2BC84C5A">
                  <w:pPr>
                    <w:pStyle w:val="41"/>
                    <w:bidi w:val="0"/>
                    <w:jc w:val="center"/>
                    <w:rPr>
                      <w:rFonts w:hint="eastAsia"/>
                      <w:lang w:val="en-US" w:eastAsia="zh-CN"/>
                    </w:rPr>
                  </w:pPr>
                  <w:r>
                    <w:rPr>
                      <w:rFonts w:hint="eastAsia"/>
                      <w:lang w:val="en-US" w:eastAsia="zh-CN"/>
                    </w:rPr>
                    <w:t>/</w:t>
                  </w:r>
                </w:p>
              </w:tc>
              <w:tc>
                <w:tcPr>
                  <w:tcW w:w="497" w:type="pct"/>
                  <w:shd w:val="clear" w:color="auto" w:fill="auto"/>
                  <w:vAlign w:val="center"/>
                </w:tcPr>
                <w:p w14:paraId="233663C9">
                  <w:pPr>
                    <w:pStyle w:val="41"/>
                    <w:bidi w:val="0"/>
                    <w:jc w:val="center"/>
                    <w:rPr>
                      <w:rFonts w:hint="eastAsia"/>
                      <w:lang w:val="en-US" w:eastAsia="zh-CN"/>
                    </w:rPr>
                  </w:pPr>
                  <w:r>
                    <w:rPr>
                      <w:rFonts w:hint="eastAsia"/>
                      <w:lang w:val="en-US" w:eastAsia="zh-CN"/>
                    </w:rPr>
                    <w:t>/</w:t>
                  </w:r>
                </w:p>
              </w:tc>
              <w:tc>
                <w:tcPr>
                  <w:tcW w:w="599" w:type="pct"/>
                  <w:shd w:val="clear" w:color="auto" w:fill="auto"/>
                  <w:vAlign w:val="center"/>
                </w:tcPr>
                <w:p w14:paraId="41A6A708">
                  <w:pPr>
                    <w:pStyle w:val="41"/>
                    <w:bidi w:val="0"/>
                    <w:jc w:val="center"/>
                    <w:rPr>
                      <w:rFonts w:hint="eastAsia"/>
                    </w:rPr>
                  </w:pPr>
                  <w:r>
                    <w:rPr>
                      <w:rFonts w:hint="eastAsia"/>
                      <w:lang w:val="en-US" w:eastAsia="zh-CN"/>
                    </w:rPr>
                    <w:t>/</w:t>
                  </w:r>
                </w:p>
              </w:tc>
              <w:tc>
                <w:tcPr>
                  <w:tcW w:w="497" w:type="pct"/>
                  <w:shd w:val="clear" w:color="auto" w:fill="auto"/>
                  <w:vAlign w:val="center"/>
                </w:tcPr>
                <w:p w14:paraId="2CFBA709">
                  <w:pPr>
                    <w:pStyle w:val="41"/>
                    <w:bidi w:val="0"/>
                    <w:jc w:val="center"/>
                    <w:rPr>
                      <w:rFonts w:hint="eastAsia"/>
                      <w:lang w:val="en-US" w:eastAsia="zh-CN"/>
                    </w:rPr>
                  </w:pPr>
                  <w:r>
                    <w:rPr>
                      <w:rFonts w:hint="eastAsia"/>
                      <w:lang w:val="en-US" w:eastAsia="zh-CN"/>
                    </w:rPr>
                    <w:t>/</w:t>
                  </w:r>
                </w:p>
              </w:tc>
              <w:tc>
                <w:tcPr>
                  <w:tcW w:w="254" w:type="pct"/>
                  <w:vMerge w:val="continue"/>
                  <w:vAlign w:val="center"/>
                </w:tcPr>
                <w:p w14:paraId="506AA2C0">
                  <w:pPr>
                    <w:pStyle w:val="41"/>
                    <w:bidi w:val="0"/>
                  </w:pPr>
                </w:p>
              </w:tc>
            </w:tr>
            <w:tr w14:paraId="41C0F18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restart"/>
                  <w:vAlign w:val="center"/>
                </w:tcPr>
                <w:p w14:paraId="1D31EE21">
                  <w:pPr>
                    <w:pStyle w:val="41"/>
                    <w:bidi w:val="0"/>
                    <w:rPr>
                      <w:rFonts w:hint="default"/>
                      <w:lang w:val="en-US" w:eastAsia="zh-CN"/>
                    </w:rPr>
                  </w:pPr>
                  <w:r>
                    <w:rPr>
                      <w:rFonts w:hint="eastAsia"/>
                      <w:lang w:val="en-US" w:eastAsia="zh-CN"/>
                    </w:rPr>
                    <w:t>喷淋塔废水37t/a</w:t>
                  </w:r>
                </w:p>
              </w:tc>
              <w:tc>
                <w:tcPr>
                  <w:tcW w:w="535" w:type="pct"/>
                  <w:shd w:val="clear" w:color="auto" w:fill="auto"/>
                  <w:vAlign w:val="center"/>
                </w:tcPr>
                <w:p w14:paraId="07F91E48">
                  <w:pPr>
                    <w:pStyle w:val="41"/>
                    <w:bidi w:val="0"/>
                    <w:rPr>
                      <w:rFonts w:hint="eastAsia"/>
                      <w:lang w:val="en-US" w:eastAsia="zh-CN"/>
                    </w:rPr>
                  </w:pPr>
                  <w:r>
                    <w:rPr>
                      <w:rFonts w:hint="eastAsia"/>
                    </w:rPr>
                    <w:t>COD</w:t>
                  </w:r>
                </w:p>
              </w:tc>
              <w:tc>
                <w:tcPr>
                  <w:tcW w:w="542" w:type="pct"/>
                  <w:shd w:val="clear" w:color="auto" w:fill="auto"/>
                  <w:vAlign w:val="center"/>
                </w:tcPr>
                <w:p w14:paraId="719C6E3B">
                  <w:pPr>
                    <w:pStyle w:val="41"/>
                    <w:bidi w:val="0"/>
                    <w:rPr>
                      <w:rFonts w:hint="eastAsia"/>
                      <w:lang w:val="en-US" w:eastAsia="zh-CN"/>
                    </w:rPr>
                  </w:pPr>
                  <w:r>
                    <w:rPr>
                      <w:rFonts w:hint="eastAsia"/>
                    </w:rPr>
                    <w:t>400</w:t>
                  </w:r>
                </w:p>
              </w:tc>
              <w:tc>
                <w:tcPr>
                  <w:tcW w:w="499" w:type="pct"/>
                  <w:shd w:val="clear" w:color="auto" w:fill="auto"/>
                  <w:vAlign w:val="center"/>
                </w:tcPr>
                <w:p w14:paraId="0CFAF814">
                  <w:pPr>
                    <w:pStyle w:val="41"/>
                    <w:bidi w:val="0"/>
                    <w:rPr>
                      <w:rFonts w:hint="eastAsia"/>
                      <w:lang w:val="en-US" w:eastAsia="zh-CN"/>
                    </w:rPr>
                  </w:pPr>
                  <w:r>
                    <w:rPr>
                      <w:rFonts w:hint="eastAsia"/>
                    </w:rPr>
                    <w:t>0.0148</w:t>
                  </w:r>
                </w:p>
              </w:tc>
              <w:tc>
                <w:tcPr>
                  <w:tcW w:w="430" w:type="pct"/>
                  <w:vMerge w:val="continue"/>
                  <w:vAlign w:val="center"/>
                </w:tcPr>
                <w:p w14:paraId="531192E9">
                  <w:pPr>
                    <w:pStyle w:val="41"/>
                    <w:bidi w:val="0"/>
                    <w:rPr>
                      <w:rFonts w:hint="eastAsia"/>
                      <w:lang w:val="en-US" w:eastAsia="zh-CN"/>
                    </w:rPr>
                  </w:pPr>
                </w:p>
              </w:tc>
              <w:tc>
                <w:tcPr>
                  <w:tcW w:w="485" w:type="pct"/>
                  <w:shd w:val="clear" w:color="auto" w:fill="auto"/>
                  <w:vAlign w:val="center"/>
                </w:tcPr>
                <w:p w14:paraId="10DFA06A">
                  <w:pPr>
                    <w:pStyle w:val="41"/>
                    <w:bidi w:val="0"/>
                    <w:jc w:val="center"/>
                    <w:rPr>
                      <w:rFonts w:hint="eastAsia"/>
                      <w:lang w:val="en-US" w:eastAsia="zh-CN"/>
                    </w:rPr>
                  </w:pPr>
                  <w:r>
                    <w:rPr>
                      <w:rFonts w:hint="eastAsia"/>
                      <w:lang w:val="en-US" w:eastAsia="zh-CN"/>
                    </w:rPr>
                    <w:t>/</w:t>
                  </w:r>
                </w:p>
              </w:tc>
              <w:tc>
                <w:tcPr>
                  <w:tcW w:w="497" w:type="pct"/>
                  <w:shd w:val="clear" w:color="auto" w:fill="auto"/>
                  <w:vAlign w:val="center"/>
                </w:tcPr>
                <w:p w14:paraId="5D109AA7">
                  <w:pPr>
                    <w:pStyle w:val="41"/>
                    <w:bidi w:val="0"/>
                    <w:jc w:val="center"/>
                    <w:rPr>
                      <w:rFonts w:hint="eastAsia"/>
                      <w:lang w:val="en-US" w:eastAsia="zh-CN"/>
                    </w:rPr>
                  </w:pPr>
                  <w:r>
                    <w:rPr>
                      <w:rFonts w:hint="eastAsia"/>
                      <w:lang w:val="en-US" w:eastAsia="zh-CN"/>
                    </w:rPr>
                    <w:t>/</w:t>
                  </w:r>
                </w:p>
              </w:tc>
              <w:tc>
                <w:tcPr>
                  <w:tcW w:w="599" w:type="pct"/>
                  <w:shd w:val="clear" w:color="auto" w:fill="auto"/>
                  <w:vAlign w:val="center"/>
                </w:tcPr>
                <w:p w14:paraId="7ED47AF0">
                  <w:pPr>
                    <w:pStyle w:val="41"/>
                    <w:bidi w:val="0"/>
                    <w:jc w:val="center"/>
                    <w:rPr>
                      <w:rFonts w:hint="eastAsia"/>
                    </w:rPr>
                  </w:pPr>
                  <w:r>
                    <w:rPr>
                      <w:rFonts w:hint="eastAsia"/>
                      <w:lang w:val="en-US" w:eastAsia="zh-CN"/>
                    </w:rPr>
                    <w:t>/</w:t>
                  </w:r>
                </w:p>
              </w:tc>
              <w:tc>
                <w:tcPr>
                  <w:tcW w:w="497" w:type="pct"/>
                  <w:shd w:val="clear" w:color="auto" w:fill="auto"/>
                  <w:vAlign w:val="center"/>
                </w:tcPr>
                <w:p w14:paraId="0FB173E6">
                  <w:pPr>
                    <w:pStyle w:val="41"/>
                    <w:bidi w:val="0"/>
                    <w:jc w:val="center"/>
                    <w:rPr>
                      <w:rFonts w:hint="eastAsia"/>
                      <w:lang w:val="en-US" w:eastAsia="zh-CN"/>
                    </w:rPr>
                  </w:pPr>
                  <w:r>
                    <w:rPr>
                      <w:rFonts w:hint="eastAsia"/>
                      <w:lang w:val="en-US" w:eastAsia="zh-CN"/>
                    </w:rPr>
                    <w:t>/</w:t>
                  </w:r>
                </w:p>
              </w:tc>
              <w:tc>
                <w:tcPr>
                  <w:tcW w:w="254" w:type="pct"/>
                  <w:vMerge w:val="continue"/>
                  <w:vAlign w:val="center"/>
                </w:tcPr>
                <w:p w14:paraId="06BB5377">
                  <w:pPr>
                    <w:pStyle w:val="41"/>
                    <w:bidi w:val="0"/>
                  </w:pPr>
                </w:p>
              </w:tc>
            </w:tr>
            <w:tr w14:paraId="728ACF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7B1A75CD">
                  <w:pPr>
                    <w:pStyle w:val="41"/>
                    <w:bidi w:val="0"/>
                  </w:pPr>
                </w:p>
              </w:tc>
              <w:tc>
                <w:tcPr>
                  <w:tcW w:w="535" w:type="pct"/>
                  <w:shd w:val="clear" w:color="auto" w:fill="auto"/>
                  <w:vAlign w:val="center"/>
                </w:tcPr>
                <w:p w14:paraId="01FE3FA9">
                  <w:pPr>
                    <w:pStyle w:val="41"/>
                    <w:bidi w:val="0"/>
                    <w:rPr>
                      <w:rFonts w:hint="eastAsia"/>
                      <w:lang w:val="en-US" w:eastAsia="zh-CN"/>
                    </w:rPr>
                  </w:pPr>
                  <w:r>
                    <w:rPr>
                      <w:rFonts w:hint="eastAsia"/>
                    </w:rPr>
                    <w:t>SS</w:t>
                  </w:r>
                </w:p>
              </w:tc>
              <w:tc>
                <w:tcPr>
                  <w:tcW w:w="542" w:type="pct"/>
                  <w:shd w:val="clear" w:color="auto" w:fill="auto"/>
                  <w:vAlign w:val="center"/>
                </w:tcPr>
                <w:p w14:paraId="5A00C365">
                  <w:pPr>
                    <w:pStyle w:val="41"/>
                    <w:bidi w:val="0"/>
                    <w:rPr>
                      <w:rFonts w:hint="eastAsia"/>
                      <w:lang w:val="en-US" w:eastAsia="zh-CN"/>
                    </w:rPr>
                  </w:pPr>
                  <w:r>
                    <w:rPr>
                      <w:rFonts w:hint="eastAsia"/>
                    </w:rPr>
                    <w:t>400</w:t>
                  </w:r>
                </w:p>
              </w:tc>
              <w:tc>
                <w:tcPr>
                  <w:tcW w:w="499" w:type="pct"/>
                  <w:shd w:val="clear" w:color="auto" w:fill="auto"/>
                  <w:vAlign w:val="center"/>
                </w:tcPr>
                <w:p w14:paraId="7713D2F7">
                  <w:pPr>
                    <w:pStyle w:val="41"/>
                    <w:bidi w:val="0"/>
                    <w:rPr>
                      <w:rFonts w:hint="eastAsia"/>
                      <w:lang w:val="en-US" w:eastAsia="zh-CN"/>
                    </w:rPr>
                  </w:pPr>
                  <w:r>
                    <w:rPr>
                      <w:rFonts w:hint="eastAsia"/>
                    </w:rPr>
                    <w:t>0.0148</w:t>
                  </w:r>
                </w:p>
              </w:tc>
              <w:tc>
                <w:tcPr>
                  <w:tcW w:w="430" w:type="pct"/>
                  <w:vMerge w:val="continue"/>
                  <w:vAlign w:val="center"/>
                </w:tcPr>
                <w:p w14:paraId="6EB5A66D">
                  <w:pPr>
                    <w:pStyle w:val="41"/>
                    <w:bidi w:val="0"/>
                    <w:rPr>
                      <w:rFonts w:hint="eastAsia"/>
                      <w:lang w:val="en-US" w:eastAsia="zh-CN"/>
                    </w:rPr>
                  </w:pPr>
                </w:p>
              </w:tc>
              <w:tc>
                <w:tcPr>
                  <w:tcW w:w="485" w:type="pct"/>
                  <w:shd w:val="clear" w:color="auto" w:fill="auto"/>
                  <w:vAlign w:val="center"/>
                </w:tcPr>
                <w:p w14:paraId="6714C113">
                  <w:pPr>
                    <w:pStyle w:val="41"/>
                    <w:bidi w:val="0"/>
                    <w:jc w:val="center"/>
                    <w:rPr>
                      <w:rFonts w:hint="eastAsia"/>
                      <w:lang w:val="en-US" w:eastAsia="zh-CN"/>
                    </w:rPr>
                  </w:pPr>
                  <w:r>
                    <w:rPr>
                      <w:rFonts w:hint="eastAsia"/>
                      <w:lang w:val="en-US" w:eastAsia="zh-CN"/>
                    </w:rPr>
                    <w:t>/</w:t>
                  </w:r>
                </w:p>
              </w:tc>
              <w:tc>
                <w:tcPr>
                  <w:tcW w:w="497" w:type="pct"/>
                  <w:shd w:val="clear" w:color="auto" w:fill="auto"/>
                  <w:vAlign w:val="center"/>
                </w:tcPr>
                <w:p w14:paraId="21B9B078">
                  <w:pPr>
                    <w:pStyle w:val="41"/>
                    <w:bidi w:val="0"/>
                    <w:jc w:val="center"/>
                    <w:rPr>
                      <w:rFonts w:hint="eastAsia"/>
                      <w:lang w:val="en-US" w:eastAsia="zh-CN"/>
                    </w:rPr>
                  </w:pPr>
                  <w:r>
                    <w:rPr>
                      <w:rFonts w:hint="eastAsia"/>
                      <w:lang w:val="en-US" w:eastAsia="zh-CN"/>
                    </w:rPr>
                    <w:t>/</w:t>
                  </w:r>
                </w:p>
              </w:tc>
              <w:tc>
                <w:tcPr>
                  <w:tcW w:w="599" w:type="pct"/>
                  <w:shd w:val="clear" w:color="auto" w:fill="auto"/>
                  <w:vAlign w:val="center"/>
                </w:tcPr>
                <w:p w14:paraId="41B7AA7A">
                  <w:pPr>
                    <w:pStyle w:val="41"/>
                    <w:bidi w:val="0"/>
                    <w:jc w:val="center"/>
                    <w:rPr>
                      <w:rFonts w:hint="eastAsia"/>
                    </w:rPr>
                  </w:pPr>
                  <w:r>
                    <w:rPr>
                      <w:rFonts w:hint="eastAsia"/>
                      <w:lang w:val="en-US" w:eastAsia="zh-CN"/>
                    </w:rPr>
                    <w:t>/</w:t>
                  </w:r>
                </w:p>
              </w:tc>
              <w:tc>
                <w:tcPr>
                  <w:tcW w:w="497" w:type="pct"/>
                  <w:shd w:val="clear" w:color="auto" w:fill="auto"/>
                  <w:vAlign w:val="center"/>
                </w:tcPr>
                <w:p w14:paraId="0975451F">
                  <w:pPr>
                    <w:pStyle w:val="41"/>
                    <w:bidi w:val="0"/>
                    <w:jc w:val="center"/>
                    <w:rPr>
                      <w:rFonts w:hint="eastAsia"/>
                      <w:lang w:val="en-US" w:eastAsia="zh-CN"/>
                    </w:rPr>
                  </w:pPr>
                  <w:r>
                    <w:rPr>
                      <w:rFonts w:hint="eastAsia"/>
                      <w:lang w:val="en-US" w:eastAsia="zh-CN"/>
                    </w:rPr>
                    <w:t>/</w:t>
                  </w:r>
                </w:p>
              </w:tc>
              <w:tc>
                <w:tcPr>
                  <w:tcW w:w="254" w:type="pct"/>
                  <w:vMerge w:val="continue"/>
                  <w:vAlign w:val="center"/>
                </w:tcPr>
                <w:p w14:paraId="6CE766F5">
                  <w:pPr>
                    <w:pStyle w:val="41"/>
                    <w:bidi w:val="0"/>
                  </w:pPr>
                </w:p>
              </w:tc>
            </w:tr>
            <w:tr w14:paraId="7D73C1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777F4AD9">
                  <w:pPr>
                    <w:pStyle w:val="41"/>
                    <w:bidi w:val="0"/>
                  </w:pPr>
                </w:p>
              </w:tc>
              <w:tc>
                <w:tcPr>
                  <w:tcW w:w="535" w:type="pct"/>
                  <w:shd w:val="clear" w:color="auto" w:fill="auto"/>
                  <w:vAlign w:val="center"/>
                </w:tcPr>
                <w:p w14:paraId="68B879A7">
                  <w:pPr>
                    <w:pStyle w:val="41"/>
                    <w:bidi w:val="0"/>
                    <w:rPr>
                      <w:rFonts w:hint="eastAsia"/>
                      <w:lang w:val="en-US" w:eastAsia="zh-CN"/>
                    </w:rPr>
                  </w:pPr>
                  <w:r>
                    <w:rPr>
                      <w:rFonts w:hint="eastAsia"/>
                    </w:rPr>
                    <w:t>NH</w:t>
                  </w:r>
                  <w:r>
                    <w:rPr>
                      <w:rFonts w:hint="eastAsia"/>
                      <w:vertAlign w:val="subscript"/>
                    </w:rPr>
                    <w:t>3</w:t>
                  </w:r>
                  <w:r>
                    <w:rPr>
                      <w:rFonts w:hint="eastAsia"/>
                    </w:rPr>
                    <w:t>-N</w:t>
                  </w:r>
                </w:p>
              </w:tc>
              <w:tc>
                <w:tcPr>
                  <w:tcW w:w="542" w:type="pct"/>
                  <w:shd w:val="clear" w:color="auto" w:fill="auto"/>
                  <w:vAlign w:val="center"/>
                </w:tcPr>
                <w:p w14:paraId="459F8071">
                  <w:pPr>
                    <w:pStyle w:val="41"/>
                    <w:bidi w:val="0"/>
                    <w:rPr>
                      <w:rFonts w:hint="eastAsia"/>
                      <w:lang w:val="en-US" w:eastAsia="zh-CN"/>
                    </w:rPr>
                  </w:pPr>
                  <w:r>
                    <w:rPr>
                      <w:rFonts w:hint="eastAsia"/>
                    </w:rPr>
                    <w:t>10</w:t>
                  </w:r>
                </w:p>
              </w:tc>
              <w:tc>
                <w:tcPr>
                  <w:tcW w:w="499" w:type="pct"/>
                  <w:shd w:val="clear" w:color="auto" w:fill="auto"/>
                  <w:vAlign w:val="center"/>
                </w:tcPr>
                <w:p w14:paraId="30A5B244">
                  <w:pPr>
                    <w:pStyle w:val="41"/>
                    <w:bidi w:val="0"/>
                    <w:rPr>
                      <w:rFonts w:hint="eastAsia"/>
                      <w:lang w:val="en-US" w:eastAsia="zh-CN"/>
                    </w:rPr>
                  </w:pPr>
                  <w:r>
                    <w:rPr>
                      <w:rFonts w:hint="eastAsia"/>
                    </w:rPr>
                    <w:t>0.00037</w:t>
                  </w:r>
                </w:p>
              </w:tc>
              <w:tc>
                <w:tcPr>
                  <w:tcW w:w="430" w:type="pct"/>
                  <w:vMerge w:val="continue"/>
                  <w:vAlign w:val="center"/>
                </w:tcPr>
                <w:p w14:paraId="60A6911C">
                  <w:pPr>
                    <w:pStyle w:val="41"/>
                    <w:bidi w:val="0"/>
                    <w:rPr>
                      <w:rFonts w:hint="eastAsia"/>
                      <w:lang w:val="en-US" w:eastAsia="zh-CN"/>
                    </w:rPr>
                  </w:pPr>
                </w:p>
              </w:tc>
              <w:tc>
                <w:tcPr>
                  <w:tcW w:w="485" w:type="pct"/>
                  <w:shd w:val="clear" w:color="auto" w:fill="auto"/>
                  <w:vAlign w:val="center"/>
                </w:tcPr>
                <w:p w14:paraId="5EC97364">
                  <w:pPr>
                    <w:pStyle w:val="41"/>
                    <w:bidi w:val="0"/>
                    <w:jc w:val="center"/>
                    <w:rPr>
                      <w:rFonts w:hint="eastAsia"/>
                      <w:lang w:val="en-US" w:eastAsia="zh-CN"/>
                    </w:rPr>
                  </w:pPr>
                  <w:r>
                    <w:rPr>
                      <w:rFonts w:hint="eastAsia"/>
                      <w:lang w:val="en-US" w:eastAsia="zh-CN"/>
                    </w:rPr>
                    <w:t>/</w:t>
                  </w:r>
                </w:p>
              </w:tc>
              <w:tc>
                <w:tcPr>
                  <w:tcW w:w="497" w:type="pct"/>
                  <w:shd w:val="clear" w:color="auto" w:fill="auto"/>
                  <w:vAlign w:val="center"/>
                </w:tcPr>
                <w:p w14:paraId="6A86E45A">
                  <w:pPr>
                    <w:pStyle w:val="41"/>
                    <w:bidi w:val="0"/>
                    <w:jc w:val="center"/>
                    <w:rPr>
                      <w:rFonts w:hint="eastAsia"/>
                      <w:lang w:val="en-US" w:eastAsia="zh-CN"/>
                    </w:rPr>
                  </w:pPr>
                  <w:r>
                    <w:rPr>
                      <w:rFonts w:hint="eastAsia"/>
                      <w:lang w:val="en-US" w:eastAsia="zh-CN"/>
                    </w:rPr>
                    <w:t>/</w:t>
                  </w:r>
                </w:p>
              </w:tc>
              <w:tc>
                <w:tcPr>
                  <w:tcW w:w="599" w:type="pct"/>
                  <w:shd w:val="clear" w:color="auto" w:fill="auto"/>
                  <w:vAlign w:val="center"/>
                </w:tcPr>
                <w:p w14:paraId="7994D2F0">
                  <w:pPr>
                    <w:pStyle w:val="41"/>
                    <w:bidi w:val="0"/>
                    <w:jc w:val="center"/>
                    <w:rPr>
                      <w:rFonts w:hint="eastAsia"/>
                    </w:rPr>
                  </w:pPr>
                  <w:r>
                    <w:rPr>
                      <w:rFonts w:hint="eastAsia"/>
                      <w:lang w:val="en-US" w:eastAsia="zh-CN"/>
                    </w:rPr>
                    <w:t>/</w:t>
                  </w:r>
                </w:p>
              </w:tc>
              <w:tc>
                <w:tcPr>
                  <w:tcW w:w="497" w:type="pct"/>
                  <w:shd w:val="clear" w:color="auto" w:fill="auto"/>
                  <w:vAlign w:val="center"/>
                </w:tcPr>
                <w:p w14:paraId="059434AA">
                  <w:pPr>
                    <w:pStyle w:val="41"/>
                    <w:bidi w:val="0"/>
                    <w:jc w:val="center"/>
                    <w:rPr>
                      <w:rFonts w:hint="eastAsia"/>
                      <w:lang w:val="en-US" w:eastAsia="zh-CN"/>
                    </w:rPr>
                  </w:pPr>
                  <w:r>
                    <w:rPr>
                      <w:rFonts w:hint="eastAsia"/>
                      <w:lang w:val="en-US" w:eastAsia="zh-CN"/>
                    </w:rPr>
                    <w:t>/</w:t>
                  </w:r>
                </w:p>
              </w:tc>
              <w:tc>
                <w:tcPr>
                  <w:tcW w:w="254" w:type="pct"/>
                  <w:vMerge w:val="continue"/>
                  <w:vAlign w:val="center"/>
                </w:tcPr>
                <w:p w14:paraId="68579A20">
                  <w:pPr>
                    <w:pStyle w:val="41"/>
                    <w:bidi w:val="0"/>
                  </w:pPr>
                </w:p>
              </w:tc>
            </w:tr>
            <w:tr w14:paraId="6420A3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25008C88">
                  <w:pPr>
                    <w:pStyle w:val="41"/>
                    <w:bidi w:val="0"/>
                  </w:pPr>
                </w:p>
              </w:tc>
              <w:tc>
                <w:tcPr>
                  <w:tcW w:w="535" w:type="pct"/>
                  <w:shd w:val="clear" w:color="auto" w:fill="auto"/>
                  <w:vAlign w:val="center"/>
                </w:tcPr>
                <w:p w14:paraId="0579FC7B">
                  <w:pPr>
                    <w:pStyle w:val="41"/>
                    <w:bidi w:val="0"/>
                    <w:rPr>
                      <w:rFonts w:hint="eastAsia"/>
                      <w:lang w:val="en-US" w:eastAsia="zh-CN"/>
                    </w:rPr>
                  </w:pPr>
                  <w:r>
                    <w:rPr>
                      <w:rFonts w:hint="eastAsia"/>
                    </w:rPr>
                    <w:t>TN</w:t>
                  </w:r>
                </w:p>
              </w:tc>
              <w:tc>
                <w:tcPr>
                  <w:tcW w:w="542" w:type="pct"/>
                  <w:shd w:val="clear" w:color="auto" w:fill="auto"/>
                  <w:vAlign w:val="center"/>
                </w:tcPr>
                <w:p w14:paraId="6DE56FF2">
                  <w:pPr>
                    <w:pStyle w:val="41"/>
                    <w:bidi w:val="0"/>
                    <w:rPr>
                      <w:rFonts w:hint="eastAsia"/>
                      <w:lang w:val="en-US" w:eastAsia="zh-CN"/>
                    </w:rPr>
                  </w:pPr>
                  <w:r>
                    <w:rPr>
                      <w:rFonts w:hint="eastAsia"/>
                    </w:rPr>
                    <w:t>15</w:t>
                  </w:r>
                </w:p>
              </w:tc>
              <w:tc>
                <w:tcPr>
                  <w:tcW w:w="499" w:type="pct"/>
                  <w:shd w:val="clear" w:color="auto" w:fill="auto"/>
                  <w:vAlign w:val="center"/>
                </w:tcPr>
                <w:p w14:paraId="44967F98">
                  <w:pPr>
                    <w:pStyle w:val="41"/>
                    <w:bidi w:val="0"/>
                    <w:rPr>
                      <w:rFonts w:hint="eastAsia"/>
                      <w:lang w:val="en-US" w:eastAsia="zh-CN"/>
                    </w:rPr>
                  </w:pPr>
                  <w:r>
                    <w:rPr>
                      <w:rFonts w:hint="eastAsia"/>
                    </w:rPr>
                    <w:t>0.000555</w:t>
                  </w:r>
                </w:p>
              </w:tc>
              <w:tc>
                <w:tcPr>
                  <w:tcW w:w="430" w:type="pct"/>
                  <w:vMerge w:val="continue"/>
                  <w:vAlign w:val="center"/>
                </w:tcPr>
                <w:p w14:paraId="3ACBD41C">
                  <w:pPr>
                    <w:pStyle w:val="41"/>
                    <w:bidi w:val="0"/>
                    <w:rPr>
                      <w:rFonts w:hint="eastAsia"/>
                      <w:lang w:val="en-US" w:eastAsia="zh-CN"/>
                    </w:rPr>
                  </w:pPr>
                </w:p>
              </w:tc>
              <w:tc>
                <w:tcPr>
                  <w:tcW w:w="485" w:type="pct"/>
                  <w:shd w:val="clear" w:color="auto" w:fill="auto"/>
                  <w:vAlign w:val="center"/>
                </w:tcPr>
                <w:p w14:paraId="5B6A883E">
                  <w:pPr>
                    <w:pStyle w:val="41"/>
                    <w:bidi w:val="0"/>
                    <w:jc w:val="center"/>
                    <w:rPr>
                      <w:rFonts w:hint="eastAsia"/>
                      <w:lang w:val="en-US" w:eastAsia="zh-CN"/>
                    </w:rPr>
                  </w:pPr>
                  <w:r>
                    <w:rPr>
                      <w:rFonts w:hint="eastAsia"/>
                      <w:lang w:val="en-US" w:eastAsia="zh-CN"/>
                    </w:rPr>
                    <w:t>/</w:t>
                  </w:r>
                </w:p>
              </w:tc>
              <w:tc>
                <w:tcPr>
                  <w:tcW w:w="497" w:type="pct"/>
                  <w:shd w:val="clear" w:color="auto" w:fill="auto"/>
                  <w:vAlign w:val="center"/>
                </w:tcPr>
                <w:p w14:paraId="5664F558">
                  <w:pPr>
                    <w:pStyle w:val="41"/>
                    <w:bidi w:val="0"/>
                    <w:jc w:val="center"/>
                    <w:rPr>
                      <w:rFonts w:hint="eastAsia"/>
                      <w:lang w:val="en-US" w:eastAsia="zh-CN"/>
                    </w:rPr>
                  </w:pPr>
                  <w:r>
                    <w:rPr>
                      <w:rFonts w:hint="eastAsia"/>
                      <w:lang w:val="en-US" w:eastAsia="zh-CN"/>
                    </w:rPr>
                    <w:t>/</w:t>
                  </w:r>
                </w:p>
              </w:tc>
              <w:tc>
                <w:tcPr>
                  <w:tcW w:w="599" w:type="pct"/>
                  <w:shd w:val="clear" w:color="auto" w:fill="auto"/>
                  <w:vAlign w:val="center"/>
                </w:tcPr>
                <w:p w14:paraId="781D77C7">
                  <w:pPr>
                    <w:pStyle w:val="41"/>
                    <w:bidi w:val="0"/>
                    <w:jc w:val="center"/>
                    <w:rPr>
                      <w:rFonts w:hint="eastAsia"/>
                    </w:rPr>
                  </w:pPr>
                  <w:r>
                    <w:rPr>
                      <w:rFonts w:hint="eastAsia"/>
                      <w:lang w:val="en-US" w:eastAsia="zh-CN"/>
                    </w:rPr>
                    <w:t>/</w:t>
                  </w:r>
                </w:p>
              </w:tc>
              <w:tc>
                <w:tcPr>
                  <w:tcW w:w="497" w:type="pct"/>
                  <w:shd w:val="clear" w:color="auto" w:fill="auto"/>
                  <w:vAlign w:val="center"/>
                </w:tcPr>
                <w:p w14:paraId="6B5CB936">
                  <w:pPr>
                    <w:pStyle w:val="41"/>
                    <w:bidi w:val="0"/>
                    <w:jc w:val="center"/>
                    <w:rPr>
                      <w:rFonts w:hint="eastAsia"/>
                      <w:lang w:val="en-US" w:eastAsia="zh-CN"/>
                    </w:rPr>
                  </w:pPr>
                  <w:r>
                    <w:rPr>
                      <w:rFonts w:hint="eastAsia"/>
                      <w:lang w:val="en-US" w:eastAsia="zh-CN"/>
                    </w:rPr>
                    <w:t>/</w:t>
                  </w:r>
                </w:p>
              </w:tc>
              <w:tc>
                <w:tcPr>
                  <w:tcW w:w="254" w:type="pct"/>
                  <w:vMerge w:val="continue"/>
                  <w:vAlign w:val="center"/>
                </w:tcPr>
                <w:p w14:paraId="30876222">
                  <w:pPr>
                    <w:pStyle w:val="41"/>
                    <w:bidi w:val="0"/>
                  </w:pPr>
                </w:p>
              </w:tc>
            </w:tr>
            <w:tr w14:paraId="701CEC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1BAC80BF">
                  <w:pPr>
                    <w:pStyle w:val="41"/>
                    <w:bidi w:val="0"/>
                  </w:pPr>
                </w:p>
              </w:tc>
              <w:tc>
                <w:tcPr>
                  <w:tcW w:w="535" w:type="pct"/>
                  <w:shd w:val="clear" w:color="auto" w:fill="auto"/>
                  <w:vAlign w:val="center"/>
                </w:tcPr>
                <w:p w14:paraId="3D376E90">
                  <w:pPr>
                    <w:pStyle w:val="41"/>
                    <w:bidi w:val="0"/>
                    <w:rPr>
                      <w:rFonts w:hint="eastAsia"/>
                      <w:lang w:val="en-US" w:eastAsia="zh-CN"/>
                    </w:rPr>
                  </w:pPr>
                  <w:r>
                    <w:rPr>
                      <w:rFonts w:hint="eastAsia"/>
                    </w:rPr>
                    <w:t>TP</w:t>
                  </w:r>
                </w:p>
              </w:tc>
              <w:tc>
                <w:tcPr>
                  <w:tcW w:w="542" w:type="pct"/>
                  <w:shd w:val="clear" w:color="auto" w:fill="auto"/>
                  <w:vAlign w:val="center"/>
                </w:tcPr>
                <w:p w14:paraId="2A75DD18">
                  <w:pPr>
                    <w:pStyle w:val="41"/>
                    <w:bidi w:val="0"/>
                    <w:rPr>
                      <w:rFonts w:hint="eastAsia"/>
                      <w:lang w:val="en-US" w:eastAsia="zh-CN"/>
                    </w:rPr>
                  </w:pPr>
                  <w:r>
                    <w:rPr>
                      <w:rFonts w:hint="eastAsia"/>
                    </w:rPr>
                    <w:t>2</w:t>
                  </w:r>
                </w:p>
              </w:tc>
              <w:tc>
                <w:tcPr>
                  <w:tcW w:w="499" w:type="pct"/>
                  <w:shd w:val="clear" w:color="auto" w:fill="auto"/>
                  <w:vAlign w:val="center"/>
                </w:tcPr>
                <w:p w14:paraId="2B3A780B">
                  <w:pPr>
                    <w:pStyle w:val="41"/>
                    <w:bidi w:val="0"/>
                    <w:rPr>
                      <w:rFonts w:hint="eastAsia"/>
                      <w:lang w:val="en-US" w:eastAsia="zh-CN"/>
                    </w:rPr>
                  </w:pPr>
                  <w:r>
                    <w:rPr>
                      <w:rFonts w:hint="eastAsia"/>
                    </w:rPr>
                    <w:t>0.000074</w:t>
                  </w:r>
                </w:p>
              </w:tc>
              <w:tc>
                <w:tcPr>
                  <w:tcW w:w="430" w:type="pct"/>
                  <w:vMerge w:val="continue"/>
                  <w:vAlign w:val="center"/>
                </w:tcPr>
                <w:p w14:paraId="6B048464">
                  <w:pPr>
                    <w:pStyle w:val="41"/>
                    <w:bidi w:val="0"/>
                    <w:rPr>
                      <w:rFonts w:hint="eastAsia"/>
                      <w:lang w:val="en-US" w:eastAsia="zh-CN"/>
                    </w:rPr>
                  </w:pPr>
                </w:p>
              </w:tc>
              <w:tc>
                <w:tcPr>
                  <w:tcW w:w="485" w:type="pct"/>
                  <w:shd w:val="clear" w:color="auto" w:fill="auto"/>
                  <w:vAlign w:val="center"/>
                </w:tcPr>
                <w:p w14:paraId="2042FF6D">
                  <w:pPr>
                    <w:pStyle w:val="41"/>
                    <w:bidi w:val="0"/>
                    <w:jc w:val="center"/>
                    <w:rPr>
                      <w:rFonts w:hint="eastAsia"/>
                      <w:lang w:val="en-US" w:eastAsia="zh-CN"/>
                    </w:rPr>
                  </w:pPr>
                  <w:r>
                    <w:rPr>
                      <w:rFonts w:hint="eastAsia"/>
                      <w:lang w:val="en-US" w:eastAsia="zh-CN"/>
                    </w:rPr>
                    <w:t>/</w:t>
                  </w:r>
                </w:p>
              </w:tc>
              <w:tc>
                <w:tcPr>
                  <w:tcW w:w="497" w:type="pct"/>
                  <w:shd w:val="clear" w:color="auto" w:fill="auto"/>
                  <w:vAlign w:val="center"/>
                </w:tcPr>
                <w:p w14:paraId="4113BEA4">
                  <w:pPr>
                    <w:pStyle w:val="41"/>
                    <w:bidi w:val="0"/>
                    <w:jc w:val="center"/>
                    <w:rPr>
                      <w:rFonts w:hint="eastAsia"/>
                      <w:lang w:val="en-US" w:eastAsia="zh-CN"/>
                    </w:rPr>
                  </w:pPr>
                  <w:r>
                    <w:rPr>
                      <w:rFonts w:hint="eastAsia"/>
                      <w:lang w:val="en-US" w:eastAsia="zh-CN"/>
                    </w:rPr>
                    <w:t>/</w:t>
                  </w:r>
                </w:p>
              </w:tc>
              <w:tc>
                <w:tcPr>
                  <w:tcW w:w="599" w:type="pct"/>
                  <w:shd w:val="clear" w:color="auto" w:fill="auto"/>
                  <w:vAlign w:val="center"/>
                </w:tcPr>
                <w:p w14:paraId="2FD5419C">
                  <w:pPr>
                    <w:pStyle w:val="41"/>
                    <w:bidi w:val="0"/>
                    <w:jc w:val="center"/>
                    <w:rPr>
                      <w:rFonts w:hint="eastAsia"/>
                    </w:rPr>
                  </w:pPr>
                  <w:r>
                    <w:rPr>
                      <w:rFonts w:hint="eastAsia"/>
                      <w:lang w:val="en-US" w:eastAsia="zh-CN"/>
                    </w:rPr>
                    <w:t>/</w:t>
                  </w:r>
                </w:p>
              </w:tc>
              <w:tc>
                <w:tcPr>
                  <w:tcW w:w="497" w:type="pct"/>
                  <w:shd w:val="clear" w:color="auto" w:fill="auto"/>
                  <w:vAlign w:val="center"/>
                </w:tcPr>
                <w:p w14:paraId="2A99D5DA">
                  <w:pPr>
                    <w:pStyle w:val="41"/>
                    <w:bidi w:val="0"/>
                    <w:jc w:val="center"/>
                    <w:rPr>
                      <w:rFonts w:hint="eastAsia"/>
                      <w:lang w:val="en-US" w:eastAsia="zh-CN"/>
                    </w:rPr>
                  </w:pPr>
                  <w:r>
                    <w:rPr>
                      <w:rFonts w:hint="eastAsia"/>
                      <w:lang w:val="en-US" w:eastAsia="zh-CN"/>
                    </w:rPr>
                    <w:t>/</w:t>
                  </w:r>
                </w:p>
              </w:tc>
              <w:tc>
                <w:tcPr>
                  <w:tcW w:w="254" w:type="pct"/>
                  <w:vMerge w:val="continue"/>
                  <w:vAlign w:val="center"/>
                </w:tcPr>
                <w:p w14:paraId="29414BD1">
                  <w:pPr>
                    <w:pStyle w:val="41"/>
                    <w:bidi w:val="0"/>
                  </w:pPr>
                </w:p>
              </w:tc>
            </w:tr>
            <w:tr w14:paraId="07E536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restart"/>
                  <w:vAlign w:val="center"/>
                </w:tcPr>
                <w:p w14:paraId="633A9C3C">
                  <w:pPr>
                    <w:pStyle w:val="41"/>
                    <w:bidi w:val="0"/>
                    <w:rPr>
                      <w:rFonts w:hint="default"/>
                      <w:b/>
                      <w:bCs/>
                      <w:lang w:val="en-US" w:eastAsia="zh-CN"/>
                    </w:rPr>
                  </w:pPr>
                  <w:r>
                    <w:rPr>
                      <w:rFonts w:hint="eastAsia"/>
                      <w:b/>
                      <w:bCs/>
                      <w:lang w:val="en-US" w:eastAsia="zh-CN"/>
                    </w:rPr>
                    <w:t>污水种类及产生量</w:t>
                  </w:r>
                </w:p>
              </w:tc>
              <w:tc>
                <w:tcPr>
                  <w:tcW w:w="1577" w:type="pct"/>
                  <w:gridSpan w:val="3"/>
                  <w:vAlign w:val="center"/>
                </w:tcPr>
                <w:p w14:paraId="43B3D873">
                  <w:pPr>
                    <w:pStyle w:val="41"/>
                    <w:bidi w:val="0"/>
                    <w:rPr>
                      <w:rFonts w:hint="default"/>
                      <w:b/>
                      <w:bCs/>
                      <w:lang w:val="en-US" w:eastAsia="zh-CN"/>
                    </w:rPr>
                  </w:pPr>
                  <w:r>
                    <w:rPr>
                      <w:rFonts w:hint="eastAsia"/>
                      <w:b/>
                      <w:bCs/>
                      <w:lang w:val="en-US" w:eastAsia="zh-CN"/>
                    </w:rPr>
                    <w:t>接管情况</w:t>
                  </w:r>
                </w:p>
              </w:tc>
              <w:tc>
                <w:tcPr>
                  <w:tcW w:w="430" w:type="pct"/>
                  <w:vMerge w:val="restart"/>
                  <w:vAlign w:val="center"/>
                </w:tcPr>
                <w:p w14:paraId="1D8CAC44">
                  <w:pPr>
                    <w:pStyle w:val="41"/>
                    <w:bidi w:val="0"/>
                    <w:rPr>
                      <w:rFonts w:hint="default"/>
                      <w:b/>
                      <w:bCs/>
                      <w:lang w:val="en-US" w:eastAsia="zh-CN"/>
                    </w:rPr>
                  </w:pPr>
                  <w:r>
                    <w:rPr>
                      <w:rFonts w:hint="eastAsia"/>
                      <w:b/>
                      <w:bCs/>
                      <w:lang w:val="en-US" w:eastAsia="zh-CN"/>
                    </w:rPr>
                    <w:t>治理措施</w:t>
                  </w:r>
                </w:p>
              </w:tc>
              <w:tc>
                <w:tcPr>
                  <w:tcW w:w="1581" w:type="pct"/>
                  <w:gridSpan w:val="3"/>
                  <w:vAlign w:val="center"/>
                </w:tcPr>
                <w:p w14:paraId="70096797">
                  <w:pPr>
                    <w:pStyle w:val="41"/>
                    <w:bidi w:val="0"/>
                    <w:rPr>
                      <w:rFonts w:hint="default"/>
                      <w:b/>
                      <w:bCs/>
                      <w:lang w:val="en-US" w:eastAsia="zh-CN"/>
                    </w:rPr>
                  </w:pPr>
                  <w:r>
                    <w:rPr>
                      <w:rFonts w:hint="eastAsia"/>
                      <w:b/>
                      <w:bCs/>
                      <w:lang w:val="en-US" w:eastAsia="zh-CN"/>
                    </w:rPr>
                    <w:t>外排情况</w:t>
                  </w:r>
                </w:p>
              </w:tc>
              <w:tc>
                <w:tcPr>
                  <w:tcW w:w="497" w:type="pct"/>
                  <w:vMerge w:val="restart"/>
                  <w:vAlign w:val="center"/>
                </w:tcPr>
                <w:p w14:paraId="68005A80">
                  <w:pPr>
                    <w:pStyle w:val="41"/>
                    <w:bidi w:val="0"/>
                    <w:rPr>
                      <w:rFonts w:hint="eastAsia"/>
                      <w:b/>
                      <w:bCs/>
                      <w:lang w:val="en-US" w:eastAsia="zh-CN"/>
                    </w:rPr>
                  </w:pPr>
                  <w:r>
                    <w:rPr>
                      <w:rFonts w:hint="eastAsia"/>
                      <w:b/>
                      <w:bCs/>
                    </w:rPr>
                    <w:t>标准浓度限值</w:t>
                  </w:r>
                  <w:r>
                    <w:rPr>
                      <w:rFonts w:hint="eastAsia"/>
                      <w:b/>
                      <w:bCs/>
                      <w:lang w:eastAsia="zh-CN"/>
                    </w:rPr>
                    <w:t>(</w:t>
                  </w:r>
                  <w:r>
                    <w:rPr>
                      <w:rFonts w:hint="eastAsia"/>
                      <w:b/>
                      <w:bCs/>
                    </w:rPr>
                    <w:t>mg/L)</w:t>
                  </w:r>
                </w:p>
              </w:tc>
              <w:tc>
                <w:tcPr>
                  <w:tcW w:w="254" w:type="pct"/>
                  <w:vMerge w:val="restart"/>
                  <w:vAlign w:val="center"/>
                </w:tcPr>
                <w:p w14:paraId="3542795B">
                  <w:pPr>
                    <w:pStyle w:val="41"/>
                    <w:bidi w:val="0"/>
                    <w:rPr>
                      <w:rFonts w:hint="eastAsia"/>
                      <w:b/>
                      <w:bCs/>
                      <w:lang w:val="en-US" w:eastAsia="zh-CN"/>
                    </w:rPr>
                  </w:pPr>
                  <w:r>
                    <w:rPr>
                      <w:rFonts w:hint="eastAsia"/>
                      <w:b/>
                      <w:bCs/>
                    </w:rPr>
                    <w:t>排放</w:t>
                  </w:r>
                  <w:r>
                    <w:rPr>
                      <w:rFonts w:hint="eastAsia"/>
                      <w:b/>
                      <w:bCs/>
                      <w:lang w:val="en-US" w:eastAsia="zh-CN"/>
                    </w:rPr>
                    <w:t>去向</w:t>
                  </w:r>
                </w:p>
              </w:tc>
            </w:tr>
            <w:tr w14:paraId="512D78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74DF3B3D">
                  <w:pPr>
                    <w:pStyle w:val="41"/>
                    <w:bidi w:val="0"/>
                  </w:pPr>
                </w:p>
              </w:tc>
              <w:tc>
                <w:tcPr>
                  <w:tcW w:w="535" w:type="pct"/>
                  <w:vAlign w:val="center"/>
                </w:tcPr>
                <w:p w14:paraId="5DD8D3EA">
                  <w:pPr>
                    <w:pStyle w:val="41"/>
                    <w:bidi w:val="0"/>
                    <w:rPr>
                      <w:rFonts w:hint="eastAsia"/>
                      <w:b/>
                      <w:bCs/>
                      <w:lang w:val="en-US" w:eastAsia="zh-CN"/>
                    </w:rPr>
                  </w:pPr>
                  <w:r>
                    <w:rPr>
                      <w:rFonts w:hint="eastAsia"/>
                      <w:b/>
                      <w:bCs/>
                      <w:lang w:val="en-US" w:eastAsia="zh-CN"/>
                    </w:rPr>
                    <w:t>污染物名称</w:t>
                  </w:r>
                </w:p>
              </w:tc>
              <w:tc>
                <w:tcPr>
                  <w:tcW w:w="542" w:type="pct"/>
                  <w:vAlign w:val="center"/>
                </w:tcPr>
                <w:p w14:paraId="33463912">
                  <w:pPr>
                    <w:pStyle w:val="41"/>
                    <w:bidi w:val="0"/>
                    <w:rPr>
                      <w:rFonts w:hint="eastAsia"/>
                      <w:b/>
                      <w:bCs/>
                    </w:rPr>
                  </w:pPr>
                  <w:r>
                    <w:rPr>
                      <w:rFonts w:hint="eastAsia"/>
                      <w:b/>
                      <w:bCs/>
                    </w:rPr>
                    <w:t>浓度</w:t>
                  </w:r>
                </w:p>
                <w:p w14:paraId="3120C424">
                  <w:pPr>
                    <w:pStyle w:val="41"/>
                    <w:bidi w:val="0"/>
                    <w:rPr>
                      <w:rFonts w:hint="default"/>
                      <w:b/>
                      <w:bCs/>
                      <w:lang w:val="en-US" w:eastAsia="zh-CN"/>
                    </w:rPr>
                  </w:pPr>
                  <w:r>
                    <w:rPr>
                      <w:rFonts w:hint="eastAsia"/>
                      <w:b/>
                      <w:bCs/>
                    </w:rPr>
                    <w:t>(mg/L)</w:t>
                  </w:r>
                </w:p>
              </w:tc>
              <w:tc>
                <w:tcPr>
                  <w:tcW w:w="499" w:type="pct"/>
                  <w:vAlign w:val="center"/>
                </w:tcPr>
                <w:p w14:paraId="7AA7A401">
                  <w:pPr>
                    <w:pStyle w:val="41"/>
                    <w:bidi w:val="0"/>
                    <w:rPr>
                      <w:rFonts w:hint="default"/>
                      <w:b/>
                      <w:bCs/>
                      <w:lang w:val="en-US" w:eastAsia="zh-CN"/>
                    </w:rPr>
                  </w:pPr>
                  <w:r>
                    <w:rPr>
                      <w:rFonts w:hint="eastAsia"/>
                      <w:b/>
                      <w:bCs/>
                      <w:lang w:val="en-US" w:eastAsia="zh-CN"/>
                    </w:rPr>
                    <w:t>接管</w:t>
                  </w:r>
                  <w:r>
                    <w:rPr>
                      <w:rFonts w:hint="eastAsia"/>
                      <w:b/>
                      <w:bCs/>
                    </w:rPr>
                    <w:t>量</w:t>
                  </w:r>
                  <w:r>
                    <w:rPr>
                      <w:rFonts w:hint="eastAsia"/>
                      <w:b/>
                      <w:bCs/>
                      <w:lang w:eastAsia="zh-CN"/>
                    </w:rPr>
                    <w:t>(</w:t>
                  </w:r>
                  <w:r>
                    <w:rPr>
                      <w:rFonts w:hint="eastAsia"/>
                      <w:b/>
                      <w:bCs/>
                    </w:rPr>
                    <w:t>t/a)</w:t>
                  </w:r>
                </w:p>
              </w:tc>
              <w:tc>
                <w:tcPr>
                  <w:tcW w:w="430" w:type="pct"/>
                  <w:vMerge w:val="continue"/>
                  <w:vAlign w:val="center"/>
                </w:tcPr>
                <w:p w14:paraId="41BDA05A">
                  <w:pPr>
                    <w:pStyle w:val="41"/>
                    <w:bidi w:val="0"/>
                    <w:rPr>
                      <w:rFonts w:hint="eastAsia"/>
                      <w:b/>
                      <w:bCs/>
                      <w:lang w:val="en-US" w:eastAsia="zh-CN"/>
                    </w:rPr>
                  </w:pPr>
                </w:p>
              </w:tc>
              <w:tc>
                <w:tcPr>
                  <w:tcW w:w="485" w:type="pct"/>
                  <w:vAlign w:val="center"/>
                </w:tcPr>
                <w:p w14:paraId="2C45E97A">
                  <w:pPr>
                    <w:pStyle w:val="41"/>
                    <w:bidi w:val="0"/>
                    <w:rPr>
                      <w:rFonts w:hint="eastAsia"/>
                      <w:b/>
                      <w:bCs/>
                    </w:rPr>
                  </w:pPr>
                  <w:r>
                    <w:rPr>
                      <w:rFonts w:hint="eastAsia"/>
                      <w:b/>
                      <w:bCs/>
                      <w:lang w:val="en-US" w:eastAsia="zh-CN"/>
                    </w:rPr>
                    <w:t>污染物名称</w:t>
                  </w:r>
                </w:p>
              </w:tc>
              <w:tc>
                <w:tcPr>
                  <w:tcW w:w="497" w:type="pct"/>
                  <w:vAlign w:val="center"/>
                </w:tcPr>
                <w:p w14:paraId="470C7D75">
                  <w:pPr>
                    <w:pStyle w:val="41"/>
                    <w:bidi w:val="0"/>
                    <w:rPr>
                      <w:rFonts w:hint="eastAsia"/>
                      <w:b/>
                      <w:bCs/>
                    </w:rPr>
                  </w:pPr>
                  <w:r>
                    <w:rPr>
                      <w:rFonts w:hint="eastAsia"/>
                      <w:b/>
                      <w:bCs/>
                    </w:rPr>
                    <w:t>浓度</w:t>
                  </w:r>
                </w:p>
                <w:p w14:paraId="488AA167">
                  <w:pPr>
                    <w:pStyle w:val="41"/>
                    <w:bidi w:val="0"/>
                    <w:rPr>
                      <w:rFonts w:hint="default"/>
                      <w:b/>
                      <w:bCs/>
                      <w:lang w:val="en-US" w:eastAsia="zh-CN"/>
                    </w:rPr>
                  </w:pPr>
                  <w:r>
                    <w:rPr>
                      <w:rFonts w:hint="eastAsia"/>
                      <w:b/>
                      <w:bCs/>
                    </w:rPr>
                    <w:t>(mg/L)</w:t>
                  </w:r>
                </w:p>
              </w:tc>
              <w:tc>
                <w:tcPr>
                  <w:tcW w:w="599" w:type="pct"/>
                  <w:vAlign w:val="center"/>
                </w:tcPr>
                <w:p w14:paraId="1B400624">
                  <w:pPr>
                    <w:pStyle w:val="41"/>
                    <w:bidi w:val="0"/>
                    <w:rPr>
                      <w:rFonts w:hint="default"/>
                      <w:b/>
                      <w:bCs/>
                      <w:lang w:val="en-US" w:eastAsia="zh-CN"/>
                    </w:rPr>
                  </w:pPr>
                  <w:r>
                    <w:rPr>
                      <w:rFonts w:hint="eastAsia"/>
                      <w:b/>
                      <w:bCs/>
                      <w:lang w:val="en-US" w:eastAsia="zh-CN"/>
                    </w:rPr>
                    <w:t>外排</w:t>
                  </w:r>
                  <w:r>
                    <w:rPr>
                      <w:rFonts w:hint="eastAsia"/>
                      <w:b/>
                      <w:bCs/>
                    </w:rPr>
                    <w:t>量</w:t>
                  </w:r>
                  <w:r>
                    <w:rPr>
                      <w:rFonts w:hint="eastAsia"/>
                      <w:b/>
                      <w:bCs/>
                      <w:lang w:eastAsia="zh-CN"/>
                    </w:rPr>
                    <w:t>(</w:t>
                  </w:r>
                  <w:r>
                    <w:rPr>
                      <w:rFonts w:hint="eastAsia"/>
                      <w:b/>
                      <w:bCs/>
                    </w:rPr>
                    <w:t>t/a)</w:t>
                  </w:r>
                </w:p>
              </w:tc>
              <w:tc>
                <w:tcPr>
                  <w:tcW w:w="497" w:type="pct"/>
                  <w:vMerge w:val="continue"/>
                  <w:vAlign w:val="center"/>
                </w:tcPr>
                <w:p w14:paraId="02DFF8EA">
                  <w:pPr>
                    <w:pStyle w:val="41"/>
                    <w:bidi w:val="0"/>
                    <w:rPr>
                      <w:rFonts w:hint="eastAsia"/>
                      <w:lang w:val="en-US" w:eastAsia="zh-CN"/>
                    </w:rPr>
                  </w:pPr>
                </w:p>
              </w:tc>
              <w:tc>
                <w:tcPr>
                  <w:tcW w:w="254" w:type="pct"/>
                  <w:vMerge w:val="continue"/>
                  <w:vAlign w:val="center"/>
                </w:tcPr>
                <w:p w14:paraId="20714C1A">
                  <w:pPr>
                    <w:pStyle w:val="41"/>
                    <w:bidi w:val="0"/>
                  </w:pPr>
                </w:p>
              </w:tc>
            </w:tr>
            <w:tr w14:paraId="54F6DD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restart"/>
                  <w:vAlign w:val="center"/>
                </w:tcPr>
                <w:p w14:paraId="12C85E85">
                  <w:pPr>
                    <w:pStyle w:val="41"/>
                    <w:bidi w:val="0"/>
                    <w:rPr>
                      <w:rFonts w:hint="default"/>
                      <w:lang w:val="en-US" w:eastAsia="zh-CN"/>
                    </w:rPr>
                  </w:pPr>
                  <w:r>
                    <w:rPr>
                      <w:rFonts w:hint="eastAsia"/>
                      <w:lang w:val="en-US" w:eastAsia="zh-CN"/>
                    </w:rPr>
                    <w:t>综合废水5248.1t/a</w:t>
                  </w:r>
                </w:p>
              </w:tc>
              <w:tc>
                <w:tcPr>
                  <w:tcW w:w="535" w:type="pct"/>
                  <w:vAlign w:val="center"/>
                </w:tcPr>
                <w:p w14:paraId="51D80B13">
                  <w:pPr>
                    <w:pStyle w:val="41"/>
                    <w:bidi w:val="0"/>
                    <w:rPr>
                      <w:rFonts w:hint="eastAsia"/>
                      <w:lang w:val="en-US" w:eastAsia="zh-CN"/>
                    </w:rPr>
                  </w:pPr>
                  <w:r>
                    <w:t>COD</w:t>
                  </w:r>
                </w:p>
              </w:tc>
              <w:tc>
                <w:tcPr>
                  <w:tcW w:w="542" w:type="pct"/>
                  <w:shd w:val="clear" w:color="auto" w:fill="auto"/>
                  <w:vAlign w:val="center"/>
                </w:tcPr>
                <w:p w14:paraId="48270506">
                  <w:pPr>
                    <w:pStyle w:val="41"/>
                    <w:bidi w:val="0"/>
                    <w:jc w:val="center"/>
                    <w:rPr>
                      <w:rFonts w:hint="default"/>
                      <w:lang w:val="en-US" w:eastAsia="zh-CN"/>
                    </w:rPr>
                  </w:pPr>
                  <w:r>
                    <w:rPr>
                      <w:rFonts w:hint="eastAsia"/>
                    </w:rPr>
                    <w:t>234.37</w:t>
                  </w:r>
                </w:p>
              </w:tc>
              <w:tc>
                <w:tcPr>
                  <w:tcW w:w="499" w:type="pct"/>
                  <w:shd w:val="clear" w:color="auto" w:fill="auto"/>
                  <w:vAlign w:val="center"/>
                </w:tcPr>
                <w:p w14:paraId="2139157A">
                  <w:pPr>
                    <w:pStyle w:val="41"/>
                    <w:bidi w:val="0"/>
                    <w:jc w:val="center"/>
                    <w:rPr>
                      <w:rFonts w:hint="eastAsia"/>
                      <w:lang w:val="en-US" w:eastAsia="zh-CN"/>
                    </w:rPr>
                  </w:pPr>
                  <w:r>
                    <w:rPr>
                      <w:rFonts w:hint="eastAsia"/>
                    </w:rPr>
                    <w:t>1.2300</w:t>
                  </w:r>
                </w:p>
              </w:tc>
              <w:tc>
                <w:tcPr>
                  <w:tcW w:w="430" w:type="pct"/>
                  <w:vMerge w:val="restart"/>
                  <w:vAlign w:val="center"/>
                </w:tcPr>
                <w:p w14:paraId="468BC166">
                  <w:pPr>
                    <w:pStyle w:val="41"/>
                    <w:bidi w:val="0"/>
                    <w:jc w:val="center"/>
                    <w:rPr>
                      <w:rFonts w:hint="default"/>
                      <w:lang w:val="en-US" w:eastAsia="zh-CN"/>
                    </w:rPr>
                  </w:pPr>
                  <w:r>
                    <w:rPr>
                      <w:rFonts w:hint="eastAsia"/>
                      <w:lang w:val="en-US" w:eastAsia="zh-CN"/>
                    </w:rPr>
                    <w:t>高新区污水处理厂</w:t>
                  </w:r>
                </w:p>
              </w:tc>
              <w:tc>
                <w:tcPr>
                  <w:tcW w:w="485" w:type="pct"/>
                  <w:shd w:val="clear" w:color="auto" w:fill="auto"/>
                  <w:vAlign w:val="center"/>
                </w:tcPr>
                <w:p w14:paraId="7D8853C7">
                  <w:pPr>
                    <w:pStyle w:val="41"/>
                    <w:bidi w:val="0"/>
                    <w:jc w:val="center"/>
                    <w:rPr>
                      <w:rFonts w:hint="eastAsia"/>
                      <w:lang w:val="en-US" w:eastAsia="zh-CN"/>
                    </w:rPr>
                  </w:pPr>
                  <w:r>
                    <w:t>COD</w:t>
                  </w:r>
                </w:p>
              </w:tc>
              <w:tc>
                <w:tcPr>
                  <w:tcW w:w="497" w:type="pct"/>
                  <w:shd w:val="clear" w:color="auto" w:fill="auto"/>
                  <w:vAlign w:val="center"/>
                </w:tcPr>
                <w:p w14:paraId="1894E316">
                  <w:pPr>
                    <w:pStyle w:val="41"/>
                    <w:bidi w:val="0"/>
                    <w:jc w:val="center"/>
                    <w:rPr>
                      <w:rFonts w:hint="default"/>
                      <w:lang w:val="en-US" w:eastAsia="zh-CN"/>
                    </w:rPr>
                  </w:pPr>
                  <w:r>
                    <w:rPr>
                      <w:rFonts w:hint="eastAsia"/>
                    </w:rPr>
                    <w:t>30</w:t>
                  </w:r>
                </w:p>
              </w:tc>
              <w:tc>
                <w:tcPr>
                  <w:tcW w:w="599" w:type="pct"/>
                  <w:shd w:val="clear" w:color="auto" w:fill="auto"/>
                  <w:vAlign w:val="center"/>
                </w:tcPr>
                <w:p w14:paraId="530A9321">
                  <w:pPr>
                    <w:pStyle w:val="41"/>
                    <w:bidi w:val="0"/>
                    <w:jc w:val="center"/>
                    <w:rPr>
                      <w:rFonts w:hint="eastAsia"/>
                      <w:lang w:val="en-US" w:eastAsia="zh-CN"/>
                    </w:rPr>
                  </w:pPr>
                  <w:r>
                    <w:rPr>
                      <w:rFonts w:hint="eastAsia"/>
                    </w:rPr>
                    <w:t>0.1574</w:t>
                  </w:r>
                </w:p>
              </w:tc>
              <w:tc>
                <w:tcPr>
                  <w:tcW w:w="497" w:type="pct"/>
                  <w:shd w:val="clear" w:color="auto" w:fill="auto"/>
                  <w:vAlign w:val="center"/>
                </w:tcPr>
                <w:p w14:paraId="62249FA6">
                  <w:pPr>
                    <w:pStyle w:val="41"/>
                    <w:bidi w:val="0"/>
                    <w:jc w:val="center"/>
                    <w:rPr>
                      <w:rFonts w:hint="default"/>
                      <w:lang w:val="en-US" w:eastAsia="zh-CN"/>
                    </w:rPr>
                  </w:pPr>
                  <w:r>
                    <w:rPr>
                      <w:rFonts w:hint="eastAsia"/>
                    </w:rPr>
                    <w:t>30</w:t>
                  </w:r>
                </w:p>
              </w:tc>
              <w:tc>
                <w:tcPr>
                  <w:tcW w:w="254" w:type="pct"/>
                  <w:vMerge w:val="restart"/>
                  <w:vAlign w:val="center"/>
                </w:tcPr>
                <w:p w14:paraId="3F5F480D">
                  <w:pPr>
                    <w:pStyle w:val="41"/>
                    <w:bidi w:val="0"/>
                    <w:rPr>
                      <w:rFonts w:hint="default"/>
                      <w:lang w:val="en-US" w:eastAsia="zh-CN"/>
                    </w:rPr>
                  </w:pPr>
                  <w:r>
                    <w:rPr>
                      <w:rFonts w:hint="eastAsia"/>
                      <w:lang w:val="en-US" w:eastAsia="zh-CN"/>
                    </w:rPr>
                    <w:t>秦淮河</w:t>
                  </w:r>
                </w:p>
              </w:tc>
            </w:tr>
            <w:tr w14:paraId="5FA70A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165F4DCB">
                  <w:pPr>
                    <w:pStyle w:val="41"/>
                    <w:bidi w:val="0"/>
                  </w:pPr>
                </w:p>
              </w:tc>
              <w:tc>
                <w:tcPr>
                  <w:tcW w:w="535" w:type="pct"/>
                  <w:vAlign w:val="center"/>
                </w:tcPr>
                <w:p w14:paraId="269B921F">
                  <w:pPr>
                    <w:pStyle w:val="41"/>
                    <w:bidi w:val="0"/>
                    <w:rPr>
                      <w:rFonts w:hint="eastAsia"/>
                      <w:lang w:val="en-US" w:eastAsia="zh-CN"/>
                    </w:rPr>
                  </w:pPr>
                  <w:r>
                    <w:t>SS</w:t>
                  </w:r>
                </w:p>
              </w:tc>
              <w:tc>
                <w:tcPr>
                  <w:tcW w:w="542" w:type="pct"/>
                  <w:shd w:val="clear" w:color="auto" w:fill="auto"/>
                  <w:vAlign w:val="center"/>
                </w:tcPr>
                <w:p w14:paraId="3EADAAEA">
                  <w:pPr>
                    <w:pStyle w:val="41"/>
                    <w:bidi w:val="0"/>
                    <w:jc w:val="center"/>
                    <w:rPr>
                      <w:rFonts w:hint="eastAsia"/>
                      <w:lang w:val="en-US" w:eastAsia="zh-CN"/>
                    </w:rPr>
                  </w:pPr>
                  <w:r>
                    <w:rPr>
                      <w:rFonts w:hint="eastAsia"/>
                    </w:rPr>
                    <w:t>147.41</w:t>
                  </w:r>
                </w:p>
              </w:tc>
              <w:tc>
                <w:tcPr>
                  <w:tcW w:w="499" w:type="pct"/>
                  <w:shd w:val="clear" w:color="auto" w:fill="auto"/>
                  <w:vAlign w:val="center"/>
                </w:tcPr>
                <w:p w14:paraId="5AE62A72">
                  <w:pPr>
                    <w:pStyle w:val="41"/>
                    <w:bidi w:val="0"/>
                    <w:jc w:val="center"/>
                    <w:rPr>
                      <w:rFonts w:hint="default"/>
                      <w:lang w:val="en-US" w:eastAsia="zh-CN"/>
                    </w:rPr>
                  </w:pPr>
                  <w:r>
                    <w:rPr>
                      <w:rFonts w:hint="eastAsia"/>
                    </w:rPr>
                    <w:t>0.7736</w:t>
                  </w:r>
                </w:p>
              </w:tc>
              <w:tc>
                <w:tcPr>
                  <w:tcW w:w="430" w:type="pct"/>
                  <w:vMerge w:val="continue"/>
                  <w:vAlign w:val="center"/>
                </w:tcPr>
                <w:p w14:paraId="67E9ED43">
                  <w:pPr>
                    <w:pStyle w:val="41"/>
                    <w:bidi w:val="0"/>
                    <w:jc w:val="center"/>
                    <w:rPr>
                      <w:rFonts w:hint="eastAsia"/>
                      <w:lang w:val="en-US" w:eastAsia="zh-CN"/>
                    </w:rPr>
                  </w:pPr>
                </w:p>
              </w:tc>
              <w:tc>
                <w:tcPr>
                  <w:tcW w:w="485" w:type="pct"/>
                  <w:shd w:val="clear" w:color="auto" w:fill="auto"/>
                  <w:vAlign w:val="center"/>
                </w:tcPr>
                <w:p w14:paraId="60A98962">
                  <w:pPr>
                    <w:pStyle w:val="41"/>
                    <w:bidi w:val="0"/>
                    <w:jc w:val="center"/>
                    <w:rPr>
                      <w:rFonts w:hint="eastAsia"/>
                      <w:lang w:val="en-US" w:eastAsia="zh-CN"/>
                    </w:rPr>
                  </w:pPr>
                  <w:r>
                    <w:t>SS</w:t>
                  </w:r>
                </w:p>
              </w:tc>
              <w:tc>
                <w:tcPr>
                  <w:tcW w:w="497" w:type="pct"/>
                  <w:shd w:val="clear" w:color="auto" w:fill="auto"/>
                  <w:vAlign w:val="center"/>
                </w:tcPr>
                <w:p w14:paraId="1F0D2FA0">
                  <w:pPr>
                    <w:pStyle w:val="41"/>
                    <w:bidi w:val="0"/>
                    <w:jc w:val="center"/>
                    <w:rPr>
                      <w:rFonts w:hint="default"/>
                      <w:lang w:val="en-US" w:eastAsia="zh-CN"/>
                    </w:rPr>
                  </w:pPr>
                  <w:r>
                    <w:rPr>
                      <w:rFonts w:hint="eastAsia"/>
                    </w:rPr>
                    <w:t>5</w:t>
                  </w:r>
                </w:p>
              </w:tc>
              <w:tc>
                <w:tcPr>
                  <w:tcW w:w="599" w:type="pct"/>
                  <w:shd w:val="clear" w:color="auto" w:fill="auto"/>
                  <w:vAlign w:val="center"/>
                </w:tcPr>
                <w:p w14:paraId="19BB4B60">
                  <w:pPr>
                    <w:pStyle w:val="41"/>
                    <w:bidi w:val="0"/>
                    <w:jc w:val="center"/>
                    <w:rPr>
                      <w:rFonts w:hint="eastAsia"/>
                      <w:lang w:val="en-US" w:eastAsia="zh-CN"/>
                    </w:rPr>
                  </w:pPr>
                  <w:r>
                    <w:rPr>
                      <w:rFonts w:hint="eastAsia"/>
                    </w:rPr>
                    <w:t>0.0262</w:t>
                  </w:r>
                </w:p>
              </w:tc>
              <w:tc>
                <w:tcPr>
                  <w:tcW w:w="497" w:type="pct"/>
                  <w:shd w:val="clear" w:color="auto" w:fill="auto"/>
                  <w:vAlign w:val="center"/>
                </w:tcPr>
                <w:p w14:paraId="5573106D">
                  <w:pPr>
                    <w:pStyle w:val="41"/>
                    <w:bidi w:val="0"/>
                    <w:jc w:val="center"/>
                    <w:rPr>
                      <w:rFonts w:hint="default"/>
                      <w:lang w:val="en-US" w:eastAsia="zh-CN"/>
                    </w:rPr>
                  </w:pPr>
                  <w:r>
                    <w:rPr>
                      <w:rFonts w:hint="eastAsia"/>
                    </w:rPr>
                    <w:t>5</w:t>
                  </w:r>
                </w:p>
              </w:tc>
              <w:tc>
                <w:tcPr>
                  <w:tcW w:w="254" w:type="pct"/>
                  <w:vMerge w:val="continue"/>
                  <w:vAlign w:val="center"/>
                </w:tcPr>
                <w:p w14:paraId="1D8D633C">
                  <w:pPr>
                    <w:pStyle w:val="41"/>
                    <w:bidi w:val="0"/>
                  </w:pPr>
                </w:p>
              </w:tc>
            </w:tr>
            <w:tr w14:paraId="4F9405C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5EAD3BB6">
                  <w:pPr>
                    <w:pStyle w:val="41"/>
                    <w:bidi w:val="0"/>
                  </w:pPr>
                </w:p>
              </w:tc>
              <w:tc>
                <w:tcPr>
                  <w:tcW w:w="535" w:type="pct"/>
                  <w:vAlign w:val="center"/>
                </w:tcPr>
                <w:p w14:paraId="1B0AF553">
                  <w:pPr>
                    <w:pStyle w:val="41"/>
                    <w:bidi w:val="0"/>
                    <w:rPr>
                      <w:rFonts w:hint="eastAsia"/>
                      <w:lang w:val="en-US" w:eastAsia="zh-CN"/>
                    </w:rPr>
                  </w:pPr>
                  <w:r>
                    <w:t>NH</w:t>
                  </w:r>
                  <w:r>
                    <w:rPr>
                      <w:vertAlign w:val="subscript"/>
                    </w:rPr>
                    <w:t>3</w:t>
                  </w:r>
                  <w:r>
                    <w:t>-N</w:t>
                  </w:r>
                </w:p>
              </w:tc>
              <w:tc>
                <w:tcPr>
                  <w:tcW w:w="542" w:type="pct"/>
                  <w:shd w:val="clear" w:color="auto" w:fill="auto"/>
                  <w:vAlign w:val="center"/>
                </w:tcPr>
                <w:p w14:paraId="4A106070">
                  <w:pPr>
                    <w:pStyle w:val="41"/>
                    <w:bidi w:val="0"/>
                    <w:jc w:val="center"/>
                    <w:rPr>
                      <w:rFonts w:hint="default"/>
                      <w:lang w:val="en-US" w:eastAsia="zh-CN"/>
                    </w:rPr>
                  </w:pPr>
                  <w:r>
                    <w:rPr>
                      <w:rFonts w:hint="eastAsia"/>
                    </w:rPr>
                    <w:t>12.56</w:t>
                  </w:r>
                </w:p>
              </w:tc>
              <w:tc>
                <w:tcPr>
                  <w:tcW w:w="499" w:type="pct"/>
                  <w:shd w:val="clear" w:color="auto" w:fill="auto"/>
                  <w:vAlign w:val="center"/>
                </w:tcPr>
                <w:p w14:paraId="712E5E83">
                  <w:pPr>
                    <w:pStyle w:val="41"/>
                    <w:bidi w:val="0"/>
                    <w:jc w:val="center"/>
                    <w:rPr>
                      <w:rFonts w:hint="default"/>
                      <w:lang w:val="en-US" w:eastAsia="zh-CN"/>
                    </w:rPr>
                  </w:pPr>
                  <w:r>
                    <w:rPr>
                      <w:rFonts w:hint="eastAsia"/>
                    </w:rPr>
                    <w:t>0.0659</w:t>
                  </w:r>
                </w:p>
              </w:tc>
              <w:tc>
                <w:tcPr>
                  <w:tcW w:w="430" w:type="pct"/>
                  <w:vMerge w:val="continue"/>
                  <w:vAlign w:val="center"/>
                </w:tcPr>
                <w:p w14:paraId="3640F290">
                  <w:pPr>
                    <w:pStyle w:val="41"/>
                    <w:bidi w:val="0"/>
                    <w:jc w:val="center"/>
                    <w:rPr>
                      <w:rFonts w:hint="eastAsia"/>
                      <w:lang w:val="en-US" w:eastAsia="zh-CN"/>
                    </w:rPr>
                  </w:pPr>
                </w:p>
              </w:tc>
              <w:tc>
                <w:tcPr>
                  <w:tcW w:w="485" w:type="pct"/>
                  <w:shd w:val="clear" w:color="auto" w:fill="auto"/>
                  <w:vAlign w:val="center"/>
                </w:tcPr>
                <w:p w14:paraId="47C43F22">
                  <w:pPr>
                    <w:pStyle w:val="41"/>
                    <w:bidi w:val="0"/>
                    <w:jc w:val="center"/>
                    <w:rPr>
                      <w:rFonts w:hint="eastAsia"/>
                      <w:lang w:val="en-US" w:eastAsia="zh-CN"/>
                    </w:rPr>
                  </w:pPr>
                  <w:r>
                    <w:t>NH</w:t>
                  </w:r>
                  <w:r>
                    <w:rPr>
                      <w:vertAlign w:val="subscript"/>
                    </w:rPr>
                    <w:t>3</w:t>
                  </w:r>
                  <w:r>
                    <w:t>-N</w:t>
                  </w:r>
                </w:p>
              </w:tc>
              <w:tc>
                <w:tcPr>
                  <w:tcW w:w="497" w:type="pct"/>
                  <w:shd w:val="clear" w:color="auto" w:fill="auto"/>
                  <w:vAlign w:val="center"/>
                </w:tcPr>
                <w:p w14:paraId="7AB539A2">
                  <w:pPr>
                    <w:pStyle w:val="41"/>
                    <w:bidi w:val="0"/>
                    <w:jc w:val="center"/>
                    <w:rPr>
                      <w:rFonts w:hint="default"/>
                      <w:lang w:val="en-US" w:eastAsia="zh-CN"/>
                    </w:rPr>
                  </w:pPr>
                  <w:r>
                    <w:rPr>
                      <w:rFonts w:hint="eastAsia"/>
                    </w:rPr>
                    <w:t>1.5</w:t>
                  </w:r>
                </w:p>
              </w:tc>
              <w:tc>
                <w:tcPr>
                  <w:tcW w:w="599" w:type="pct"/>
                  <w:shd w:val="clear" w:color="auto" w:fill="auto"/>
                  <w:vAlign w:val="center"/>
                </w:tcPr>
                <w:p w14:paraId="231A1448">
                  <w:pPr>
                    <w:pStyle w:val="41"/>
                    <w:bidi w:val="0"/>
                    <w:jc w:val="center"/>
                    <w:rPr>
                      <w:rFonts w:hint="eastAsia"/>
                      <w:lang w:val="en-US" w:eastAsia="zh-CN"/>
                    </w:rPr>
                  </w:pPr>
                  <w:r>
                    <w:rPr>
                      <w:rFonts w:hint="eastAsia"/>
                    </w:rPr>
                    <w:t>0.0079</w:t>
                  </w:r>
                </w:p>
              </w:tc>
              <w:tc>
                <w:tcPr>
                  <w:tcW w:w="497" w:type="pct"/>
                  <w:shd w:val="clear" w:color="auto" w:fill="auto"/>
                  <w:vAlign w:val="center"/>
                </w:tcPr>
                <w:p w14:paraId="71AEFF41">
                  <w:pPr>
                    <w:pStyle w:val="41"/>
                    <w:bidi w:val="0"/>
                    <w:jc w:val="center"/>
                    <w:rPr>
                      <w:rFonts w:hint="default"/>
                      <w:lang w:val="en-US" w:eastAsia="zh-CN"/>
                    </w:rPr>
                  </w:pPr>
                  <w:r>
                    <w:rPr>
                      <w:rFonts w:hint="eastAsia"/>
                    </w:rPr>
                    <w:t>1.5</w:t>
                  </w:r>
                </w:p>
              </w:tc>
              <w:tc>
                <w:tcPr>
                  <w:tcW w:w="254" w:type="pct"/>
                  <w:vMerge w:val="continue"/>
                  <w:vAlign w:val="center"/>
                </w:tcPr>
                <w:p w14:paraId="515BB83D">
                  <w:pPr>
                    <w:pStyle w:val="41"/>
                    <w:bidi w:val="0"/>
                  </w:pPr>
                </w:p>
              </w:tc>
            </w:tr>
            <w:tr w14:paraId="6D93D2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506BD4BB">
                  <w:pPr>
                    <w:pStyle w:val="41"/>
                    <w:bidi w:val="0"/>
                  </w:pPr>
                </w:p>
              </w:tc>
              <w:tc>
                <w:tcPr>
                  <w:tcW w:w="535" w:type="pct"/>
                  <w:vAlign w:val="center"/>
                </w:tcPr>
                <w:p w14:paraId="23DE925F">
                  <w:pPr>
                    <w:pStyle w:val="41"/>
                    <w:bidi w:val="0"/>
                    <w:rPr>
                      <w:rFonts w:hint="eastAsia"/>
                      <w:lang w:val="en-US" w:eastAsia="zh-CN"/>
                    </w:rPr>
                  </w:pPr>
                  <w:r>
                    <w:rPr>
                      <w:rFonts w:hint="eastAsia"/>
                    </w:rPr>
                    <w:t>TN</w:t>
                  </w:r>
                </w:p>
              </w:tc>
              <w:tc>
                <w:tcPr>
                  <w:tcW w:w="542" w:type="pct"/>
                  <w:shd w:val="clear" w:color="auto" w:fill="auto"/>
                  <w:vAlign w:val="center"/>
                </w:tcPr>
                <w:p w14:paraId="3AEE7904">
                  <w:pPr>
                    <w:pStyle w:val="41"/>
                    <w:bidi w:val="0"/>
                    <w:jc w:val="center"/>
                    <w:rPr>
                      <w:rFonts w:hint="eastAsia"/>
                      <w:lang w:val="en-US" w:eastAsia="zh-CN"/>
                    </w:rPr>
                  </w:pPr>
                  <w:r>
                    <w:rPr>
                      <w:rFonts w:hint="eastAsia"/>
                    </w:rPr>
                    <w:t>18.46</w:t>
                  </w:r>
                </w:p>
              </w:tc>
              <w:tc>
                <w:tcPr>
                  <w:tcW w:w="499" w:type="pct"/>
                  <w:shd w:val="clear" w:color="auto" w:fill="auto"/>
                  <w:vAlign w:val="center"/>
                </w:tcPr>
                <w:p w14:paraId="3AD88E4C">
                  <w:pPr>
                    <w:pStyle w:val="41"/>
                    <w:bidi w:val="0"/>
                    <w:jc w:val="center"/>
                    <w:rPr>
                      <w:rFonts w:hint="default"/>
                      <w:lang w:val="en-US" w:eastAsia="zh-CN"/>
                    </w:rPr>
                  </w:pPr>
                  <w:r>
                    <w:rPr>
                      <w:rFonts w:hint="eastAsia"/>
                    </w:rPr>
                    <w:t>0.0969</w:t>
                  </w:r>
                </w:p>
              </w:tc>
              <w:tc>
                <w:tcPr>
                  <w:tcW w:w="430" w:type="pct"/>
                  <w:vMerge w:val="continue"/>
                  <w:vAlign w:val="center"/>
                </w:tcPr>
                <w:p w14:paraId="74A9D46E">
                  <w:pPr>
                    <w:pStyle w:val="41"/>
                    <w:bidi w:val="0"/>
                    <w:jc w:val="center"/>
                    <w:rPr>
                      <w:rFonts w:hint="eastAsia"/>
                      <w:lang w:val="en-US" w:eastAsia="zh-CN"/>
                    </w:rPr>
                  </w:pPr>
                </w:p>
              </w:tc>
              <w:tc>
                <w:tcPr>
                  <w:tcW w:w="485" w:type="pct"/>
                  <w:shd w:val="clear" w:color="auto" w:fill="auto"/>
                  <w:vAlign w:val="center"/>
                </w:tcPr>
                <w:p w14:paraId="1B12E52A">
                  <w:pPr>
                    <w:pStyle w:val="41"/>
                    <w:bidi w:val="0"/>
                    <w:jc w:val="center"/>
                    <w:rPr>
                      <w:rFonts w:hint="eastAsia"/>
                      <w:lang w:val="en-US" w:eastAsia="zh-CN"/>
                    </w:rPr>
                  </w:pPr>
                  <w:r>
                    <w:rPr>
                      <w:rFonts w:hint="eastAsia"/>
                    </w:rPr>
                    <w:t>TN</w:t>
                  </w:r>
                </w:p>
              </w:tc>
              <w:tc>
                <w:tcPr>
                  <w:tcW w:w="497" w:type="pct"/>
                  <w:shd w:val="clear" w:color="auto" w:fill="auto"/>
                  <w:vAlign w:val="center"/>
                </w:tcPr>
                <w:p w14:paraId="6D0B5BF3">
                  <w:pPr>
                    <w:pStyle w:val="41"/>
                    <w:bidi w:val="0"/>
                    <w:jc w:val="center"/>
                    <w:rPr>
                      <w:rFonts w:hint="default"/>
                      <w:lang w:val="en-US" w:eastAsia="zh-CN"/>
                    </w:rPr>
                  </w:pPr>
                  <w:r>
                    <w:rPr>
                      <w:rFonts w:hint="eastAsia"/>
                    </w:rPr>
                    <w:t>15</w:t>
                  </w:r>
                </w:p>
              </w:tc>
              <w:tc>
                <w:tcPr>
                  <w:tcW w:w="599" w:type="pct"/>
                  <w:shd w:val="clear" w:color="auto" w:fill="auto"/>
                  <w:vAlign w:val="center"/>
                </w:tcPr>
                <w:p w14:paraId="59D7D71A">
                  <w:pPr>
                    <w:pStyle w:val="41"/>
                    <w:bidi w:val="0"/>
                    <w:jc w:val="center"/>
                    <w:rPr>
                      <w:rFonts w:hint="eastAsia"/>
                      <w:lang w:val="en-US" w:eastAsia="zh-CN"/>
                    </w:rPr>
                  </w:pPr>
                  <w:r>
                    <w:rPr>
                      <w:rFonts w:hint="eastAsia"/>
                    </w:rPr>
                    <w:t>0.0787</w:t>
                  </w:r>
                </w:p>
              </w:tc>
              <w:tc>
                <w:tcPr>
                  <w:tcW w:w="497" w:type="pct"/>
                  <w:shd w:val="clear" w:color="auto" w:fill="auto"/>
                  <w:vAlign w:val="center"/>
                </w:tcPr>
                <w:p w14:paraId="4BB96F8F">
                  <w:pPr>
                    <w:pStyle w:val="41"/>
                    <w:bidi w:val="0"/>
                    <w:jc w:val="center"/>
                    <w:rPr>
                      <w:rFonts w:hint="default"/>
                      <w:lang w:val="en-US" w:eastAsia="zh-CN"/>
                    </w:rPr>
                  </w:pPr>
                  <w:r>
                    <w:rPr>
                      <w:rFonts w:hint="eastAsia"/>
                    </w:rPr>
                    <w:t>15</w:t>
                  </w:r>
                </w:p>
              </w:tc>
              <w:tc>
                <w:tcPr>
                  <w:tcW w:w="254" w:type="pct"/>
                  <w:vMerge w:val="continue"/>
                  <w:vAlign w:val="center"/>
                </w:tcPr>
                <w:p w14:paraId="2A0FA5E2">
                  <w:pPr>
                    <w:pStyle w:val="41"/>
                    <w:bidi w:val="0"/>
                  </w:pPr>
                </w:p>
              </w:tc>
            </w:tr>
            <w:tr w14:paraId="570083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 w:hRule="atLeast"/>
                <w:jc w:val="center"/>
              </w:trPr>
              <w:tc>
                <w:tcPr>
                  <w:tcW w:w="659" w:type="pct"/>
                  <w:vMerge w:val="continue"/>
                  <w:vAlign w:val="center"/>
                </w:tcPr>
                <w:p w14:paraId="574BC6A1">
                  <w:pPr>
                    <w:pStyle w:val="41"/>
                    <w:bidi w:val="0"/>
                  </w:pPr>
                </w:p>
              </w:tc>
              <w:tc>
                <w:tcPr>
                  <w:tcW w:w="535" w:type="pct"/>
                  <w:vAlign w:val="center"/>
                </w:tcPr>
                <w:p w14:paraId="5C659FFB">
                  <w:pPr>
                    <w:pStyle w:val="41"/>
                    <w:bidi w:val="0"/>
                    <w:rPr>
                      <w:rFonts w:hint="eastAsia"/>
                      <w:lang w:val="en-US" w:eastAsia="zh-CN"/>
                    </w:rPr>
                  </w:pPr>
                  <w:r>
                    <w:rPr>
                      <w:rFonts w:hint="eastAsia"/>
                      <w:lang w:val="en-US" w:eastAsia="zh-CN"/>
                    </w:rPr>
                    <w:t>TP</w:t>
                  </w:r>
                </w:p>
              </w:tc>
              <w:tc>
                <w:tcPr>
                  <w:tcW w:w="542" w:type="pct"/>
                  <w:shd w:val="clear" w:color="auto" w:fill="auto"/>
                  <w:vAlign w:val="center"/>
                </w:tcPr>
                <w:p w14:paraId="1EF65D11">
                  <w:pPr>
                    <w:pStyle w:val="41"/>
                    <w:bidi w:val="0"/>
                    <w:jc w:val="center"/>
                    <w:rPr>
                      <w:rFonts w:hint="eastAsia"/>
                      <w:lang w:val="en-US" w:eastAsia="zh-CN"/>
                    </w:rPr>
                  </w:pPr>
                  <w:r>
                    <w:rPr>
                      <w:rFonts w:hint="eastAsia"/>
                    </w:rPr>
                    <w:t>2.81</w:t>
                  </w:r>
                </w:p>
              </w:tc>
              <w:tc>
                <w:tcPr>
                  <w:tcW w:w="499" w:type="pct"/>
                  <w:shd w:val="clear" w:color="auto" w:fill="auto"/>
                  <w:vAlign w:val="center"/>
                </w:tcPr>
                <w:p w14:paraId="5523C012">
                  <w:pPr>
                    <w:pStyle w:val="41"/>
                    <w:bidi w:val="0"/>
                    <w:jc w:val="center"/>
                    <w:rPr>
                      <w:rFonts w:hint="eastAsia"/>
                      <w:lang w:val="en-US" w:eastAsia="zh-CN"/>
                    </w:rPr>
                  </w:pPr>
                  <w:r>
                    <w:rPr>
                      <w:rFonts w:hint="eastAsia"/>
                    </w:rPr>
                    <w:t>0.0148</w:t>
                  </w:r>
                </w:p>
              </w:tc>
              <w:tc>
                <w:tcPr>
                  <w:tcW w:w="430" w:type="pct"/>
                  <w:vMerge w:val="continue"/>
                  <w:vAlign w:val="center"/>
                </w:tcPr>
                <w:p w14:paraId="13499697">
                  <w:pPr>
                    <w:pStyle w:val="41"/>
                    <w:bidi w:val="0"/>
                    <w:jc w:val="center"/>
                    <w:rPr>
                      <w:rFonts w:hint="eastAsia"/>
                      <w:lang w:val="en-US" w:eastAsia="zh-CN"/>
                    </w:rPr>
                  </w:pPr>
                </w:p>
              </w:tc>
              <w:tc>
                <w:tcPr>
                  <w:tcW w:w="485" w:type="pct"/>
                  <w:shd w:val="clear" w:color="auto" w:fill="auto"/>
                  <w:vAlign w:val="center"/>
                </w:tcPr>
                <w:p w14:paraId="641FD992">
                  <w:pPr>
                    <w:pStyle w:val="41"/>
                    <w:bidi w:val="0"/>
                    <w:jc w:val="center"/>
                    <w:rPr>
                      <w:rFonts w:hint="eastAsia"/>
                      <w:lang w:val="en-US" w:eastAsia="zh-CN"/>
                    </w:rPr>
                  </w:pPr>
                  <w:r>
                    <w:rPr>
                      <w:rFonts w:hint="eastAsia"/>
                      <w:lang w:val="en-US" w:eastAsia="zh-CN"/>
                    </w:rPr>
                    <w:t>TP</w:t>
                  </w:r>
                </w:p>
              </w:tc>
              <w:tc>
                <w:tcPr>
                  <w:tcW w:w="497" w:type="pct"/>
                  <w:shd w:val="clear" w:color="auto" w:fill="auto"/>
                  <w:vAlign w:val="center"/>
                </w:tcPr>
                <w:p w14:paraId="3224EBFB">
                  <w:pPr>
                    <w:pStyle w:val="41"/>
                    <w:bidi w:val="0"/>
                    <w:jc w:val="center"/>
                    <w:rPr>
                      <w:rFonts w:hint="default"/>
                      <w:lang w:val="en-US" w:eastAsia="zh-CN"/>
                    </w:rPr>
                  </w:pPr>
                  <w:r>
                    <w:rPr>
                      <w:rFonts w:hint="eastAsia"/>
                    </w:rPr>
                    <w:t>0.3</w:t>
                  </w:r>
                </w:p>
              </w:tc>
              <w:tc>
                <w:tcPr>
                  <w:tcW w:w="599" w:type="pct"/>
                  <w:shd w:val="clear" w:color="auto" w:fill="auto"/>
                  <w:vAlign w:val="center"/>
                </w:tcPr>
                <w:p w14:paraId="7963BCBE">
                  <w:pPr>
                    <w:pStyle w:val="41"/>
                    <w:bidi w:val="0"/>
                    <w:jc w:val="center"/>
                    <w:rPr>
                      <w:rFonts w:hint="eastAsia"/>
                      <w:lang w:val="en-US" w:eastAsia="zh-CN"/>
                    </w:rPr>
                  </w:pPr>
                  <w:r>
                    <w:rPr>
                      <w:rFonts w:hint="eastAsia"/>
                    </w:rPr>
                    <w:t>0.0016</w:t>
                  </w:r>
                </w:p>
              </w:tc>
              <w:tc>
                <w:tcPr>
                  <w:tcW w:w="497" w:type="pct"/>
                  <w:shd w:val="clear" w:color="auto" w:fill="auto"/>
                  <w:vAlign w:val="center"/>
                </w:tcPr>
                <w:p w14:paraId="4159B958">
                  <w:pPr>
                    <w:pStyle w:val="41"/>
                    <w:bidi w:val="0"/>
                    <w:jc w:val="center"/>
                    <w:rPr>
                      <w:rFonts w:hint="default"/>
                      <w:lang w:val="en-US" w:eastAsia="zh-CN"/>
                    </w:rPr>
                  </w:pPr>
                  <w:r>
                    <w:rPr>
                      <w:rFonts w:hint="eastAsia"/>
                    </w:rPr>
                    <w:t>0.3</w:t>
                  </w:r>
                </w:p>
              </w:tc>
              <w:tc>
                <w:tcPr>
                  <w:tcW w:w="254" w:type="pct"/>
                  <w:vMerge w:val="continue"/>
                  <w:vAlign w:val="center"/>
                </w:tcPr>
                <w:p w14:paraId="1D0A6F7C">
                  <w:pPr>
                    <w:pStyle w:val="41"/>
                    <w:bidi w:val="0"/>
                  </w:pPr>
                </w:p>
              </w:tc>
            </w:tr>
          </w:tbl>
          <w:p w14:paraId="27344EC2">
            <w:pPr>
              <w:pStyle w:val="41"/>
              <w:bidi w:val="0"/>
              <w:rPr>
                <w:color w:val="auto"/>
                <w:highlight w:val="none"/>
              </w:rPr>
            </w:pPr>
          </w:p>
          <w:p w14:paraId="01B723C9">
            <w:pPr>
              <w:bidi w:val="0"/>
              <w:ind w:firstLine="480" w:firstLineChars="200"/>
              <w:rPr>
                <w:rFonts w:ascii="Times New Roman" w:hAnsi="Times New Roman" w:eastAsia="宋体"/>
                <w:color w:val="auto"/>
                <w:sz w:val="24"/>
                <w:highlight w:val="none"/>
              </w:rPr>
            </w:pPr>
            <w:r>
              <w:rPr>
                <w:rFonts w:hint="eastAsia"/>
                <w:color w:val="auto"/>
                <w:sz w:val="24"/>
                <w:highlight w:val="none"/>
                <w:lang w:val="en-US" w:eastAsia="zh-CN"/>
              </w:rPr>
              <w:t>企业</w:t>
            </w:r>
            <w:r>
              <w:rPr>
                <w:rFonts w:hint="eastAsia"/>
                <w:bCs/>
                <w:color w:val="auto"/>
                <w:sz w:val="24"/>
                <w:highlight w:val="none"/>
                <w:lang w:eastAsia="zh-CN"/>
              </w:rPr>
              <w:t>废水排放口</w:t>
            </w:r>
            <w:r>
              <w:rPr>
                <w:rFonts w:hint="eastAsia"/>
                <w:color w:val="auto"/>
                <w:sz w:val="24"/>
                <w:highlight w:val="none"/>
              </w:rPr>
              <w:t>信息情况</w:t>
            </w:r>
            <w:r>
              <w:rPr>
                <w:color w:val="auto"/>
                <w:sz w:val="24"/>
                <w:highlight w:val="none"/>
              </w:rPr>
              <w:t>见</w:t>
            </w:r>
            <w:r>
              <w:rPr>
                <w:rFonts w:hint="eastAsia"/>
                <w:color w:val="auto"/>
                <w:sz w:val="24"/>
                <w:highlight w:val="none"/>
                <w:lang w:eastAsia="zh-CN"/>
              </w:rPr>
              <w:t>下</w:t>
            </w:r>
            <w:r>
              <w:rPr>
                <w:color w:val="auto"/>
                <w:sz w:val="24"/>
                <w:highlight w:val="none"/>
              </w:rPr>
              <w:t>表</w:t>
            </w:r>
            <w:r>
              <w:rPr>
                <w:rFonts w:ascii="Times New Roman" w:hAnsi="Times New Roman" w:eastAsia="宋体"/>
                <w:color w:val="auto"/>
                <w:sz w:val="24"/>
                <w:highlight w:val="none"/>
              </w:rPr>
              <w:t>。</w:t>
            </w:r>
          </w:p>
          <w:p w14:paraId="3D76C3BE">
            <w:pPr>
              <w:pStyle w:val="162"/>
              <w:bidi w:val="0"/>
              <w:rPr>
                <w:color w:val="auto"/>
                <w:highlight w:val="none"/>
              </w:rPr>
            </w:pPr>
            <w:r>
              <w:rPr>
                <w:rFonts w:hint="eastAsia"/>
                <w:color w:val="auto"/>
                <w:highlight w:val="none"/>
                <w:lang w:eastAsia="zh-CN"/>
              </w:rPr>
              <w:t>废水</w:t>
            </w:r>
            <w:r>
              <w:rPr>
                <w:rFonts w:hint="eastAsia"/>
                <w:color w:val="auto"/>
                <w:highlight w:val="none"/>
                <w:lang w:val="en-US" w:eastAsia="zh-CN"/>
              </w:rPr>
              <w:t>间接</w:t>
            </w:r>
            <w:r>
              <w:rPr>
                <w:rFonts w:hint="eastAsia"/>
                <w:color w:val="auto"/>
                <w:highlight w:val="none"/>
                <w:lang w:eastAsia="zh-CN"/>
              </w:rPr>
              <w:t>排放口基本</w:t>
            </w:r>
            <w:r>
              <w:rPr>
                <w:rFonts w:hint="eastAsia"/>
                <w:color w:val="auto"/>
                <w:highlight w:val="none"/>
                <w:lang w:val="en-US" w:eastAsia="zh-CN"/>
              </w:rPr>
              <w:t>情况</w:t>
            </w:r>
            <w:r>
              <w:rPr>
                <w:color w:val="auto"/>
                <w:highlight w:val="none"/>
              </w:rPr>
              <w:t>表</w:t>
            </w:r>
          </w:p>
          <w:tbl>
            <w:tblPr>
              <w:tblStyle w:val="3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676"/>
              <w:gridCol w:w="750"/>
              <w:gridCol w:w="677"/>
              <w:gridCol w:w="750"/>
              <w:gridCol w:w="1202"/>
              <w:gridCol w:w="754"/>
              <w:gridCol w:w="720"/>
              <w:gridCol w:w="1096"/>
              <w:gridCol w:w="1086"/>
            </w:tblGrid>
            <w:tr w14:paraId="3DB4A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vMerge w:val="restart"/>
                  <w:vAlign w:val="center"/>
                </w:tcPr>
                <w:p w14:paraId="30E062D3">
                  <w:pPr>
                    <w:pStyle w:val="41"/>
                    <w:bidi w:val="0"/>
                    <w:rPr>
                      <w:b/>
                      <w:bCs/>
                      <w:color w:val="auto"/>
                      <w:highlight w:val="none"/>
                    </w:rPr>
                  </w:pPr>
                  <w:r>
                    <w:rPr>
                      <w:b/>
                      <w:bCs/>
                      <w:color w:val="auto"/>
                      <w:highlight w:val="none"/>
                    </w:rPr>
                    <w:t>排放</w:t>
                  </w:r>
                  <w:r>
                    <w:rPr>
                      <w:rFonts w:hint="eastAsia"/>
                      <w:b/>
                      <w:bCs/>
                      <w:color w:val="auto"/>
                      <w:highlight w:val="none"/>
                    </w:rPr>
                    <w:t>口</w:t>
                  </w:r>
                  <w:r>
                    <w:rPr>
                      <w:b/>
                      <w:bCs/>
                      <w:color w:val="auto"/>
                      <w:highlight w:val="none"/>
                    </w:rPr>
                    <w:t>编号</w:t>
                  </w:r>
                </w:p>
              </w:tc>
              <w:tc>
                <w:tcPr>
                  <w:tcW w:w="1426" w:type="dxa"/>
                  <w:gridSpan w:val="2"/>
                  <w:vAlign w:val="center"/>
                </w:tcPr>
                <w:p w14:paraId="6AC9A98A">
                  <w:pPr>
                    <w:pStyle w:val="41"/>
                    <w:bidi w:val="0"/>
                    <w:rPr>
                      <w:b/>
                      <w:bCs/>
                      <w:color w:val="auto"/>
                      <w:highlight w:val="none"/>
                    </w:rPr>
                  </w:pPr>
                  <w:r>
                    <w:rPr>
                      <w:b/>
                      <w:bCs/>
                      <w:color w:val="auto"/>
                      <w:highlight w:val="none"/>
                    </w:rPr>
                    <w:t>排放口地理位置</w:t>
                  </w:r>
                </w:p>
              </w:tc>
              <w:tc>
                <w:tcPr>
                  <w:tcW w:w="677" w:type="dxa"/>
                  <w:vMerge w:val="restart"/>
                  <w:vAlign w:val="center"/>
                </w:tcPr>
                <w:p w14:paraId="1DFCFD2A">
                  <w:pPr>
                    <w:pStyle w:val="41"/>
                    <w:bidi w:val="0"/>
                    <w:rPr>
                      <w:b/>
                      <w:bCs/>
                      <w:color w:val="auto"/>
                      <w:highlight w:val="none"/>
                    </w:rPr>
                  </w:pPr>
                  <w:r>
                    <w:rPr>
                      <w:b/>
                      <w:bCs/>
                      <w:color w:val="auto"/>
                      <w:highlight w:val="none"/>
                    </w:rPr>
                    <w:t>废水排放量</w:t>
                  </w:r>
                </w:p>
              </w:tc>
              <w:tc>
                <w:tcPr>
                  <w:tcW w:w="750" w:type="dxa"/>
                  <w:vMerge w:val="restart"/>
                  <w:vAlign w:val="center"/>
                </w:tcPr>
                <w:p w14:paraId="249ECB52">
                  <w:pPr>
                    <w:pStyle w:val="41"/>
                    <w:bidi w:val="0"/>
                    <w:rPr>
                      <w:b/>
                      <w:bCs/>
                      <w:color w:val="auto"/>
                      <w:highlight w:val="none"/>
                    </w:rPr>
                  </w:pPr>
                  <w:r>
                    <w:rPr>
                      <w:b/>
                      <w:bCs/>
                      <w:color w:val="auto"/>
                      <w:highlight w:val="none"/>
                    </w:rPr>
                    <w:t>排放</w:t>
                  </w:r>
                </w:p>
                <w:p w14:paraId="78413AE3">
                  <w:pPr>
                    <w:pStyle w:val="41"/>
                    <w:bidi w:val="0"/>
                    <w:rPr>
                      <w:b/>
                      <w:bCs/>
                      <w:color w:val="auto"/>
                      <w:highlight w:val="none"/>
                    </w:rPr>
                  </w:pPr>
                  <w:r>
                    <w:rPr>
                      <w:b/>
                      <w:bCs/>
                      <w:color w:val="auto"/>
                      <w:highlight w:val="none"/>
                    </w:rPr>
                    <w:t>去向</w:t>
                  </w:r>
                </w:p>
              </w:tc>
              <w:tc>
                <w:tcPr>
                  <w:tcW w:w="1202" w:type="dxa"/>
                  <w:vMerge w:val="restart"/>
                  <w:vAlign w:val="center"/>
                </w:tcPr>
                <w:p w14:paraId="05F0F424">
                  <w:pPr>
                    <w:pStyle w:val="41"/>
                    <w:bidi w:val="0"/>
                    <w:rPr>
                      <w:b/>
                      <w:bCs/>
                      <w:color w:val="auto"/>
                      <w:highlight w:val="none"/>
                    </w:rPr>
                  </w:pPr>
                  <w:r>
                    <w:rPr>
                      <w:b/>
                      <w:bCs/>
                      <w:color w:val="auto"/>
                      <w:highlight w:val="none"/>
                    </w:rPr>
                    <w:t>排放规律</w:t>
                  </w:r>
                </w:p>
              </w:tc>
              <w:tc>
                <w:tcPr>
                  <w:tcW w:w="754" w:type="dxa"/>
                  <w:vMerge w:val="restart"/>
                  <w:vAlign w:val="center"/>
                </w:tcPr>
                <w:p w14:paraId="0F1D0751">
                  <w:pPr>
                    <w:pStyle w:val="41"/>
                    <w:bidi w:val="0"/>
                    <w:rPr>
                      <w:b/>
                      <w:bCs/>
                      <w:color w:val="auto"/>
                      <w:highlight w:val="none"/>
                    </w:rPr>
                  </w:pPr>
                  <w:r>
                    <w:rPr>
                      <w:b/>
                      <w:bCs/>
                      <w:color w:val="auto"/>
                      <w:highlight w:val="none"/>
                    </w:rPr>
                    <w:t>间歇排放时段</w:t>
                  </w:r>
                </w:p>
              </w:tc>
              <w:tc>
                <w:tcPr>
                  <w:tcW w:w="2902" w:type="dxa"/>
                  <w:gridSpan w:val="3"/>
                  <w:vAlign w:val="center"/>
                </w:tcPr>
                <w:p w14:paraId="3338630D">
                  <w:pPr>
                    <w:pStyle w:val="41"/>
                    <w:bidi w:val="0"/>
                    <w:rPr>
                      <w:b/>
                      <w:bCs/>
                      <w:color w:val="auto"/>
                      <w:highlight w:val="none"/>
                    </w:rPr>
                  </w:pPr>
                  <w:sdt>
                    <w:sdtPr>
                      <w:rPr>
                        <w:b/>
                        <w:bCs/>
                        <w:color w:val="auto"/>
                        <w:highlight w:val="none"/>
                      </w:rPr>
                      <w:alias w:val="易错词检查"/>
                      <w:tag w:val="auto"/>
                      <w:id w:val="147471391"/>
                    </w:sdtPr>
                    <w:sdtEndPr>
                      <w:rPr>
                        <w:b/>
                        <w:bCs/>
                        <w:color w:val="auto"/>
                        <w:highlight w:val="none"/>
                      </w:rPr>
                    </w:sdtEndPr>
                    <w:sdtContent>
                      <w:bookmarkStart w:id="45" w:name="bkReivew1151340"/>
                      <w:r>
                        <w:rPr>
                          <w:b/>
                          <w:bCs/>
                          <w:color w:val="auto"/>
                          <w:highlight w:val="none"/>
                        </w:rPr>
                        <w:t>受纳</w:t>
                      </w:r>
                      <w:bookmarkEnd w:id="45"/>
                    </w:sdtContent>
                  </w:sdt>
                  <w:r>
                    <w:rPr>
                      <w:b/>
                      <w:bCs/>
                      <w:color w:val="auto"/>
                      <w:highlight w:val="none"/>
                    </w:rPr>
                    <w:t>污水处理厂信息</w:t>
                  </w:r>
                </w:p>
              </w:tc>
            </w:tr>
            <w:tr w14:paraId="13C52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vMerge w:val="continue"/>
                  <w:vAlign w:val="center"/>
                </w:tcPr>
                <w:p w14:paraId="3214A323">
                  <w:pPr>
                    <w:pStyle w:val="41"/>
                    <w:bidi w:val="0"/>
                    <w:rPr>
                      <w:b/>
                      <w:bCs/>
                      <w:color w:val="auto"/>
                      <w:highlight w:val="none"/>
                    </w:rPr>
                  </w:pPr>
                </w:p>
              </w:tc>
              <w:tc>
                <w:tcPr>
                  <w:tcW w:w="676" w:type="dxa"/>
                  <w:vAlign w:val="center"/>
                </w:tcPr>
                <w:p w14:paraId="13404B09">
                  <w:pPr>
                    <w:pStyle w:val="41"/>
                    <w:bidi w:val="0"/>
                    <w:rPr>
                      <w:b/>
                      <w:bCs/>
                      <w:color w:val="auto"/>
                      <w:highlight w:val="none"/>
                    </w:rPr>
                  </w:pPr>
                  <w:r>
                    <w:rPr>
                      <w:b/>
                      <w:bCs/>
                      <w:color w:val="auto"/>
                      <w:highlight w:val="none"/>
                    </w:rPr>
                    <w:t>经度（°）</w:t>
                  </w:r>
                </w:p>
              </w:tc>
              <w:tc>
                <w:tcPr>
                  <w:tcW w:w="750" w:type="dxa"/>
                  <w:vAlign w:val="center"/>
                </w:tcPr>
                <w:p w14:paraId="6BCA32C5">
                  <w:pPr>
                    <w:pStyle w:val="41"/>
                    <w:bidi w:val="0"/>
                    <w:rPr>
                      <w:b/>
                      <w:bCs/>
                      <w:color w:val="auto"/>
                      <w:highlight w:val="none"/>
                    </w:rPr>
                  </w:pPr>
                  <w:r>
                    <w:rPr>
                      <w:b/>
                      <w:bCs/>
                      <w:color w:val="auto"/>
                      <w:highlight w:val="none"/>
                    </w:rPr>
                    <w:t>纬度（°）</w:t>
                  </w:r>
                </w:p>
              </w:tc>
              <w:tc>
                <w:tcPr>
                  <w:tcW w:w="677" w:type="dxa"/>
                  <w:vMerge w:val="continue"/>
                  <w:vAlign w:val="center"/>
                </w:tcPr>
                <w:p w14:paraId="34FAADC6">
                  <w:pPr>
                    <w:pStyle w:val="41"/>
                    <w:bidi w:val="0"/>
                    <w:rPr>
                      <w:b/>
                      <w:bCs/>
                      <w:color w:val="auto"/>
                      <w:highlight w:val="none"/>
                    </w:rPr>
                  </w:pPr>
                </w:p>
              </w:tc>
              <w:tc>
                <w:tcPr>
                  <w:tcW w:w="750" w:type="dxa"/>
                  <w:vMerge w:val="continue"/>
                  <w:vAlign w:val="center"/>
                </w:tcPr>
                <w:p w14:paraId="139A28D4">
                  <w:pPr>
                    <w:pStyle w:val="41"/>
                    <w:bidi w:val="0"/>
                    <w:rPr>
                      <w:b/>
                      <w:bCs/>
                      <w:color w:val="auto"/>
                      <w:highlight w:val="none"/>
                    </w:rPr>
                  </w:pPr>
                </w:p>
              </w:tc>
              <w:tc>
                <w:tcPr>
                  <w:tcW w:w="1202" w:type="dxa"/>
                  <w:vMerge w:val="continue"/>
                  <w:vAlign w:val="center"/>
                </w:tcPr>
                <w:p w14:paraId="1D5F4DBB">
                  <w:pPr>
                    <w:pStyle w:val="41"/>
                    <w:bidi w:val="0"/>
                    <w:rPr>
                      <w:b/>
                      <w:bCs/>
                      <w:color w:val="auto"/>
                      <w:highlight w:val="none"/>
                    </w:rPr>
                  </w:pPr>
                </w:p>
              </w:tc>
              <w:tc>
                <w:tcPr>
                  <w:tcW w:w="754" w:type="dxa"/>
                  <w:vMerge w:val="continue"/>
                  <w:vAlign w:val="center"/>
                </w:tcPr>
                <w:p w14:paraId="665DA3BA">
                  <w:pPr>
                    <w:pStyle w:val="41"/>
                    <w:bidi w:val="0"/>
                    <w:rPr>
                      <w:b/>
                      <w:bCs/>
                      <w:color w:val="auto"/>
                      <w:highlight w:val="none"/>
                    </w:rPr>
                  </w:pPr>
                </w:p>
              </w:tc>
              <w:tc>
                <w:tcPr>
                  <w:tcW w:w="720" w:type="dxa"/>
                  <w:vAlign w:val="center"/>
                </w:tcPr>
                <w:p w14:paraId="225BDA06">
                  <w:pPr>
                    <w:pStyle w:val="41"/>
                    <w:bidi w:val="0"/>
                    <w:rPr>
                      <w:b/>
                      <w:bCs/>
                      <w:color w:val="auto"/>
                      <w:highlight w:val="none"/>
                    </w:rPr>
                  </w:pPr>
                  <w:r>
                    <w:rPr>
                      <w:b/>
                      <w:bCs/>
                      <w:color w:val="auto"/>
                      <w:highlight w:val="none"/>
                    </w:rPr>
                    <w:t>名称</w:t>
                  </w:r>
                </w:p>
              </w:tc>
              <w:tc>
                <w:tcPr>
                  <w:tcW w:w="1096" w:type="dxa"/>
                  <w:vAlign w:val="center"/>
                </w:tcPr>
                <w:p w14:paraId="1878FE61">
                  <w:pPr>
                    <w:pStyle w:val="41"/>
                    <w:bidi w:val="0"/>
                    <w:rPr>
                      <w:b/>
                      <w:bCs/>
                      <w:color w:val="auto"/>
                      <w:highlight w:val="none"/>
                    </w:rPr>
                  </w:pPr>
                  <w:r>
                    <w:rPr>
                      <w:b/>
                      <w:bCs/>
                      <w:color w:val="auto"/>
                      <w:highlight w:val="none"/>
                    </w:rPr>
                    <w:t>污染物种类</w:t>
                  </w:r>
                </w:p>
              </w:tc>
              <w:tc>
                <w:tcPr>
                  <w:tcW w:w="1086" w:type="dxa"/>
                  <w:vAlign w:val="center"/>
                </w:tcPr>
                <w:p w14:paraId="39DD4FFF">
                  <w:pPr>
                    <w:pStyle w:val="41"/>
                    <w:bidi w:val="0"/>
                    <w:rPr>
                      <w:b/>
                      <w:bCs/>
                      <w:color w:val="auto"/>
                      <w:highlight w:val="none"/>
                    </w:rPr>
                  </w:pPr>
                  <w:r>
                    <w:rPr>
                      <w:b/>
                      <w:bCs/>
                      <w:color w:val="auto"/>
                      <w:highlight w:val="none"/>
                    </w:rPr>
                    <w:t>排放限值（mg/L）</w:t>
                  </w:r>
                </w:p>
              </w:tc>
            </w:tr>
            <w:tr w14:paraId="15E5F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vMerge w:val="restart"/>
                  <w:vAlign w:val="center"/>
                </w:tcPr>
                <w:p w14:paraId="67CF3163">
                  <w:pPr>
                    <w:pStyle w:val="41"/>
                    <w:bidi w:val="0"/>
                    <w:rPr>
                      <w:color w:val="auto"/>
                      <w:highlight w:val="none"/>
                    </w:rPr>
                  </w:pPr>
                  <w:r>
                    <w:rPr>
                      <w:rFonts w:hint="eastAsia"/>
                      <w:color w:val="auto"/>
                      <w:highlight w:val="none"/>
                      <w:lang w:val="en-US" w:eastAsia="zh-CN"/>
                    </w:rPr>
                    <w:t>综合废水排放口</w:t>
                  </w:r>
                  <w:r>
                    <w:rPr>
                      <w:rFonts w:hint="eastAsia"/>
                      <w:color w:val="auto"/>
                      <w:highlight w:val="none"/>
                    </w:rPr>
                    <w:t>DW001</w:t>
                  </w:r>
                </w:p>
              </w:tc>
              <w:tc>
                <w:tcPr>
                  <w:tcW w:w="676" w:type="dxa"/>
                  <w:vMerge w:val="restart"/>
                  <w:vAlign w:val="center"/>
                </w:tcPr>
                <w:p w14:paraId="3C840BCF">
                  <w:pPr>
                    <w:pStyle w:val="41"/>
                    <w:bidi w:val="0"/>
                    <w:rPr>
                      <w:rFonts w:hint="default"/>
                      <w:color w:val="auto"/>
                      <w:highlight w:val="none"/>
                      <w:lang w:val="en-US"/>
                    </w:rPr>
                  </w:pPr>
                  <w:r>
                    <w:rPr>
                      <w:color w:val="auto"/>
                      <w:highlight w:val="none"/>
                    </w:rPr>
                    <w:t>E</w:t>
                  </w:r>
                  <w:r>
                    <w:rPr>
                      <w:rFonts w:hint="eastAsia"/>
                      <w:color w:val="auto"/>
                      <w:highlight w:val="none"/>
                    </w:rPr>
                    <w:t>118.892357</w:t>
                  </w:r>
                </w:p>
              </w:tc>
              <w:tc>
                <w:tcPr>
                  <w:tcW w:w="750" w:type="dxa"/>
                  <w:vMerge w:val="restart"/>
                  <w:vAlign w:val="center"/>
                </w:tcPr>
                <w:p w14:paraId="4AEFEE7F">
                  <w:pPr>
                    <w:pStyle w:val="41"/>
                    <w:bidi w:val="0"/>
                    <w:rPr>
                      <w:rFonts w:hint="default"/>
                      <w:color w:val="auto"/>
                      <w:highlight w:val="none"/>
                      <w:lang w:val="en-US" w:eastAsia="zh-CN"/>
                    </w:rPr>
                  </w:pPr>
                  <w:r>
                    <w:rPr>
                      <w:color w:val="auto"/>
                      <w:highlight w:val="none"/>
                    </w:rPr>
                    <w:t>N</w:t>
                  </w:r>
                  <w:r>
                    <w:rPr>
                      <w:rFonts w:hint="eastAsia"/>
                      <w:color w:val="auto"/>
                      <w:highlight w:val="none"/>
                    </w:rPr>
                    <w:t>31.926772</w:t>
                  </w:r>
                </w:p>
              </w:tc>
              <w:tc>
                <w:tcPr>
                  <w:tcW w:w="677" w:type="dxa"/>
                  <w:vMerge w:val="restart"/>
                  <w:vAlign w:val="center"/>
                </w:tcPr>
                <w:p w14:paraId="2B78F883">
                  <w:pPr>
                    <w:pStyle w:val="41"/>
                    <w:bidi w:val="0"/>
                    <w:rPr>
                      <w:rFonts w:hint="default"/>
                      <w:color w:val="auto"/>
                      <w:highlight w:val="none"/>
                      <w:lang w:val="en-US" w:eastAsia="zh-CN"/>
                    </w:rPr>
                  </w:pPr>
                  <w:r>
                    <w:rPr>
                      <w:rFonts w:hint="eastAsia"/>
                      <w:b w:val="0"/>
                      <w:bCs w:val="0"/>
                      <w:color w:val="auto"/>
                      <w:highlight w:val="none"/>
                      <w:lang w:val="en-US" w:eastAsia="zh-CN"/>
                    </w:rPr>
                    <w:t>0.52481</w:t>
                  </w:r>
                  <w:r>
                    <w:rPr>
                      <w:b w:val="0"/>
                      <w:bCs w:val="0"/>
                      <w:color w:val="auto"/>
                      <w:highlight w:val="none"/>
                    </w:rPr>
                    <w:t>万t/a</w:t>
                  </w:r>
                </w:p>
              </w:tc>
              <w:tc>
                <w:tcPr>
                  <w:tcW w:w="750" w:type="dxa"/>
                  <w:vMerge w:val="restart"/>
                  <w:vAlign w:val="center"/>
                </w:tcPr>
                <w:p w14:paraId="4DD58237">
                  <w:pPr>
                    <w:pStyle w:val="41"/>
                    <w:bidi w:val="0"/>
                    <w:rPr>
                      <w:color w:val="auto"/>
                      <w:highlight w:val="none"/>
                    </w:rPr>
                  </w:pPr>
                  <w:r>
                    <w:rPr>
                      <w:rFonts w:hint="eastAsia"/>
                      <w:color w:val="auto"/>
                      <w:highlight w:val="none"/>
                      <w:lang w:val="en-US" w:eastAsia="zh-CN"/>
                    </w:rPr>
                    <w:t>高新区污水处理厂</w:t>
                  </w:r>
                </w:p>
              </w:tc>
              <w:tc>
                <w:tcPr>
                  <w:tcW w:w="1202" w:type="dxa"/>
                  <w:vMerge w:val="restart"/>
                  <w:vAlign w:val="center"/>
                </w:tcPr>
                <w:p w14:paraId="233D0E3E">
                  <w:pPr>
                    <w:pStyle w:val="41"/>
                    <w:bidi w:val="0"/>
                    <w:rPr>
                      <w:color w:val="auto"/>
                      <w:highlight w:val="none"/>
                    </w:rPr>
                  </w:pPr>
                  <w:r>
                    <w:rPr>
                      <w:rFonts w:hint="eastAsia"/>
                      <w:color w:val="auto"/>
                      <w:highlight w:val="none"/>
                    </w:rPr>
                    <w:t>间断排放，排放期间流量不稳定且无规律，但不属于冲击型排放</w:t>
                  </w:r>
                </w:p>
              </w:tc>
              <w:tc>
                <w:tcPr>
                  <w:tcW w:w="754" w:type="dxa"/>
                  <w:vMerge w:val="restart"/>
                  <w:vAlign w:val="center"/>
                </w:tcPr>
                <w:p w14:paraId="4AAF230C">
                  <w:pPr>
                    <w:pStyle w:val="41"/>
                    <w:bidi w:val="0"/>
                    <w:rPr>
                      <w:rFonts w:hint="default"/>
                      <w:color w:val="auto"/>
                      <w:highlight w:val="none"/>
                      <w:lang w:val="en-US" w:eastAsia="zh-CN"/>
                    </w:rPr>
                  </w:pPr>
                  <w:r>
                    <w:rPr>
                      <w:rFonts w:hint="eastAsia"/>
                      <w:color w:val="auto"/>
                      <w:highlight w:val="none"/>
                      <w:lang w:val="en-US" w:eastAsia="zh-CN"/>
                    </w:rPr>
                    <w:t>8:00-16:00</w:t>
                  </w:r>
                </w:p>
              </w:tc>
              <w:tc>
                <w:tcPr>
                  <w:tcW w:w="720" w:type="dxa"/>
                  <w:vMerge w:val="restart"/>
                  <w:vAlign w:val="center"/>
                </w:tcPr>
                <w:p w14:paraId="705AF6B1">
                  <w:pPr>
                    <w:pStyle w:val="41"/>
                    <w:bidi w:val="0"/>
                    <w:rPr>
                      <w:color w:val="auto"/>
                      <w:highlight w:val="none"/>
                    </w:rPr>
                  </w:pPr>
                  <w:r>
                    <w:rPr>
                      <w:rFonts w:hint="eastAsia"/>
                      <w:color w:val="auto"/>
                      <w:highlight w:val="none"/>
                      <w:lang w:val="en-US" w:eastAsia="zh-CN"/>
                    </w:rPr>
                    <w:t>高新区污水处理厂</w:t>
                  </w:r>
                </w:p>
              </w:tc>
              <w:tc>
                <w:tcPr>
                  <w:tcW w:w="1096" w:type="dxa"/>
                  <w:vAlign w:val="center"/>
                </w:tcPr>
                <w:p w14:paraId="69CACBA4">
                  <w:pPr>
                    <w:pStyle w:val="41"/>
                    <w:bidi w:val="0"/>
                    <w:rPr>
                      <w:color w:val="auto"/>
                      <w:highlight w:val="none"/>
                    </w:rPr>
                  </w:pPr>
                  <w:r>
                    <w:rPr>
                      <w:color w:val="auto"/>
                      <w:highlight w:val="none"/>
                    </w:rPr>
                    <w:t>pH</w:t>
                  </w:r>
                </w:p>
              </w:tc>
              <w:tc>
                <w:tcPr>
                  <w:tcW w:w="1086" w:type="dxa"/>
                  <w:vAlign w:val="center"/>
                </w:tcPr>
                <w:p w14:paraId="446033E7">
                  <w:pPr>
                    <w:pStyle w:val="41"/>
                    <w:bidi w:val="0"/>
                    <w:rPr>
                      <w:color w:val="auto"/>
                      <w:highlight w:val="none"/>
                    </w:rPr>
                  </w:pPr>
                  <w:r>
                    <w:rPr>
                      <w:color w:val="auto"/>
                      <w:highlight w:val="none"/>
                    </w:rPr>
                    <w:t>6-9</w:t>
                  </w:r>
                </w:p>
              </w:tc>
            </w:tr>
            <w:tr w14:paraId="3053C2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vMerge w:val="continue"/>
                  <w:vAlign w:val="center"/>
                </w:tcPr>
                <w:p w14:paraId="2F25E1C0">
                  <w:pPr>
                    <w:pStyle w:val="41"/>
                    <w:bidi w:val="0"/>
                    <w:rPr>
                      <w:color w:val="auto"/>
                      <w:highlight w:val="none"/>
                    </w:rPr>
                  </w:pPr>
                </w:p>
              </w:tc>
              <w:tc>
                <w:tcPr>
                  <w:tcW w:w="676" w:type="dxa"/>
                  <w:vMerge w:val="continue"/>
                  <w:vAlign w:val="center"/>
                </w:tcPr>
                <w:p w14:paraId="1E5724D9">
                  <w:pPr>
                    <w:pStyle w:val="41"/>
                    <w:bidi w:val="0"/>
                    <w:rPr>
                      <w:color w:val="auto"/>
                      <w:highlight w:val="none"/>
                    </w:rPr>
                  </w:pPr>
                </w:p>
              </w:tc>
              <w:tc>
                <w:tcPr>
                  <w:tcW w:w="750" w:type="dxa"/>
                  <w:vMerge w:val="continue"/>
                  <w:vAlign w:val="center"/>
                </w:tcPr>
                <w:p w14:paraId="79F93E2D">
                  <w:pPr>
                    <w:pStyle w:val="41"/>
                    <w:bidi w:val="0"/>
                    <w:rPr>
                      <w:color w:val="auto"/>
                      <w:highlight w:val="none"/>
                    </w:rPr>
                  </w:pPr>
                </w:p>
              </w:tc>
              <w:tc>
                <w:tcPr>
                  <w:tcW w:w="677" w:type="dxa"/>
                  <w:vMerge w:val="continue"/>
                  <w:vAlign w:val="center"/>
                </w:tcPr>
                <w:p w14:paraId="0157D1D5">
                  <w:pPr>
                    <w:pStyle w:val="41"/>
                    <w:bidi w:val="0"/>
                    <w:rPr>
                      <w:color w:val="auto"/>
                      <w:highlight w:val="none"/>
                    </w:rPr>
                  </w:pPr>
                </w:p>
              </w:tc>
              <w:tc>
                <w:tcPr>
                  <w:tcW w:w="750" w:type="dxa"/>
                  <w:vMerge w:val="continue"/>
                  <w:vAlign w:val="center"/>
                </w:tcPr>
                <w:p w14:paraId="54F81635">
                  <w:pPr>
                    <w:pStyle w:val="41"/>
                    <w:bidi w:val="0"/>
                    <w:rPr>
                      <w:color w:val="auto"/>
                      <w:highlight w:val="none"/>
                    </w:rPr>
                  </w:pPr>
                </w:p>
              </w:tc>
              <w:tc>
                <w:tcPr>
                  <w:tcW w:w="1202" w:type="dxa"/>
                  <w:vMerge w:val="continue"/>
                  <w:vAlign w:val="center"/>
                </w:tcPr>
                <w:p w14:paraId="6FD3B900">
                  <w:pPr>
                    <w:pStyle w:val="41"/>
                    <w:bidi w:val="0"/>
                    <w:rPr>
                      <w:color w:val="auto"/>
                      <w:highlight w:val="none"/>
                    </w:rPr>
                  </w:pPr>
                </w:p>
              </w:tc>
              <w:tc>
                <w:tcPr>
                  <w:tcW w:w="754" w:type="dxa"/>
                  <w:vMerge w:val="continue"/>
                  <w:vAlign w:val="center"/>
                </w:tcPr>
                <w:p w14:paraId="007DCD4B">
                  <w:pPr>
                    <w:pStyle w:val="41"/>
                    <w:bidi w:val="0"/>
                    <w:rPr>
                      <w:color w:val="auto"/>
                      <w:highlight w:val="none"/>
                    </w:rPr>
                  </w:pPr>
                </w:p>
              </w:tc>
              <w:tc>
                <w:tcPr>
                  <w:tcW w:w="720" w:type="dxa"/>
                  <w:vMerge w:val="continue"/>
                  <w:vAlign w:val="center"/>
                </w:tcPr>
                <w:p w14:paraId="05FFC10E">
                  <w:pPr>
                    <w:pStyle w:val="41"/>
                    <w:bidi w:val="0"/>
                    <w:rPr>
                      <w:color w:val="auto"/>
                      <w:highlight w:val="none"/>
                    </w:rPr>
                  </w:pPr>
                </w:p>
              </w:tc>
              <w:tc>
                <w:tcPr>
                  <w:tcW w:w="1096" w:type="dxa"/>
                  <w:vAlign w:val="center"/>
                </w:tcPr>
                <w:p w14:paraId="35C59744">
                  <w:pPr>
                    <w:pStyle w:val="41"/>
                    <w:bidi w:val="0"/>
                    <w:rPr>
                      <w:color w:val="auto"/>
                      <w:highlight w:val="none"/>
                    </w:rPr>
                  </w:pPr>
                  <w:r>
                    <w:rPr>
                      <w:color w:val="auto"/>
                      <w:highlight w:val="none"/>
                    </w:rPr>
                    <w:t>COD</w:t>
                  </w:r>
                </w:p>
              </w:tc>
              <w:tc>
                <w:tcPr>
                  <w:tcW w:w="1086" w:type="dxa"/>
                  <w:shd w:val="clear" w:color="auto" w:fill="auto"/>
                  <w:vAlign w:val="center"/>
                </w:tcPr>
                <w:p w14:paraId="56D56242">
                  <w:pPr>
                    <w:pStyle w:val="41"/>
                    <w:bidi w:val="0"/>
                    <w:jc w:val="center"/>
                    <w:rPr>
                      <w:rFonts w:hint="default" w:ascii="Times New Roman" w:hAnsi="Times New Roman" w:eastAsia="宋体" w:cs="Times New Roman"/>
                      <w:kern w:val="0"/>
                      <w:sz w:val="21"/>
                      <w:szCs w:val="24"/>
                      <w:lang w:val="en-US" w:eastAsia="zh-CN" w:bidi="ar-SA"/>
                    </w:rPr>
                  </w:pPr>
                  <w:r>
                    <w:rPr>
                      <w:rFonts w:hint="eastAsia"/>
                    </w:rPr>
                    <w:t>30</w:t>
                  </w:r>
                </w:p>
              </w:tc>
            </w:tr>
            <w:tr w14:paraId="41345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vMerge w:val="continue"/>
                  <w:vAlign w:val="center"/>
                </w:tcPr>
                <w:p w14:paraId="7FFB3393">
                  <w:pPr>
                    <w:pStyle w:val="41"/>
                    <w:bidi w:val="0"/>
                    <w:rPr>
                      <w:color w:val="auto"/>
                      <w:highlight w:val="none"/>
                    </w:rPr>
                  </w:pPr>
                </w:p>
              </w:tc>
              <w:tc>
                <w:tcPr>
                  <w:tcW w:w="676" w:type="dxa"/>
                  <w:vMerge w:val="continue"/>
                  <w:vAlign w:val="center"/>
                </w:tcPr>
                <w:p w14:paraId="5B88CD5C">
                  <w:pPr>
                    <w:pStyle w:val="41"/>
                    <w:bidi w:val="0"/>
                    <w:rPr>
                      <w:color w:val="auto"/>
                      <w:highlight w:val="none"/>
                    </w:rPr>
                  </w:pPr>
                </w:p>
              </w:tc>
              <w:tc>
                <w:tcPr>
                  <w:tcW w:w="750" w:type="dxa"/>
                  <w:vMerge w:val="continue"/>
                  <w:vAlign w:val="center"/>
                </w:tcPr>
                <w:p w14:paraId="66B8B167">
                  <w:pPr>
                    <w:pStyle w:val="41"/>
                    <w:bidi w:val="0"/>
                    <w:rPr>
                      <w:color w:val="auto"/>
                      <w:highlight w:val="none"/>
                    </w:rPr>
                  </w:pPr>
                </w:p>
              </w:tc>
              <w:tc>
                <w:tcPr>
                  <w:tcW w:w="677" w:type="dxa"/>
                  <w:vMerge w:val="continue"/>
                  <w:vAlign w:val="center"/>
                </w:tcPr>
                <w:p w14:paraId="5281095D">
                  <w:pPr>
                    <w:pStyle w:val="41"/>
                    <w:bidi w:val="0"/>
                    <w:rPr>
                      <w:color w:val="auto"/>
                      <w:highlight w:val="none"/>
                    </w:rPr>
                  </w:pPr>
                </w:p>
              </w:tc>
              <w:tc>
                <w:tcPr>
                  <w:tcW w:w="750" w:type="dxa"/>
                  <w:vMerge w:val="continue"/>
                  <w:vAlign w:val="center"/>
                </w:tcPr>
                <w:p w14:paraId="4DA62664">
                  <w:pPr>
                    <w:pStyle w:val="41"/>
                    <w:bidi w:val="0"/>
                    <w:rPr>
                      <w:color w:val="auto"/>
                      <w:highlight w:val="none"/>
                    </w:rPr>
                  </w:pPr>
                </w:p>
              </w:tc>
              <w:tc>
                <w:tcPr>
                  <w:tcW w:w="1202" w:type="dxa"/>
                  <w:vMerge w:val="continue"/>
                  <w:vAlign w:val="center"/>
                </w:tcPr>
                <w:p w14:paraId="68FB71A1">
                  <w:pPr>
                    <w:pStyle w:val="41"/>
                    <w:bidi w:val="0"/>
                    <w:rPr>
                      <w:color w:val="auto"/>
                      <w:highlight w:val="none"/>
                    </w:rPr>
                  </w:pPr>
                </w:p>
              </w:tc>
              <w:tc>
                <w:tcPr>
                  <w:tcW w:w="754" w:type="dxa"/>
                  <w:vMerge w:val="continue"/>
                  <w:vAlign w:val="center"/>
                </w:tcPr>
                <w:p w14:paraId="7630477D">
                  <w:pPr>
                    <w:pStyle w:val="41"/>
                    <w:bidi w:val="0"/>
                    <w:rPr>
                      <w:color w:val="auto"/>
                      <w:highlight w:val="none"/>
                    </w:rPr>
                  </w:pPr>
                </w:p>
              </w:tc>
              <w:tc>
                <w:tcPr>
                  <w:tcW w:w="720" w:type="dxa"/>
                  <w:vMerge w:val="continue"/>
                  <w:vAlign w:val="center"/>
                </w:tcPr>
                <w:p w14:paraId="4646D0E9">
                  <w:pPr>
                    <w:pStyle w:val="41"/>
                    <w:bidi w:val="0"/>
                    <w:rPr>
                      <w:color w:val="auto"/>
                      <w:highlight w:val="none"/>
                    </w:rPr>
                  </w:pPr>
                </w:p>
              </w:tc>
              <w:tc>
                <w:tcPr>
                  <w:tcW w:w="1096" w:type="dxa"/>
                  <w:vAlign w:val="center"/>
                </w:tcPr>
                <w:p w14:paraId="23446327">
                  <w:pPr>
                    <w:pStyle w:val="41"/>
                    <w:bidi w:val="0"/>
                    <w:rPr>
                      <w:color w:val="auto"/>
                      <w:highlight w:val="none"/>
                    </w:rPr>
                  </w:pPr>
                  <w:r>
                    <w:rPr>
                      <w:color w:val="auto"/>
                      <w:highlight w:val="none"/>
                    </w:rPr>
                    <w:t>SS</w:t>
                  </w:r>
                </w:p>
              </w:tc>
              <w:tc>
                <w:tcPr>
                  <w:tcW w:w="1086" w:type="dxa"/>
                  <w:shd w:val="clear" w:color="auto" w:fill="auto"/>
                  <w:vAlign w:val="center"/>
                </w:tcPr>
                <w:p w14:paraId="0F9B8D13">
                  <w:pPr>
                    <w:pStyle w:val="41"/>
                    <w:bidi w:val="0"/>
                    <w:jc w:val="center"/>
                    <w:rPr>
                      <w:rFonts w:hint="default" w:ascii="Times New Roman" w:hAnsi="Times New Roman" w:eastAsia="宋体" w:cs="Times New Roman"/>
                      <w:kern w:val="0"/>
                      <w:sz w:val="21"/>
                      <w:szCs w:val="24"/>
                      <w:lang w:val="en-US" w:eastAsia="zh-CN" w:bidi="ar-SA"/>
                    </w:rPr>
                  </w:pPr>
                  <w:r>
                    <w:rPr>
                      <w:rFonts w:hint="eastAsia"/>
                    </w:rPr>
                    <w:t>5</w:t>
                  </w:r>
                </w:p>
              </w:tc>
            </w:tr>
            <w:tr w14:paraId="26B7C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vMerge w:val="continue"/>
                  <w:vAlign w:val="center"/>
                </w:tcPr>
                <w:p w14:paraId="39647E64">
                  <w:pPr>
                    <w:pStyle w:val="41"/>
                    <w:bidi w:val="0"/>
                    <w:rPr>
                      <w:color w:val="auto"/>
                      <w:highlight w:val="none"/>
                    </w:rPr>
                  </w:pPr>
                </w:p>
              </w:tc>
              <w:tc>
                <w:tcPr>
                  <w:tcW w:w="676" w:type="dxa"/>
                  <w:vMerge w:val="continue"/>
                  <w:vAlign w:val="center"/>
                </w:tcPr>
                <w:p w14:paraId="777CBE6E">
                  <w:pPr>
                    <w:pStyle w:val="41"/>
                    <w:bidi w:val="0"/>
                    <w:rPr>
                      <w:color w:val="auto"/>
                      <w:highlight w:val="none"/>
                    </w:rPr>
                  </w:pPr>
                </w:p>
              </w:tc>
              <w:tc>
                <w:tcPr>
                  <w:tcW w:w="750" w:type="dxa"/>
                  <w:vMerge w:val="continue"/>
                  <w:vAlign w:val="center"/>
                </w:tcPr>
                <w:p w14:paraId="345FB486">
                  <w:pPr>
                    <w:pStyle w:val="41"/>
                    <w:bidi w:val="0"/>
                    <w:rPr>
                      <w:color w:val="auto"/>
                      <w:highlight w:val="none"/>
                    </w:rPr>
                  </w:pPr>
                </w:p>
              </w:tc>
              <w:tc>
                <w:tcPr>
                  <w:tcW w:w="677" w:type="dxa"/>
                  <w:vMerge w:val="continue"/>
                  <w:vAlign w:val="center"/>
                </w:tcPr>
                <w:p w14:paraId="6181C3A5">
                  <w:pPr>
                    <w:pStyle w:val="41"/>
                    <w:bidi w:val="0"/>
                    <w:rPr>
                      <w:color w:val="auto"/>
                      <w:highlight w:val="none"/>
                    </w:rPr>
                  </w:pPr>
                </w:p>
              </w:tc>
              <w:tc>
                <w:tcPr>
                  <w:tcW w:w="750" w:type="dxa"/>
                  <w:vMerge w:val="continue"/>
                  <w:vAlign w:val="center"/>
                </w:tcPr>
                <w:p w14:paraId="521380A4">
                  <w:pPr>
                    <w:pStyle w:val="41"/>
                    <w:bidi w:val="0"/>
                    <w:rPr>
                      <w:color w:val="auto"/>
                      <w:highlight w:val="none"/>
                    </w:rPr>
                  </w:pPr>
                </w:p>
              </w:tc>
              <w:tc>
                <w:tcPr>
                  <w:tcW w:w="1202" w:type="dxa"/>
                  <w:vMerge w:val="continue"/>
                  <w:vAlign w:val="center"/>
                </w:tcPr>
                <w:p w14:paraId="7D9004A3">
                  <w:pPr>
                    <w:pStyle w:val="41"/>
                    <w:bidi w:val="0"/>
                    <w:rPr>
                      <w:color w:val="auto"/>
                      <w:highlight w:val="none"/>
                    </w:rPr>
                  </w:pPr>
                </w:p>
              </w:tc>
              <w:tc>
                <w:tcPr>
                  <w:tcW w:w="754" w:type="dxa"/>
                  <w:vMerge w:val="continue"/>
                  <w:vAlign w:val="center"/>
                </w:tcPr>
                <w:p w14:paraId="4FED546E">
                  <w:pPr>
                    <w:pStyle w:val="41"/>
                    <w:bidi w:val="0"/>
                    <w:rPr>
                      <w:color w:val="auto"/>
                      <w:highlight w:val="none"/>
                    </w:rPr>
                  </w:pPr>
                </w:p>
              </w:tc>
              <w:tc>
                <w:tcPr>
                  <w:tcW w:w="720" w:type="dxa"/>
                  <w:vMerge w:val="continue"/>
                  <w:vAlign w:val="center"/>
                </w:tcPr>
                <w:p w14:paraId="046C1AE3">
                  <w:pPr>
                    <w:pStyle w:val="41"/>
                    <w:bidi w:val="0"/>
                    <w:rPr>
                      <w:color w:val="auto"/>
                      <w:highlight w:val="none"/>
                    </w:rPr>
                  </w:pPr>
                </w:p>
              </w:tc>
              <w:tc>
                <w:tcPr>
                  <w:tcW w:w="1096" w:type="dxa"/>
                  <w:vAlign w:val="center"/>
                </w:tcPr>
                <w:p w14:paraId="0A3FBF45">
                  <w:pPr>
                    <w:pStyle w:val="41"/>
                    <w:bidi w:val="0"/>
                    <w:rPr>
                      <w:color w:val="auto"/>
                      <w:highlight w:val="none"/>
                    </w:rPr>
                  </w:pPr>
                  <w:r>
                    <w:rPr>
                      <w:color w:val="auto"/>
                      <w:highlight w:val="none"/>
                    </w:rPr>
                    <w:t>NH</w:t>
                  </w:r>
                  <w:r>
                    <w:rPr>
                      <w:color w:val="auto"/>
                      <w:highlight w:val="none"/>
                      <w:vertAlign w:val="subscript"/>
                    </w:rPr>
                    <w:t>3</w:t>
                  </w:r>
                  <w:r>
                    <w:rPr>
                      <w:color w:val="auto"/>
                      <w:highlight w:val="none"/>
                    </w:rPr>
                    <w:t>-N</w:t>
                  </w:r>
                </w:p>
              </w:tc>
              <w:tc>
                <w:tcPr>
                  <w:tcW w:w="1086" w:type="dxa"/>
                  <w:shd w:val="clear" w:color="auto" w:fill="auto"/>
                  <w:vAlign w:val="center"/>
                </w:tcPr>
                <w:p w14:paraId="6C921719">
                  <w:pPr>
                    <w:pStyle w:val="41"/>
                    <w:bidi w:val="0"/>
                    <w:jc w:val="center"/>
                    <w:rPr>
                      <w:rFonts w:hint="default" w:ascii="Times New Roman" w:hAnsi="Times New Roman" w:eastAsia="宋体" w:cs="Times New Roman"/>
                      <w:kern w:val="0"/>
                      <w:sz w:val="21"/>
                      <w:szCs w:val="24"/>
                      <w:lang w:val="en-US" w:eastAsia="zh-CN" w:bidi="ar-SA"/>
                    </w:rPr>
                  </w:pPr>
                  <w:r>
                    <w:rPr>
                      <w:rFonts w:hint="eastAsia"/>
                    </w:rPr>
                    <w:t>1.5</w:t>
                  </w:r>
                </w:p>
              </w:tc>
            </w:tr>
            <w:tr w14:paraId="685F5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vMerge w:val="continue"/>
                  <w:vAlign w:val="center"/>
                </w:tcPr>
                <w:p w14:paraId="1489C208">
                  <w:pPr>
                    <w:pStyle w:val="41"/>
                    <w:bidi w:val="0"/>
                    <w:rPr>
                      <w:color w:val="auto"/>
                      <w:highlight w:val="none"/>
                    </w:rPr>
                  </w:pPr>
                </w:p>
              </w:tc>
              <w:tc>
                <w:tcPr>
                  <w:tcW w:w="676" w:type="dxa"/>
                  <w:vMerge w:val="continue"/>
                  <w:vAlign w:val="center"/>
                </w:tcPr>
                <w:p w14:paraId="4ED7D4BD">
                  <w:pPr>
                    <w:pStyle w:val="41"/>
                    <w:bidi w:val="0"/>
                    <w:rPr>
                      <w:color w:val="auto"/>
                      <w:highlight w:val="none"/>
                    </w:rPr>
                  </w:pPr>
                </w:p>
              </w:tc>
              <w:tc>
                <w:tcPr>
                  <w:tcW w:w="750" w:type="dxa"/>
                  <w:vMerge w:val="continue"/>
                  <w:vAlign w:val="center"/>
                </w:tcPr>
                <w:p w14:paraId="7AA753B6">
                  <w:pPr>
                    <w:pStyle w:val="41"/>
                    <w:bidi w:val="0"/>
                    <w:rPr>
                      <w:color w:val="auto"/>
                      <w:highlight w:val="none"/>
                    </w:rPr>
                  </w:pPr>
                </w:p>
              </w:tc>
              <w:tc>
                <w:tcPr>
                  <w:tcW w:w="677" w:type="dxa"/>
                  <w:vMerge w:val="continue"/>
                  <w:vAlign w:val="center"/>
                </w:tcPr>
                <w:p w14:paraId="3869860D">
                  <w:pPr>
                    <w:pStyle w:val="41"/>
                    <w:bidi w:val="0"/>
                    <w:rPr>
                      <w:color w:val="auto"/>
                      <w:highlight w:val="none"/>
                    </w:rPr>
                  </w:pPr>
                </w:p>
              </w:tc>
              <w:tc>
                <w:tcPr>
                  <w:tcW w:w="750" w:type="dxa"/>
                  <w:vMerge w:val="continue"/>
                  <w:vAlign w:val="center"/>
                </w:tcPr>
                <w:p w14:paraId="5C83C86E">
                  <w:pPr>
                    <w:pStyle w:val="41"/>
                    <w:bidi w:val="0"/>
                    <w:rPr>
                      <w:color w:val="auto"/>
                      <w:highlight w:val="none"/>
                    </w:rPr>
                  </w:pPr>
                </w:p>
              </w:tc>
              <w:tc>
                <w:tcPr>
                  <w:tcW w:w="1202" w:type="dxa"/>
                  <w:vMerge w:val="continue"/>
                  <w:vAlign w:val="center"/>
                </w:tcPr>
                <w:p w14:paraId="53C2459B">
                  <w:pPr>
                    <w:pStyle w:val="41"/>
                    <w:bidi w:val="0"/>
                    <w:rPr>
                      <w:color w:val="auto"/>
                      <w:highlight w:val="none"/>
                    </w:rPr>
                  </w:pPr>
                </w:p>
              </w:tc>
              <w:tc>
                <w:tcPr>
                  <w:tcW w:w="754" w:type="dxa"/>
                  <w:vMerge w:val="continue"/>
                  <w:vAlign w:val="center"/>
                </w:tcPr>
                <w:p w14:paraId="43C5DFD2">
                  <w:pPr>
                    <w:pStyle w:val="41"/>
                    <w:bidi w:val="0"/>
                    <w:rPr>
                      <w:color w:val="auto"/>
                      <w:highlight w:val="none"/>
                    </w:rPr>
                  </w:pPr>
                </w:p>
              </w:tc>
              <w:tc>
                <w:tcPr>
                  <w:tcW w:w="720" w:type="dxa"/>
                  <w:vMerge w:val="continue"/>
                  <w:vAlign w:val="center"/>
                </w:tcPr>
                <w:p w14:paraId="6E0BF480">
                  <w:pPr>
                    <w:pStyle w:val="41"/>
                    <w:bidi w:val="0"/>
                    <w:rPr>
                      <w:color w:val="auto"/>
                      <w:highlight w:val="none"/>
                    </w:rPr>
                  </w:pPr>
                </w:p>
              </w:tc>
              <w:tc>
                <w:tcPr>
                  <w:tcW w:w="1096" w:type="dxa"/>
                  <w:vAlign w:val="center"/>
                </w:tcPr>
                <w:p w14:paraId="0B20D713">
                  <w:pPr>
                    <w:pStyle w:val="41"/>
                    <w:bidi w:val="0"/>
                    <w:rPr>
                      <w:rFonts w:hint="default" w:eastAsia="宋体"/>
                      <w:color w:val="auto"/>
                      <w:highlight w:val="none"/>
                      <w:lang w:val="en-US" w:eastAsia="zh-CN"/>
                    </w:rPr>
                  </w:pPr>
                  <w:r>
                    <w:rPr>
                      <w:rFonts w:hint="eastAsia"/>
                      <w:color w:val="auto"/>
                      <w:highlight w:val="none"/>
                      <w:lang w:val="en-US" w:eastAsia="zh-CN"/>
                    </w:rPr>
                    <w:t>TN</w:t>
                  </w:r>
                </w:p>
              </w:tc>
              <w:tc>
                <w:tcPr>
                  <w:tcW w:w="1086" w:type="dxa"/>
                  <w:shd w:val="clear" w:color="auto" w:fill="auto"/>
                  <w:vAlign w:val="center"/>
                </w:tcPr>
                <w:p w14:paraId="0FD63626">
                  <w:pPr>
                    <w:pStyle w:val="41"/>
                    <w:bidi w:val="0"/>
                    <w:jc w:val="center"/>
                    <w:rPr>
                      <w:rFonts w:hint="default" w:ascii="Times New Roman" w:hAnsi="Times New Roman" w:eastAsia="宋体" w:cs="Times New Roman"/>
                      <w:kern w:val="0"/>
                      <w:sz w:val="21"/>
                      <w:szCs w:val="24"/>
                      <w:lang w:val="en-US" w:eastAsia="zh-CN" w:bidi="ar-SA"/>
                    </w:rPr>
                  </w:pPr>
                  <w:r>
                    <w:rPr>
                      <w:rFonts w:hint="eastAsia"/>
                    </w:rPr>
                    <w:t>15</w:t>
                  </w:r>
                </w:p>
              </w:tc>
            </w:tr>
            <w:tr w14:paraId="778526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vMerge w:val="continue"/>
                  <w:vAlign w:val="center"/>
                </w:tcPr>
                <w:p w14:paraId="260B93BC">
                  <w:pPr>
                    <w:pStyle w:val="41"/>
                    <w:bidi w:val="0"/>
                    <w:rPr>
                      <w:color w:val="auto"/>
                      <w:highlight w:val="none"/>
                    </w:rPr>
                  </w:pPr>
                </w:p>
              </w:tc>
              <w:tc>
                <w:tcPr>
                  <w:tcW w:w="676" w:type="dxa"/>
                  <w:vMerge w:val="continue"/>
                  <w:vAlign w:val="center"/>
                </w:tcPr>
                <w:p w14:paraId="0A8541BB">
                  <w:pPr>
                    <w:pStyle w:val="41"/>
                    <w:bidi w:val="0"/>
                    <w:rPr>
                      <w:color w:val="auto"/>
                      <w:highlight w:val="none"/>
                    </w:rPr>
                  </w:pPr>
                </w:p>
              </w:tc>
              <w:tc>
                <w:tcPr>
                  <w:tcW w:w="750" w:type="dxa"/>
                  <w:vMerge w:val="continue"/>
                  <w:vAlign w:val="center"/>
                </w:tcPr>
                <w:p w14:paraId="7B44A078">
                  <w:pPr>
                    <w:pStyle w:val="41"/>
                    <w:bidi w:val="0"/>
                    <w:rPr>
                      <w:color w:val="auto"/>
                      <w:highlight w:val="none"/>
                    </w:rPr>
                  </w:pPr>
                </w:p>
              </w:tc>
              <w:tc>
                <w:tcPr>
                  <w:tcW w:w="677" w:type="dxa"/>
                  <w:vMerge w:val="continue"/>
                  <w:vAlign w:val="center"/>
                </w:tcPr>
                <w:p w14:paraId="23E27FFE">
                  <w:pPr>
                    <w:pStyle w:val="41"/>
                    <w:bidi w:val="0"/>
                    <w:rPr>
                      <w:color w:val="auto"/>
                      <w:highlight w:val="none"/>
                    </w:rPr>
                  </w:pPr>
                </w:p>
              </w:tc>
              <w:tc>
                <w:tcPr>
                  <w:tcW w:w="750" w:type="dxa"/>
                  <w:vMerge w:val="continue"/>
                  <w:vAlign w:val="center"/>
                </w:tcPr>
                <w:p w14:paraId="13898773">
                  <w:pPr>
                    <w:pStyle w:val="41"/>
                    <w:bidi w:val="0"/>
                    <w:rPr>
                      <w:color w:val="auto"/>
                      <w:highlight w:val="none"/>
                    </w:rPr>
                  </w:pPr>
                </w:p>
              </w:tc>
              <w:tc>
                <w:tcPr>
                  <w:tcW w:w="1202" w:type="dxa"/>
                  <w:vMerge w:val="continue"/>
                  <w:vAlign w:val="center"/>
                </w:tcPr>
                <w:p w14:paraId="671B1407">
                  <w:pPr>
                    <w:pStyle w:val="41"/>
                    <w:bidi w:val="0"/>
                    <w:rPr>
                      <w:color w:val="auto"/>
                      <w:highlight w:val="none"/>
                    </w:rPr>
                  </w:pPr>
                </w:p>
              </w:tc>
              <w:tc>
                <w:tcPr>
                  <w:tcW w:w="754" w:type="dxa"/>
                  <w:vMerge w:val="continue"/>
                  <w:vAlign w:val="center"/>
                </w:tcPr>
                <w:p w14:paraId="002903BD">
                  <w:pPr>
                    <w:pStyle w:val="41"/>
                    <w:bidi w:val="0"/>
                    <w:rPr>
                      <w:color w:val="auto"/>
                      <w:highlight w:val="none"/>
                    </w:rPr>
                  </w:pPr>
                </w:p>
              </w:tc>
              <w:tc>
                <w:tcPr>
                  <w:tcW w:w="720" w:type="dxa"/>
                  <w:vMerge w:val="continue"/>
                  <w:vAlign w:val="center"/>
                </w:tcPr>
                <w:p w14:paraId="32DFC788">
                  <w:pPr>
                    <w:pStyle w:val="41"/>
                    <w:bidi w:val="0"/>
                    <w:rPr>
                      <w:color w:val="auto"/>
                      <w:highlight w:val="none"/>
                    </w:rPr>
                  </w:pPr>
                </w:p>
              </w:tc>
              <w:tc>
                <w:tcPr>
                  <w:tcW w:w="1096" w:type="dxa"/>
                  <w:vAlign w:val="center"/>
                </w:tcPr>
                <w:p w14:paraId="04D844C3">
                  <w:pPr>
                    <w:pStyle w:val="41"/>
                    <w:bidi w:val="0"/>
                    <w:rPr>
                      <w:color w:val="auto"/>
                      <w:highlight w:val="none"/>
                    </w:rPr>
                  </w:pPr>
                  <w:r>
                    <w:rPr>
                      <w:color w:val="auto"/>
                      <w:highlight w:val="none"/>
                    </w:rPr>
                    <w:t>TP</w:t>
                  </w:r>
                </w:p>
              </w:tc>
              <w:tc>
                <w:tcPr>
                  <w:tcW w:w="1086" w:type="dxa"/>
                  <w:shd w:val="clear" w:color="auto" w:fill="auto"/>
                  <w:vAlign w:val="center"/>
                </w:tcPr>
                <w:p w14:paraId="1068ADD4">
                  <w:pPr>
                    <w:pStyle w:val="41"/>
                    <w:bidi w:val="0"/>
                    <w:jc w:val="center"/>
                    <w:rPr>
                      <w:rFonts w:hint="default" w:ascii="Times New Roman" w:hAnsi="Times New Roman" w:eastAsia="宋体" w:cs="Times New Roman"/>
                      <w:kern w:val="0"/>
                      <w:sz w:val="21"/>
                      <w:szCs w:val="24"/>
                      <w:lang w:val="en-US" w:eastAsia="zh-CN" w:bidi="ar-SA"/>
                    </w:rPr>
                  </w:pPr>
                  <w:r>
                    <w:rPr>
                      <w:rFonts w:hint="eastAsia"/>
                    </w:rPr>
                    <w:t>0.3</w:t>
                  </w:r>
                </w:p>
              </w:tc>
            </w:tr>
          </w:tbl>
          <w:p w14:paraId="309B65D6">
            <w:pPr>
              <w:pStyle w:val="41"/>
              <w:bidi w:val="0"/>
              <w:rPr>
                <w:color w:val="auto"/>
                <w:highlight w:val="none"/>
              </w:rPr>
            </w:pPr>
          </w:p>
          <w:p w14:paraId="6541EDD1">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eastAsia="宋体"/>
                <w:b/>
                <w:color w:val="auto"/>
                <w:sz w:val="24"/>
                <w:highlight w:val="none"/>
                <w:lang w:eastAsia="zh-CN"/>
              </w:rPr>
            </w:pPr>
            <w:r>
              <w:rPr>
                <w:b/>
                <w:color w:val="auto"/>
                <w:sz w:val="24"/>
                <w:highlight w:val="none"/>
              </w:rPr>
              <w:t>（</w:t>
            </w:r>
            <w:r>
              <w:rPr>
                <w:rFonts w:hint="eastAsia"/>
                <w:b/>
                <w:color w:val="auto"/>
                <w:sz w:val="24"/>
                <w:highlight w:val="none"/>
                <w:lang w:val="en-US" w:eastAsia="zh-CN"/>
              </w:rPr>
              <w:t>2</w:t>
            </w:r>
            <w:r>
              <w:rPr>
                <w:b/>
                <w:color w:val="auto"/>
                <w:sz w:val="24"/>
                <w:highlight w:val="none"/>
              </w:rPr>
              <w:t>）</w:t>
            </w:r>
            <w:r>
              <w:rPr>
                <w:rFonts w:hint="eastAsia"/>
                <w:b/>
                <w:color w:val="auto"/>
                <w:sz w:val="24"/>
                <w:highlight w:val="none"/>
                <w:lang w:eastAsia="zh-CN"/>
              </w:rPr>
              <w:t>废水</w:t>
            </w:r>
            <w:r>
              <w:rPr>
                <w:rFonts w:hint="eastAsia"/>
                <w:b/>
                <w:color w:val="auto"/>
                <w:sz w:val="24"/>
                <w:highlight w:val="none"/>
              </w:rPr>
              <w:t>污</w:t>
            </w:r>
            <w:r>
              <w:rPr>
                <w:rFonts w:hint="eastAsia"/>
                <w:b/>
                <w:bCs w:val="0"/>
                <w:color w:val="auto"/>
                <w:sz w:val="24"/>
                <w:szCs w:val="24"/>
                <w:highlight w:val="none"/>
              </w:rPr>
              <w:t>染防治措施</w:t>
            </w:r>
            <w:r>
              <w:rPr>
                <w:rFonts w:hint="eastAsia"/>
                <w:b/>
                <w:bCs w:val="0"/>
                <w:color w:val="auto"/>
                <w:sz w:val="24"/>
                <w:szCs w:val="24"/>
                <w:highlight w:val="none"/>
                <w:lang w:eastAsia="zh-CN"/>
              </w:rPr>
              <w:t>可行性分析</w:t>
            </w:r>
          </w:p>
          <w:p w14:paraId="0BE206F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b/>
                <w:bCs/>
                <w:color w:val="auto"/>
                <w:sz w:val="24"/>
                <w:highlight w:val="none"/>
                <w:lang w:val="en-US" w:eastAsia="zh-CN"/>
              </w:rPr>
            </w:pPr>
            <w:r>
              <w:rPr>
                <w:rFonts w:hint="eastAsia" w:ascii="Times New Roman" w:hAnsi="Times New Roman" w:cs="Times New Roman"/>
                <w:color w:val="auto"/>
                <w:sz w:val="24"/>
                <w:szCs w:val="24"/>
                <w:highlight w:val="none"/>
                <w:lang w:val="en-US" w:eastAsia="zh-CN"/>
              </w:rPr>
              <w:t>本项目研发废水（仪器及器皿后续清洗废水1575t/a、地面清洁废水1038.6t/a、实验设备废水22.5t/a、纯水制备浓水</w:t>
            </w:r>
            <w:r>
              <w:rPr>
                <w:rFonts w:hint="eastAsia" w:cs="Times New Roman"/>
                <w:color w:val="auto"/>
                <w:sz w:val="24"/>
                <w:szCs w:val="24"/>
                <w:highlight w:val="none"/>
                <w:lang w:val="en-US" w:eastAsia="zh-CN"/>
              </w:rPr>
              <w:t>75</w:t>
            </w:r>
            <w:r>
              <w:rPr>
                <w:rFonts w:hint="eastAsia" w:ascii="Times New Roman" w:hAnsi="Times New Roman" w:cs="Times New Roman"/>
                <w:color w:val="auto"/>
                <w:sz w:val="24"/>
                <w:szCs w:val="24"/>
                <w:highlight w:val="none"/>
                <w:lang w:val="en-US" w:eastAsia="zh-CN"/>
              </w:rPr>
              <w:t>t/a、喷淋塔废水37t/a）经1号楼污水处理站TW003预处理，生活污水经化粪池预处理，预处理后接管至高新区污水处理厂处理，处理达标后尾水排入秦淮河。</w:t>
            </w:r>
          </w:p>
          <w:p w14:paraId="3F2C88E5">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default"/>
                <w:b/>
                <w:bCs/>
                <w:color w:val="auto"/>
                <w:sz w:val="24"/>
                <w:highlight w:val="none"/>
                <w:lang w:val="en-US" w:eastAsia="zh-CN"/>
              </w:rPr>
            </w:pPr>
            <w:r>
              <w:rPr>
                <w:rFonts w:hint="eastAsia"/>
                <w:b/>
                <w:bCs/>
                <w:color w:val="auto"/>
                <w:sz w:val="24"/>
                <w:highlight w:val="none"/>
                <w:lang w:val="en-US" w:eastAsia="zh-CN"/>
              </w:rPr>
              <w:t>1）化粪池</w:t>
            </w:r>
          </w:p>
          <w:p w14:paraId="6D402CF7">
            <w:pPr>
              <w:bidi w:val="0"/>
              <w:ind w:firstLine="480" w:firstLineChars="200"/>
              <w:rPr>
                <w:color w:val="auto"/>
                <w:highlight w:val="none"/>
              </w:rPr>
            </w:pPr>
            <w:r>
              <w:rPr>
                <w:color w:val="auto"/>
                <w:highlight w:val="none"/>
              </w:rPr>
              <w:t>生活污水进入化粪池后，利用池内位置相对固定的厌氧菌去除部分污染物，同时在池内由于沉淀作用，部分悬浮物从水体中沉淀分离出来。由于污水在池内水力停留时间短，水流湍动作用较弱，厌氧菌较少且由于位置相对固定而活性较差，因此，除悬浮物外，</w:t>
            </w:r>
            <w:r>
              <w:rPr>
                <w:rFonts w:hint="eastAsia"/>
                <w:color w:val="auto"/>
                <w:highlight w:val="none"/>
                <w:lang w:eastAsia="zh-CN"/>
              </w:rPr>
              <w:t>对其他</w:t>
            </w:r>
            <w:r>
              <w:rPr>
                <w:color w:val="auto"/>
                <w:highlight w:val="none"/>
              </w:rPr>
              <w:t>各种污染物去除效果较差，本项目化粪池去除COD20%，SS50%，对NH</w:t>
            </w:r>
            <w:r>
              <w:rPr>
                <w:color w:val="auto"/>
                <w:highlight w:val="none"/>
                <w:vertAlign w:val="subscript"/>
              </w:rPr>
              <w:t>3</w:t>
            </w:r>
            <w:r>
              <w:rPr>
                <w:color w:val="auto"/>
                <w:highlight w:val="none"/>
              </w:rPr>
              <w:t>-N</w:t>
            </w:r>
            <w:r>
              <w:rPr>
                <w:rFonts w:hint="eastAsia"/>
                <w:color w:val="auto"/>
                <w:highlight w:val="none"/>
              </w:rPr>
              <w:t>、TN、</w:t>
            </w:r>
            <w:r>
              <w:rPr>
                <w:color w:val="auto"/>
                <w:highlight w:val="none"/>
              </w:rPr>
              <w:t>TP几乎没有处理效果。</w:t>
            </w:r>
          </w:p>
          <w:p w14:paraId="296CDD3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b/>
                <w:bCs/>
                <w:color w:val="auto"/>
                <w:sz w:val="24"/>
                <w:highlight w:val="none"/>
                <w:lang w:val="en-US" w:eastAsia="zh-CN"/>
              </w:rPr>
            </w:pPr>
            <w:r>
              <w:rPr>
                <w:rFonts w:hint="eastAsia"/>
                <w:color w:val="auto"/>
                <w:highlight w:val="none"/>
              </w:rPr>
              <w:t>本项目</w:t>
            </w:r>
            <w:r>
              <w:rPr>
                <w:rFonts w:hint="eastAsia"/>
                <w:color w:val="auto"/>
                <w:highlight w:val="none"/>
                <w:lang w:val="en-US" w:eastAsia="zh-CN"/>
              </w:rPr>
              <w:t>厂区</w:t>
            </w:r>
            <w:r>
              <w:rPr>
                <w:rFonts w:hint="eastAsia"/>
                <w:color w:val="auto"/>
                <w:highlight w:val="none"/>
              </w:rPr>
              <w:t>化粪池有效容积为</w:t>
            </w:r>
            <w:r>
              <w:rPr>
                <w:rFonts w:hint="eastAsia"/>
                <w:color w:val="auto"/>
                <w:highlight w:val="none"/>
                <w:lang w:val="en-US" w:eastAsia="zh-CN"/>
              </w:rPr>
              <w:t>30</w:t>
            </w:r>
            <w:r>
              <w:rPr>
                <w:rFonts w:hint="eastAsia"/>
                <w:color w:val="auto"/>
                <w:highlight w:val="none"/>
              </w:rPr>
              <w:t>m</w:t>
            </w:r>
            <w:r>
              <w:rPr>
                <w:rFonts w:hint="eastAsia"/>
                <w:color w:val="auto"/>
                <w:highlight w:val="none"/>
                <w:vertAlign w:val="superscript"/>
              </w:rPr>
              <w:t>3</w:t>
            </w:r>
            <w:r>
              <w:rPr>
                <w:rFonts w:hint="eastAsia"/>
                <w:color w:val="auto"/>
                <w:highlight w:val="none"/>
              </w:rPr>
              <w:t>，按照污水在化粪池内停留</w:t>
            </w:r>
            <w:r>
              <w:rPr>
                <w:rFonts w:hint="eastAsia"/>
                <w:color w:val="auto"/>
                <w:highlight w:val="none"/>
                <w:lang w:val="en-US" w:eastAsia="zh-CN"/>
              </w:rPr>
              <w:t>12</w:t>
            </w:r>
            <w:r>
              <w:rPr>
                <w:rFonts w:hint="eastAsia"/>
                <w:color w:val="auto"/>
                <w:highlight w:val="none"/>
              </w:rPr>
              <w:t>h计算，可处理水量</w:t>
            </w:r>
            <w:r>
              <w:rPr>
                <w:rFonts w:hint="eastAsia"/>
                <w:color w:val="auto"/>
                <w:highlight w:val="none"/>
                <w:lang w:val="en-US" w:eastAsia="zh-CN"/>
              </w:rPr>
              <w:t>60</w:t>
            </w:r>
            <w:r>
              <w:rPr>
                <w:rFonts w:hint="eastAsia"/>
                <w:color w:val="auto"/>
                <w:highlight w:val="none"/>
              </w:rPr>
              <w:t>t/d</w:t>
            </w:r>
            <w:r>
              <w:rPr>
                <w:rFonts w:hint="eastAsia"/>
                <w:color w:val="auto"/>
                <w:highlight w:val="none"/>
                <w:lang w:eastAsia="zh-CN"/>
              </w:rPr>
              <w:t>，</w:t>
            </w:r>
            <w:r>
              <w:rPr>
                <w:rFonts w:hint="eastAsia"/>
                <w:color w:val="auto"/>
                <w:highlight w:val="none"/>
              </w:rPr>
              <w:t>本项目生活污水产生量为</w:t>
            </w:r>
            <w:r>
              <w:rPr>
                <w:rFonts w:hint="eastAsia"/>
                <w:color w:val="auto"/>
                <w:highlight w:val="none"/>
                <w:lang w:val="en-US" w:eastAsia="zh-CN"/>
              </w:rPr>
              <w:t>2500</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本项目建成后全厂生活污水产生量为14143.9t/a（38.75t/d），</w:t>
            </w:r>
            <w:r>
              <w:rPr>
                <w:rFonts w:hint="eastAsia"/>
                <w:color w:val="auto"/>
                <w:highlight w:val="none"/>
              </w:rPr>
              <w:t>厂区</w:t>
            </w:r>
            <w:r>
              <w:rPr>
                <w:rFonts w:hint="eastAsia"/>
                <w:color w:val="auto"/>
                <w:highlight w:val="none"/>
                <w:lang w:val="en-US" w:eastAsia="zh-CN"/>
              </w:rPr>
              <w:t>内</w:t>
            </w:r>
            <w:r>
              <w:rPr>
                <w:rFonts w:hint="eastAsia"/>
                <w:color w:val="auto"/>
                <w:highlight w:val="none"/>
              </w:rPr>
              <w:t>现有化粪池预处理生活污水方案可行。</w:t>
            </w:r>
          </w:p>
          <w:p w14:paraId="18080303">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default"/>
                <w:b/>
                <w:bCs/>
                <w:color w:val="auto"/>
                <w:sz w:val="24"/>
                <w:highlight w:val="none"/>
                <w:lang w:val="en-US" w:eastAsia="zh-CN"/>
              </w:rPr>
            </w:pPr>
            <w:r>
              <w:rPr>
                <w:rFonts w:hint="eastAsia"/>
                <w:b/>
                <w:bCs/>
                <w:color w:val="auto"/>
                <w:sz w:val="24"/>
                <w:highlight w:val="none"/>
                <w:lang w:val="en-US" w:eastAsia="zh-CN"/>
              </w:rPr>
              <w:t>2）1号楼污水处理站</w:t>
            </w:r>
          </w:p>
          <w:p w14:paraId="00042AB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1号楼新建污水处理站，污水处理工艺为“调节+中和+混凝沉淀+水解酸化+AO”，废水经格栅槽隔除大颗粒悬浮物和漂浮物后进入调节池，在其中污水得以均质均量，而后进入混凝沉淀池，去除废水中的纤维素、木质素类微小悬浮颗粒物，再进入水解酸化池进行预酸化，将难降解物质转化为易生物降解的小分子物质，再进去AO池去除废水中有机污染物、脱氮除磷后达标排放。污泥进入污泥池浓缩后泥饼外运。污水处理站工艺流程图如下。</w:t>
            </w:r>
          </w:p>
          <w:p w14:paraId="1635D5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drawing>
                <wp:inline distT="0" distB="0" distL="114300" distR="114300">
                  <wp:extent cx="2572385" cy="3599180"/>
                  <wp:effectExtent l="0" t="0" r="0" b="0"/>
                  <wp:docPr id="15" name="ECB019B1-382A-4266-B25C-5B523AA43C14-15" descr="C:/Users/PC/AppData/Local/Temp/wps.lBfhp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15" descr="C:/Users/PC/AppData/Local/Temp/wps.lBfhpEwps"/>
                          <pic:cNvPicPr>
                            <a:picLocks noChangeAspect="1"/>
                          </pic:cNvPicPr>
                        </pic:nvPicPr>
                        <pic:blipFill>
                          <a:blip r:embed="rId35"/>
                          <a:stretch>
                            <a:fillRect/>
                          </a:stretch>
                        </pic:blipFill>
                        <pic:spPr>
                          <a:xfrm>
                            <a:off x="0" y="0"/>
                            <a:ext cx="2572385" cy="3599180"/>
                          </a:xfrm>
                          <a:prstGeom prst="rect">
                            <a:avLst/>
                          </a:prstGeom>
                        </pic:spPr>
                      </pic:pic>
                    </a:graphicData>
                  </a:graphic>
                </wp:inline>
              </w:drawing>
            </w:r>
          </w:p>
          <w:p w14:paraId="06A69CEB">
            <w:pPr>
              <w:pStyle w:val="46"/>
              <w:bidi w:val="0"/>
              <w:rPr>
                <w:rFonts w:hint="default"/>
                <w:lang w:val="en-US" w:eastAsia="zh-CN"/>
              </w:rPr>
            </w:pPr>
            <w:r>
              <w:rPr>
                <w:rFonts w:hint="eastAsia"/>
                <w:lang w:val="en-US" w:eastAsia="zh-CN"/>
              </w:rPr>
              <w:t>污水处理站工艺流程图</w:t>
            </w:r>
          </w:p>
          <w:p w14:paraId="42A7D44B">
            <w:pPr>
              <w:bidi w:val="0"/>
              <w:ind w:firstLine="480" w:firstLineChars="200"/>
            </w:pPr>
            <w:r>
              <w:t>①水量可行性分析</w:t>
            </w:r>
          </w:p>
          <w:p w14:paraId="0C6A9515">
            <w:pPr>
              <w:bidi w:val="0"/>
              <w:ind w:firstLine="480" w:firstLineChars="200"/>
            </w:pPr>
            <w:r>
              <w:rPr>
                <w:rFonts w:hint="eastAsia"/>
                <w:lang w:val="en-US" w:eastAsia="zh-CN"/>
              </w:rPr>
              <w:t>1号楼</w:t>
            </w:r>
            <w:r>
              <w:rPr>
                <w:rFonts w:hint="eastAsia"/>
              </w:rPr>
              <w:t>污水处理站</w:t>
            </w:r>
            <w:r>
              <w:t>设计处理能力为</w:t>
            </w:r>
            <w:r>
              <w:rPr>
                <w:rFonts w:hint="eastAsia"/>
                <w:lang w:val="en-US" w:eastAsia="zh-CN"/>
              </w:rPr>
              <w:t>25</w:t>
            </w:r>
            <w:r>
              <w:t>t/d，</w:t>
            </w:r>
            <w:r>
              <w:rPr>
                <w:rFonts w:hint="eastAsia"/>
                <w:lang w:val="en-US" w:eastAsia="zh-CN"/>
              </w:rPr>
              <w:t>本项目建成后污水处理站处理水量为2748.1t/a（10.99t/d），仅占污水处理站处理能力的43.96%，处理</w:t>
            </w:r>
            <w:r>
              <w:rPr>
                <w:rFonts w:hint="eastAsia"/>
              </w:rPr>
              <w:t>水量</w:t>
            </w:r>
            <w:r>
              <w:t>满足要求。</w:t>
            </w:r>
          </w:p>
          <w:p w14:paraId="34879E86">
            <w:pPr>
              <w:bidi w:val="0"/>
              <w:ind w:firstLine="480" w:firstLineChars="200"/>
            </w:pPr>
            <w:r>
              <w:t>②水质可行性分析</w:t>
            </w:r>
          </w:p>
          <w:p w14:paraId="46348B9E">
            <w:pPr>
              <w:bidi w:val="0"/>
              <w:ind w:firstLine="480" w:firstLineChars="200"/>
              <w:rPr>
                <w:rFonts w:hint="default"/>
                <w:lang w:val="en-US" w:eastAsia="zh-CN"/>
              </w:rPr>
            </w:pPr>
            <w:r>
              <w:rPr>
                <w:rFonts w:hint="eastAsia" w:cs="Times New Roman"/>
                <w:color w:val="auto"/>
                <w:sz w:val="24"/>
                <w:highlight w:val="none"/>
                <w:lang w:val="en-US" w:eastAsia="zh-CN"/>
              </w:rPr>
              <w:t>1号楼</w:t>
            </w:r>
            <w:r>
              <w:rPr>
                <w:rFonts w:hint="eastAsia" w:ascii="Times New Roman" w:hAnsi="Times New Roman" w:cs="Times New Roman"/>
                <w:color w:val="auto"/>
                <w:sz w:val="24"/>
                <w:highlight w:val="none"/>
                <w:lang w:val="en-US" w:eastAsia="zh-CN"/>
              </w:rPr>
              <w:t>污水处理站处理效率见下表，研发废水经污水处理站处理后满足高新区污水处理厂接管要求。</w:t>
            </w:r>
          </w:p>
          <w:p w14:paraId="63487AD6">
            <w:pPr>
              <w:pStyle w:val="162"/>
              <w:bidi w:val="0"/>
              <w:rPr>
                <w:rFonts w:hint="eastAsia"/>
                <w:lang w:val="en-US" w:eastAsia="zh-CN"/>
              </w:rPr>
            </w:pPr>
            <w:r>
              <w:rPr>
                <w:rFonts w:hint="eastAsia"/>
                <w:lang w:val="en-US" w:eastAsia="zh-CN"/>
              </w:rPr>
              <w:t>1号楼污水处理站各处理段设计去除效率一览表</w:t>
            </w:r>
            <w:r>
              <w:rPr>
                <w:rFonts w:hint="eastAsia"/>
                <w:color w:val="auto"/>
                <w:highlight w:val="none"/>
                <w:lang w:eastAsia="zh-CN"/>
              </w:rPr>
              <w:t>（</w:t>
            </w:r>
            <w:r>
              <w:rPr>
                <w:rFonts w:hint="eastAsia"/>
                <w:color w:val="auto"/>
                <w:highlight w:val="none"/>
                <w:lang w:val="en-US" w:eastAsia="zh-CN"/>
              </w:rPr>
              <w:t>单位m/L</w:t>
            </w:r>
            <w:r>
              <w:rPr>
                <w:rFonts w:hint="eastAsia"/>
                <w:color w:val="auto"/>
                <w:highlight w:val="none"/>
                <w:lang w:eastAsia="zh-CN"/>
              </w:rPr>
              <w:t>）</w:t>
            </w:r>
          </w:p>
          <w:tbl>
            <w:tblPr>
              <w:tblStyle w:val="32"/>
              <w:tblW w:w="8348" w:type="dxa"/>
              <w:tblInd w:w="-1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8"/>
              <w:gridCol w:w="1733"/>
              <w:gridCol w:w="1112"/>
              <w:gridCol w:w="1257"/>
              <w:gridCol w:w="1112"/>
              <w:gridCol w:w="1113"/>
              <w:gridCol w:w="1113"/>
            </w:tblGrid>
            <w:tr w14:paraId="28EB3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641" w:type="dxa"/>
                  <w:gridSpan w:val="2"/>
                  <w:tcBorders>
                    <w:top w:val="single" w:color="000000" w:sz="12" w:space="0"/>
                    <w:left w:val="nil"/>
                    <w:bottom w:val="single" w:color="000000" w:sz="8" w:space="0"/>
                    <w:right w:val="single" w:color="000000" w:sz="8" w:space="0"/>
                  </w:tcBorders>
                  <w:shd w:val="clear" w:color="auto" w:fill="auto"/>
                  <w:noWrap/>
                  <w:vAlign w:val="center"/>
                </w:tcPr>
                <w:p w14:paraId="440A77FF">
                  <w:pPr>
                    <w:pStyle w:val="41"/>
                    <w:bidi w:val="0"/>
                    <w:jc w:val="center"/>
                    <w:rPr>
                      <w:rFonts w:hint="eastAsia"/>
                      <w:b/>
                      <w:bCs/>
                    </w:rPr>
                  </w:pPr>
                  <w:r>
                    <w:rPr>
                      <w:rFonts w:hint="eastAsia"/>
                      <w:b/>
                      <w:bCs/>
                      <w:lang w:val="en-US" w:eastAsia="zh-CN"/>
                    </w:rPr>
                    <w:t>处理单元</w:t>
                  </w:r>
                </w:p>
              </w:tc>
              <w:tc>
                <w:tcPr>
                  <w:tcW w:w="1112"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14:paraId="10BF3D52">
                  <w:pPr>
                    <w:pStyle w:val="41"/>
                    <w:bidi w:val="0"/>
                    <w:jc w:val="center"/>
                    <w:rPr>
                      <w:rFonts w:hint="default"/>
                      <w:b/>
                      <w:bCs/>
                    </w:rPr>
                  </w:pPr>
                  <w:r>
                    <w:rPr>
                      <w:rFonts w:hint="default"/>
                      <w:b/>
                      <w:bCs/>
                      <w:lang w:val="en-US" w:eastAsia="zh-CN"/>
                    </w:rPr>
                    <w:t>COD</w:t>
                  </w:r>
                </w:p>
              </w:tc>
              <w:tc>
                <w:tcPr>
                  <w:tcW w:w="1257"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14:paraId="6C4B730E">
                  <w:pPr>
                    <w:pStyle w:val="41"/>
                    <w:bidi w:val="0"/>
                    <w:jc w:val="center"/>
                    <w:rPr>
                      <w:rFonts w:hint="default"/>
                      <w:b/>
                      <w:bCs/>
                    </w:rPr>
                  </w:pPr>
                  <w:r>
                    <w:rPr>
                      <w:rFonts w:hint="default"/>
                      <w:b/>
                      <w:bCs/>
                      <w:lang w:val="en-US" w:eastAsia="zh-CN"/>
                    </w:rPr>
                    <w:t>SS</w:t>
                  </w:r>
                </w:p>
              </w:tc>
              <w:tc>
                <w:tcPr>
                  <w:tcW w:w="1112"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14:paraId="5AE2F5DF">
                  <w:pPr>
                    <w:pStyle w:val="41"/>
                    <w:bidi w:val="0"/>
                    <w:jc w:val="center"/>
                    <w:rPr>
                      <w:rFonts w:hint="eastAsia"/>
                      <w:b/>
                      <w:bCs/>
                    </w:rPr>
                  </w:pPr>
                  <w:r>
                    <w:rPr>
                      <w:rFonts w:hint="eastAsia"/>
                      <w:b/>
                      <w:bCs/>
                      <w:lang w:val="en-US" w:eastAsia="zh-CN"/>
                    </w:rPr>
                    <w:t>氨氮</w:t>
                  </w:r>
                </w:p>
              </w:tc>
              <w:tc>
                <w:tcPr>
                  <w:tcW w:w="1113"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14:paraId="65131E44">
                  <w:pPr>
                    <w:pStyle w:val="41"/>
                    <w:bidi w:val="0"/>
                    <w:jc w:val="center"/>
                    <w:rPr>
                      <w:rFonts w:hint="eastAsia"/>
                      <w:b/>
                      <w:bCs/>
                    </w:rPr>
                  </w:pPr>
                  <w:r>
                    <w:rPr>
                      <w:rFonts w:hint="eastAsia"/>
                      <w:b/>
                      <w:bCs/>
                      <w:lang w:val="en-US" w:eastAsia="zh-CN"/>
                    </w:rPr>
                    <w:t>总氮</w:t>
                  </w:r>
                </w:p>
              </w:tc>
              <w:tc>
                <w:tcPr>
                  <w:tcW w:w="1113"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14:paraId="527689B9">
                  <w:pPr>
                    <w:pStyle w:val="41"/>
                    <w:bidi w:val="0"/>
                    <w:jc w:val="center"/>
                    <w:rPr>
                      <w:rFonts w:hint="eastAsia"/>
                      <w:b/>
                      <w:bCs/>
                    </w:rPr>
                  </w:pPr>
                  <w:r>
                    <w:rPr>
                      <w:rFonts w:hint="eastAsia"/>
                      <w:b/>
                      <w:bCs/>
                      <w:lang w:val="en-US" w:eastAsia="zh-CN"/>
                    </w:rPr>
                    <w:t>总磷</w:t>
                  </w:r>
                </w:p>
              </w:tc>
            </w:tr>
            <w:tr w14:paraId="0BFEB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908" w:type="dxa"/>
                  <w:vMerge w:val="restart"/>
                  <w:tcBorders>
                    <w:top w:val="single" w:color="000000" w:sz="8" w:space="0"/>
                    <w:left w:val="nil"/>
                    <w:bottom w:val="single" w:color="000000" w:sz="8" w:space="0"/>
                    <w:right w:val="single" w:color="000000" w:sz="8" w:space="0"/>
                  </w:tcBorders>
                  <w:shd w:val="clear" w:color="auto" w:fill="auto"/>
                  <w:noWrap/>
                  <w:vAlign w:val="center"/>
                </w:tcPr>
                <w:p w14:paraId="1D8EB988">
                  <w:pPr>
                    <w:pStyle w:val="41"/>
                    <w:bidi w:val="0"/>
                    <w:jc w:val="center"/>
                    <w:rPr>
                      <w:rFonts w:hint="default"/>
                    </w:rPr>
                  </w:pPr>
                  <w:r>
                    <w:rPr>
                      <w:rFonts w:hint="default"/>
                      <w:lang w:val="en-US" w:eastAsia="zh-CN"/>
                    </w:rPr>
                    <w:t>调节池</w:t>
                  </w:r>
                </w:p>
              </w:tc>
              <w:tc>
                <w:tcPr>
                  <w:tcW w:w="173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5CAA25">
                  <w:pPr>
                    <w:pStyle w:val="41"/>
                    <w:bidi w:val="0"/>
                    <w:jc w:val="center"/>
                    <w:rPr>
                      <w:rFonts w:hint="eastAsia"/>
                    </w:rPr>
                  </w:pPr>
                  <w:r>
                    <w:rPr>
                      <w:rFonts w:hint="eastAsia"/>
                      <w:lang w:val="en-US" w:eastAsia="zh-CN"/>
                    </w:rPr>
                    <w:t>进水</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CFE946">
                  <w:pPr>
                    <w:pStyle w:val="41"/>
                    <w:bidi w:val="0"/>
                    <w:jc w:val="center"/>
                    <w:rPr>
                      <w:rFonts w:hint="default"/>
                      <w:lang w:val="en-US" w:eastAsia="zh-CN"/>
                    </w:rPr>
                  </w:pPr>
                  <w:r>
                    <w:rPr>
                      <w:rFonts w:hint="eastAsia"/>
                    </w:rPr>
                    <w:t>507.53</w:t>
                  </w:r>
                </w:p>
              </w:tc>
              <w:tc>
                <w:tcPr>
                  <w:tcW w:w="125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1C8988">
                  <w:pPr>
                    <w:pStyle w:val="41"/>
                    <w:bidi w:val="0"/>
                    <w:jc w:val="center"/>
                    <w:rPr>
                      <w:rFonts w:hint="default"/>
                      <w:lang w:val="en-US" w:eastAsia="zh-CN"/>
                    </w:rPr>
                  </w:pPr>
                  <w:r>
                    <w:rPr>
                      <w:rFonts w:hint="eastAsia"/>
                    </w:rPr>
                    <w:t>199.14</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B63477">
                  <w:pPr>
                    <w:pStyle w:val="41"/>
                    <w:bidi w:val="0"/>
                    <w:jc w:val="center"/>
                    <w:rPr>
                      <w:rFonts w:hint="default"/>
                      <w:lang w:val="en-US" w:eastAsia="zh-CN"/>
                    </w:rPr>
                  </w:pPr>
                  <w:r>
                    <w:rPr>
                      <w:rFonts w:hint="eastAsia"/>
                    </w:rPr>
                    <w:t>9.65</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3BE48A">
                  <w:pPr>
                    <w:pStyle w:val="41"/>
                    <w:bidi w:val="0"/>
                    <w:jc w:val="center"/>
                    <w:rPr>
                      <w:rFonts w:hint="default"/>
                      <w:lang w:val="en-US" w:eastAsia="zh-CN"/>
                    </w:rPr>
                  </w:pPr>
                  <w:r>
                    <w:rPr>
                      <w:rFonts w:hint="eastAsia"/>
                    </w:rPr>
                    <w:t>14.47</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02A8A7">
                  <w:pPr>
                    <w:pStyle w:val="41"/>
                    <w:bidi w:val="0"/>
                    <w:jc w:val="center"/>
                    <w:rPr>
                      <w:rFonts w:hint="default"/>
                      <w:lang w:val="en-US" w:eastAsia="zh-CN"/>
                    </w:rPr>
                  </w:pPr>
                  <w:r>
                    <w:rPr>
                      <w:rFonts w:hint="eastAsia"/>
                    </w:rPr>
                    <w:t>1.93</w:t>
                  </w:r>
                </w:p>
              </w:tc>
            </w:tr>
            <w:tr w14:paraId="67B2A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908" w:type="dxa"/>
                  <w:vMerge w:val="continue"/>
                  <w:tcBorders>
                    <w:top w:val="single" w:color="000000" w:sz="8" w:space="0"/>
                    <w:left w:val="nil"/>
                    <w:bottom w:val="single" w:color="000000" w:sz="8" w:space="0"/>
                    <w:right w:val="single" w:color="000000" w:sz="8" w:space="0"/>
                  </w:tcBorders>
                  <w:shd w:val="clear" w:color="auto" w:fill="auto"/>
                  <w:noWrap/>
                  <w:vAlign w:val="center"/>
                </w:tcPr>
                <w:p w14:paraId="6FABBB18">
                  <w:pPr>
                    <w:pStyle w:val="41"/>
                    <w:bidi w:val="0"/>
                    <w:jc w:val="center"/>
                    <w:rPr>
                      <w:rFonts w:hint="default"/>
                    </w:rPr>
                  </w:pPr>
                </w:p>
              </w:tc>
              <w:tc>
                <w:tcPr>
                  <w:tcW w:w="173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6E09BF">
                  <w:pPr>
                    <w:pStyle w:val="41"/>
                    <w:bidi w:val="0"/>
                    <w:jc w:val="center"/>
                    <w:rPr>
                      <w:rFonts w:hint="eastAsia"/>
                    </w:rPr>
                  </w:pPr>
                  <w:r>
                    <w:rPr>
                      <w:rFonts w:hint="eastAsia"/>
                      <w:lang w:val="en-US" w:eastAsia="zh-CN"/>
                    </w:rPr>
                    <w:t>出水</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3A988C">
                  <w:pPr>
                    <w:pStyle w:val="41"/>
                    <w:bidi w:val="0"/>
                    <w:jc w:val="center"/>
                    <w:rPr>
                      <w:rFonts w:hint="default"/>
                      <w:lang w:val="en-US" w:eastAsia="zh-CN"/>
                    </w:rPr>
                  </w:pPr>
                  <w:r>
                    <w:rPr>
                      <w:rFonts w:hint="eastAsia"/>
                    </w:rPr>
                    <w:t>482.15</w:t>
                  </w:r>
                </w:p>
              </w:tc>
              <w:tc>
                <w:tcPr>
                  <w:tcW w:w="125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23611F">
                  <w:pPr>
                    <w:pStyle w:val="41"/>
                    <w:bidi w:val="0"/>
                    <w:jc w:val="center"/>
                    <w:rPr>
                      <w:rFonts w:hint="default"/>
                      <w:lang w:val="en-US" w:eastAsia="zh-CN"/>
                    </w:rPr>
                  </w:pPr>
                  <w:r>
                    <w:rPr>
                      <w:rFonts w:hint="eastAsia"/>
                    </w:rPr>
                    <w:t>199.14</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7FF0EF">
                  <w:pPr>
                    <w:pStyle w:val="41"/>
                    <w:bidi w:val="0"/>
                    <w:jc w:val="center"/>
                    <w:rPr>
                      <w:rFonts w:hint="default"/>
                      <w:lang w:val="en-US" w:eastAsia="zh-CN"/>
                    </w:rPr>
                  </w:pPr>
                  <w:r>
                    <w:rPr>
                      <w:rFonts w:hint="eastAsia"/>
                    </w:rPr>
                    <w:t>9.65</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B3187E">
                  <w:pPr>
                    <w:pStyle w:val="41"/>
                    <w:bidi w:val="0"/>
                    <w:jc w:val="center"/>
                    <w:rPr>
                      <w:rFonts w:hint="default"/>
                      <w:lang w:val="en-US" w:eastAsia="zh-CN"/>
                    </w:rPr>
                  </w:pPr>
                  <w:r>
                    <w:rPr>
                      <w:rFonts w:hint="eastAsia"/>
                    </w:rPr>
                    <w:t>14.47</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A15131A">
                  <w:pPr>
                    <w:pStyle w:val="41"/>
                    <w:bidi w:val="0"/>
                    <w:jc w:val="center"/>
                    <w:rPr>
                      <w:rFonts w:hint="default"/>
                      <w:lang w:val="en-US" w:eastAsia="zh-CN"/>
                    </w:rPr>
                  </w:pPr>
                  <w:r>
                    <w:rPr>
                      <w:rFonts w:hint="eastAsia"/>
                    </w:rPr>
                    <w:t>1.93</w:t>
                  </w:r>
                </w:p>
              </w:tc>
            </w:tr>
            <w:tr w14:paraId="6BFF4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908" w:type="dxa"/>
                  <w:vMerge w:val="continue"/>
                  <w:tcBorders>
                    <w:top w:val="single" w:color="000000" w:sz="8" w:space="0"/>
                    <w:left w:val="nil"/>
                    <w:bottom w:val="single" w:color="000000" w:sz="8" w:space="0"/>
                    <w:right w:val="single" w:color="000000" w:sz="8" w:space="0"/>
                  </w:tcBorders>
                  <w:shd w:val="clear" w:color="auto" w:fill="auto"/>
                  <w:noWrap/>
                  <w:vAlign w:val="center"/>
                </w:tcPr>
                <w:p w14:paraId="75D9BDAC">
                  <w:pPr>
                    <w:pStyle w:val="41"/>
                    <w:bidi w:val="0"/>
                    <w:jc w:val="center"/>
                    <w:rPr>
                      <w:rFonts w:hint="default"/>
                    </w:rPr>
                  </w:pPr>
                </w:p>
              </w:tc>
              <w:tc>
                <w:tcPr>
                  <w:tcW w:w="173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B83D24">
                  <w:pPr>
                    <w:pStyle w:val="41"/>
                    <w:bidi w:val="0"/>
                    <w:jc w:val="center"/>
                    <w:rPr>
                      <w:rFonts w:hint="eastAsia"/>
                    </w:rPr>
                  </w:pPr>
                  <w:r>
                    <w:rPr>
                      <w:rFonts w:hint="eastAsia"/>
                      <w:lang w:val="en-US" w:eastAsia="zh-CN"/>
                    </w:rPr>
                    <w:t>去除效率</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66DCF9">
                  <w:pPr>
                    <w:pStyle w:val="41"/>
                    <w:bidi w:val="0"/>
                    <w:jc w:val="center"/>
                    <w:rPr>
                      <w:rFonts w:hint="default"/>
                      <w:lang w:val="en-US" w:eastAsia="zh-CN"/>
                    </w:rPr>
                  </w:pPr>
                  <w:r>
                    <w:rPr>
                      <w:rFonts w:hint="eastAsia"/>
                    </w:rPr>
                    <w:t>5%</w:t>
                  </w:r>
                </w:p>
              </w:tc>
              <w:tc>
                <w:tcPr>
                  <w:tcW w:w="125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75D8DC">
                  <w:pPr>
                    <w:pStyle w:val="41"/>
                    <w:bidi w:val="0"/>
                    <w:jc w:val="center"/>
                    <w:rPr>
                      <w:rFonts w:hint="default"/>
                      <w:lang w:val="en-US" w:eastAsia="zh-CN"/>
                    </w:rPr>
                  </w:pPr>
                  <w:r>
                    <w:rPr>
                      <w:rFonts w:hint="eastAsia"/>
                    </w:rPr>
                    <w:t>0%</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3BFFB4">
                  <w:pPr>
                    <w:pStyle w:val="41"/>
                    <w:bidi w:val="0"/>
                    <w:jc w:val="center"/>
                    <w:rPr>
                      <w:rFonts w:hint="default"/>
                      <w:lang w:val="en-US" w:eastAsia="zh-CN"/>
                    </w:rPr>
                  </w:pPr>
                  <w:r>
                    <w:rPr>
                      <w:rFonts w:hint="eastAsia"/>
                    </w:rPr>
                    <w:t>0%</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0FD8DA">
                  <w:pPr>
                    <w:pStyle w:val="41"/>
                    <w:bidi w:val="0"/>
                    <w:jc w:val="center"/>
                    <w:rPr>
                      <w:rFonts w:hint="default"/>
                      <w:lang w:val="en-US" w:eastAsia="zh-CN"/>
                    </w:rPr>
                  </w:pPr>
                  <w:r>
                    <w:rPr>
                      <w:rFonts w:hint="eastAsia"/>
                    </w:rPr>
                    <w:t>0%</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31D595A">
                  <w:pPr>
                    <w:pStyle w:val="41"/>
                    <w:bidi w:val="0"/>
                    <w:jc w:val="center"/>
                    <w:rPr>
                      <w:rFonts w:hint="default"/>
                      <w:lang w:val="en-US" w:eastAsia="zh-CN"/>
                    </w:rPr>
                  </w:pPr>
                  <w:r>
                    <w:rPr>
                      <w:rFonts w:hint="eastAsia"/>
                    </w:rPr>
                    <w:t>0%</w:t>
                  </w:r>
                </w:p>
              </w:tc>
            </w:tr>
            <w:tr w14:paraId="701F9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908" w:type="dxa"/>
                  <w:vMerge w:val="restart"/>
                  <w:tcBorders>
                    <w:top w:val="single" w:color="000000" w:sz="8" w:space="0"/>
                    <w:left w:val="nil"/>
                    <w:bottom w:val="single" w:color="000000" w:sz="8" w:space="0"/>
                    <w:right w:val="single" w:color="000000" w:sz="8" w:space="0"/>
                  </w:tcBorders>
                  <w:shd w:val="clear" w:color="auto" w:fill="auto"/>
                  <w:vAlign w:val="center"/>
                </w:tcPr>
                <w:p w14:paraId="54C8490A">
                  <w:pPr>
                    <w:pStyle w:val="41"/>
                    <w:bidi w:val="0"/>
                    <w:jc w:val="center"/>
                    <w:rPr>
                      <w:rFonts w:hint="default"/>
                    </w:rPr>
                  </w:pPr>
                  <w:r>
                    <w:rPr>
                      <w:rFonts w:hint="default"/>
                      <w:lang w:val="en-US" w:eastAsia="zh-CN"/>
                    </w:rPr>
                    <w:t>中和-混凝沉淀池</w:t>
                  </w:r>
                </w:p>
              </w:tc>
              <w:tc>
                <w:tcPr>
                  <w:tcW w:w="173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CAF743D">
                  <w:pPr>
                    <w:pStyle w:val="41"/>
                    <w:bidi w:val="0"/>
                    <w:jc w:val="center"/>
                    <w:rPr>
                      <w:rFonts w:hint="eastAsia"/>
                    </w:rPr>
                  </w:pPr>
                  <w:r>
                    <w:rPr>
                      <w:rFonts w:hint="eastAsia"/>
                      <w:lang w:val="en-US" w:eastAsia="zh-CN"/>
                    </w:rPr>
                    <w:t>进水</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CA4922">
                  <w:pPr>
                    <w:pStyle w:val="41"/>
                    <w:bidi w:val="0"/>
                    <w:jc w:val="center"/>
                    <w:rPr>
                      <w:rFonts w:hint="default"/>
                      <w:lang w:val="en-US" w:eastAsia="zh-CN"/>
                    </w:rPr>
                  </w:pPr>
                  <w:r>
                    <w:rPr>
                      <w:rFonts w:hint="eastAsia"/>
                    </w:rPr>
                    <w:t>482.15</w:t>
                  </w:r>
                </w:p>
              </w:tc>
              <w:tc>
                <w:tcPr>
                  <w:tcW w:w="125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D269CF">
                  <w:pPr>
                    <w:pStyle w:val="41"/>
                    <w:bidi w:val="0"/>
                    <w:jc w:val="center"/>
                    <w:rPr>
                      <w:rFonts w:hint="default"/>
                      <w:lang w:val="en-US" w:eastAsia="zh-CN"/>
                    </w:rPr>
                  </w:pPr>
                  <w:r>
                    <w:rPr>
                      <w:rFonts w:hint="eastAsia"/>
                    </w:rPr>
                    <w:t>199.14</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A36A79">
                  <w:pPr>
                    <w:pStyle w:val="41"/>
                    <w:bidi w:val="0"/>
                    <w:jc w:val="center"/>
                    <w:rPr>
                      <w:rFonts w:hint="default"/>
                      <w:lang w:val="en-US" w:eastAsia="zh-CN"/>
                    </w:rPr>
                  </w:pPr>
                  <w:r>
                    <w:rPr>
                      <w:rFonts w:hint="eastAsia"/>
                    </w:rPr>
                    <w:t>9.65</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9B50DF">
                  <w:pPr>
                    <w:pStyle w:val="41"/>
                    <w:bidi w:val="0"/>
                    <w:jc w:val="center"/>
                    <w:rPr>
                      <w:rFonts w:hint="default"/>
                      <w:lang w:val="en-US" w:eastAsia="zh-CN"/>
                    </w:rPr>
                  </w:pPr>
                  <w:r>
                    <w:rPr>
                      <w:rFonts w:hint="eastAsia"/>
                    </w:rPr>
                    <w:t>14.47</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5FB22E">
                  <w:pPr>
                    <w:pStyle w:val="41"/>
                    <w:bidi w:val="0"/>
                    <w:jc w:val="center"/>
                    <w:rPr>
                      <w:rFonts w:hint="default"/>
                      <w:lang w:val="en-US" w:eastAsia="zh-CN"/>
                    </w:rPr>
                  </w:pPr>
                  <w:r>
                    <w:rPr>
                      <w:rFonts w:hint="eastAsia"/>
                    </w:rPr>
                    <w:t>1.93</w:t>
                  </w:r>
                </w:p>
              </w:tc>
            </w:tr>
            <w:tr w14:paraId="7F1B3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908" w:type="dxa"/>
                  <w:vMerge w:val="continue"/>
                  <w:tcBorders>
                    <w:top w:val="single" w:color="000000" w:sz="8" w:space="0"/>
                    <w:left w:val="nil"/>
                    <w:bottom w:val="single" w:color="000000" w:sz="8" w:space="0"/>
                    <w:right w:val="single" w:color="000000" w:sz="8" w:space="0"/>
                  </w:tcBorders>
                  <w:shd w:val="clear" w:color="auto" w:fill="auto"/>
                  <w:vAlign w:val="center"/>
                </w:tcPr>
                <w:p w14:paraId="5F71FE22">
                  <w:pPr>
                    <w:pStyle w:val="41"/>
                    <w:bidi w:val="0"/>
                    <w:jc w:val="center"/>
                    <w:rPr>
                      <w:rFonts w:hint="default"/>
                    </w:rPr>
                  </w:pPr>
                </w:p>
              </w:tc>
              <w:tc>
                <w:tcPr>
                  <w:tcW w:w="173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6730C3">
                  <w:pPr>
                    <w:pStyle w:val="41"/>
                    <w:bidi w:val="0"/>
                    <w:jc w:val="center"/>
                    <w:rPr>
                      <w:rFonts w:hint="eastAsia"/>
                    </w:rPr>
                  </w:pPr>
                  <w:r>
                    <w:rPr>
                      <w:rFonts w:hint="eastAsia"/>
                      <w:lang w:val="en-US" w:eastAsia="zh-CN"/>
                    </w:rPr>
                    <w:t>出水</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82D487">
                  <w:pPr>
                    <w:pStyle w:val="41"/>
                    <w:bidi w:val="0"/>
                    <w:jc w:val="center"/>
                    <w:rPr>
                      <w:rFonts w:hint="default"/>
                      <w:lang w:val="en-US" w:eastAsia="zh-CN"/>
                    </w:rPr>
                  </w:pPr>
                  <w:r>
                    <w:rPr>
                      <w:rFonts w:hint="eastAsia"/>
                    </w:rPr>
                    <w:t>385.72</w:t>
                  </w:r>
                </w:p>
              </w:tc>
              <w:tc>
                <w:tcPr>
                  <w:tcW w:w="125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FA16C8">
                  <w:pPr>
                    <w:pStyle w:val="41"/>
                    <w:bidi w:val="0"/>
                    <w:jc w:val="center"/>
                    <w:rPr>
                      <w:rFonts w:hint="default"/>
                      <w:lang w:val="en-US" w:eastAsia="zh-CN"/>
                    </w:rPr>
                  </w:pPr>
                  <w:r>
                    <w:rPr>
                      <w:rFonts w:hint="eastAsia"/>
                    </w:rPr>
                    <w:t>99.57</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3316B1">
                  <w:pPr>
                    <w:pStyle w:val="41"/>
                    <w:bidi w:val="0"/>
                    <w:jc w:val="center"/>
                    <w:rPr>
                      <w:rFonts w:hint="default"/>
                      <w:lang w:val="en-US" w:eastAsia="zh-CN"/>
                    </w:rPr>
                  </w:pPr>
                  <w:r>
                    <w:rPr>
                      <w:rFonts w:hint="eastAsia"/>
                    </w:rPr>
                    <w:t>9.65</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995B1D">
                  <w:pPr>
                    <w:pStyle w:val="41"/>
                    <w:bidi w:val="0"/>
                    <w:jc w:val="center"/>
                    <w:rPr>
                      <w:rFonts w:hint="default"/>
                      <w:lang w:val="en-US" w:eastAsia="zh-CN"/>
                    </w:rPr>
                  </w:pPr>
                  <w:r>
                    <w:rPr>
                      <w:rFonts w:hint="eastAsia"/>
                    </w:rPr>
                    <w:t>14.47</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89F0B9">
                  <w:pPr>
                    <w:pStyle w:val="41"/>
                    <w:bidi w:val="0"/>
                    <w:jc w:val="center"/>
                    <w:rPr>
                      <w:rFonts w:hint="default"/>
                      <w:lang w:val="en-US" w:eastAsia="zh-CN"/>
                    </w:rPr>
                  </w:pPr>
                  <w:r>
                    <w:rPr>
                      <w:rFonts w:hint="eastAsia"/>
                    </w:rPr>
                    <w:t>1.93</w:t>
                  </w:r>
                </w:p>
              </w:tc>
            </w:tr>
            <w:tr w14:paraId="059CC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908" w:type="dxa"/>
                  <w:vMerge w:val="continue"/>
                  <w:tcBorders>
                    <w:top w:val="single" w:color="000000" w:sz="8" w:space="0"/>
                    <w:left w:val="nil"/>
                    <w:bottom w:val="single" w:color="000000" w:sz="8" w:space="0"/>
                    <w:right w:val="single" w:color="000000" w:sz="8" w:space="0"/>
                  </w:tcBorders>
                  <w:shd w:val="clear" w:color="auto" w:fill="auto"/>
                  <w:vAlign w:val="center"/>
                </w:tcPr>
                <w:p w14:paraId="7D65CE57">
                  <w:pPr>
                    <w:pStyle w:val="41"/>
                    <w:bidi w:val="0"/>
                    <w:jc w:val="center"/>
                    <w:rPr>
                      <w:rFonts w:hint="default"/>
                    </w:rPr>
                  </w:pPr>
                </w:p>
              </w:tc>
              <w:tc>
                <w:tcPr>
                  <w:tcW w:w="173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FCABBC">
                  <w:pPr>
                    <w:pStyle w:val="41"/>
                    <w:bidi w:val="0"/>
                    <w:jc w:val="center"/>
                    <w:rPr>
                      <w:rFonts w:hint="eastAsia"/>
                    </w:rPr>
                  </w:pPr>
                  <w:r>
                    <w:rPr>
                      <w:rFonts w:hint="eastAsia"/>
                      <w:lang w:val="en-US" w:eastAsia="zh-CN"/>
                    </w:rPr>
                    <w:t>去除效率</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45C9CB">
                  <w:pPr>
                    <w:pStyle w:val="41"/>
                    <w:bidi w:val="0"/>
                    <w:jc w:val="center"/>
                    <w:rPr>
                      <w:rFonts w:hint="default"/>
                      <w:lang w:val="en-US" w:eastAsia="zh-CN"/>
                    </w:rPr>
                  </w:pPr>
                  <w:r>
                    <w:rPr>
                      <w:rFonts w:hint="eastAsia"/>
                    </w:rPr>
                    <w:t>20%</w:t>
                  </w:r>
                </w:p>
              </w:tc>
              <w:tc>
                <w:tcPr>
                  <w:tcW w:w="125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195325">
                  <w:pPr>
                    <w:pStyle w:val="41"/>
                    <w:bidi w:val="0"/>
                    <w:jc w:val="center"/>
                    <w:rPr>
                      <w:rFonts w:hint="default"/>
                      <w:lang w:val="en-US" w:eastAsia="zh-CN"/>
                    </w:rPr>
                  </w:pPr>
                  <w:r>
                    <w:rPr>
                      <w:rFonts w:hint="eastAsia"/>
                    </w:rPr>
                    <w:t>50%</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75B3B3">
                  <w:pPr>
                    <w:pStyle w:val="41"/>
                    <w:bidi w:val="0"/>
                    <w:jc w:val="center"/>
                    <w:rPr>
                      <w:rFonts w:hint="default"/>
                      <w:lang w:val="en-US" w:eastAsia="zh-CN"/>
                    </w:rPr>
                  </w:pPr>
                  <w:r>
                    <w:rPr>
                      <w:rFonts w:hint="eastAsia"/>
                    </w:rPr>
                    <w:t>0%</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5A8E1F">
                  <w:pPr>
                    <w:pStyle w:val="41"/>
                    <w:bidi w:val="0"/>
                    <w:jc w:val="center"/>
                    <w:rPr>
                      <w:rFonts w:hint="default"/>
                      <w:lang w:val="en-US" w:eastAsia="zh-CN"/>
                    </w:rPr>
                  </w:pPr>
                  <w:r>
                    <w:rPr>
                      <w:rFonts w:hint="eastAsia"/>
                    </w:rPr>
                    <w:t>0%</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2D4F6B">
                  <w:pPr>
                    <w:pStyle w:val="41"/>
                    <w:bidi w:val="0"/>
                    <w:jc w:val="center"/>
                    <w:rPr>
                      <w:rFonts w:hint="default"/>
                      <w:lang w:val="en-US" w:eastAsia="zh-CN"/>
                    </w:rPr>
                  </w:pPr>
                  <w:r>
                    <w:rPr>
                      <w:rFonts w:hint="eastAsia"/>
                    </w:rPr>
                    <w:t>0%</w:t>
                  </w:r>
                </w:p>
              </w:tc>
            </w:tr>
            <w:tr w14:paraId="45A41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908" w:type="dxa"/>
                  <w:vMerge w:val="restart"/>
                  <w:tcBorders>
                    <w:top w:val="single" w:color="000000" w:sz="8" w:space="0"/>
                    <w:left w:val="nil"/>
                    <w:bottom w:val="single" w:color="000000" w:sz="8" w:space="0"/>
                    <w:right w:val="single" w:color="000000" w:sz="8" w:space="0"/>
                  </w:tcBorders>
                  <w:shd w:val="clear" w:color="auto" w:fill="auto"/>
                  <w:vAlign w:val="center"/>
                </w:tcPr>
                <w:p w14:paraId="04FD0E22">
                  <w:pPr>
                    <w:pStyle w:val="41"/>
                    <w:bidi w:val="0"/>
                    <w:jc w:val="center"/>
                    <w:rPr>
                      <w:rFonts w:hint="eastAsia"/>
                    </w:rPr>
                  </w:pPr>
                  <w:r>
                    <w:rPr>
                      <w:rFonts w:hint="eastAsia"/>
                      <w:lang w:val="en-US" w:eastAsia="zh-CN"/>
                    </w:rPr>
                    <w:t>水解酸化</w:t>
                  </w:r>
                  <w:r>
                    <w:rPr>
                      <w:rFonts w:hint="default"/>
                      <w:lang w:val="en-US" w:eastAsia="zh-CN"/>
                    </w:rPr>
                    <w:t>+AO</w:t>
                  </w:r>
                </w:p>
              </w:tc>
              <w:tc>
                <w:tcPr>
                  <w:tcW w:w="173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A49F59">
                  <w:pPr>
                    <w:pStyle w:val="41"/>
                    <w:bidi w:val="0"/>
                    <w:jc w:val="center"/>
                    <w:rPr>
                      <w:rFonts w:hint="eastAsia"/>
                    </w:rPr>
                  </w:pPr>
                  <w:r>
                    <w:rPr>
                      <w:rFonts w:hint="eastAsia"/>
                      <w:lang w:val="en-US" w:eastAsia="zh-CN"/>
                    </w:rPr>
                    <w:t>进水</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EC52CB">
                  <w:pPr>
                    <w:pStyle w:val="41"/>
                    <w:bidi w:val="0"/>
                    <w:jc w:val="center"/>
                    <w:rPr>
                      <w:rFonts w:hint="default"/>
                      <w:lang w:val="en-US" w:eastAsia="zh-CN"/>
                    </w:rPr>
                  </w:pPr>
                  <w:r>
                    <w:rPr>
                      <w:rFonts w:hint="eastAsia"/>
                    </w:rPr>
                    <w:t>385.72</w:t>
                  </w:r>
                </w:p>
              </w:tc>
              <w:tc>
                <w:tcPr>
                  <w:tcW w:w="125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EDFA2B">
                  <w:pPr>
                    <w:pStyle w:val="41"/>
                    <w:bidi w:val="0"/>
                    <w:jc w:val="center"/>
                    <w:rPr>
                      <w:rFonts w:hint="default"/>
                      <w:lang w:val="en-US" w:eastAsia="zh-CN"/>
                    </w:rPr>
                  </w:pPr>
                  <w:r>
                    <w:rPr>
                      <w:rFonts w:hint="eastAsia"/>
                    </w:rPr>
                    <w:t>99.57</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817096">
                  <w:pPr>
                    <w:pStyle w:val="41"/>
                    <w:bidi w:val="0"/>
                    <w:jc w:val="center"/>
                    <w:rPr>
                      <w:rFonts w:hint="default"/>
                      <w:lang w:val="en-US" w:eastAsia="zh-CN"/>
                    </w:rPr>
                  </w:pPr>
                  <w:r>
                    <w:rPr>
                      <w:rFonts w:hint="eastAsia"/>
                    </w:rPr>
                    <w:t>9.65</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D4BC09">
                  <w:pPr>
                    <w:pStyle w:val="41"/>
                    <w:bidi w:val="0"/>
                    <w:jc w:val="center"/>
                    <w:rPr>
                      <w:rFonts w:hint="default"/>
                      <w:lang w:val="en-US" w:eastAsia="zh-CN"/>
                    </w:rPr>
                  </w:pPr>
                  <w:r>
                    <w:rPr>
                      <w:rFonts w:hint="eastAsia"/>
                    </w:rPr>
                    <w:t>14.47</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8F63E7">
                  <w:pPr>
                    <w:pStyle w:val="41"/>
                    <w:bidi w:val="0"/>
                    <w:jc w:val="center"/>
                    <w:rPr>
                      <w:rFonts w:hint="default"/>
                      <w:lang w:val="en-US" w:eastAsia="zh-CN"/>
                    </w:rPr>
                  </w:pPr>
                  <w:r>
                    <w:rPr>
                      <w:rFonts w:hint="eastAsia"/>
                    </w:rPr>
                    <w:t>1.93</w:t>
                  </w:r>
                </w:p>
              </w:tc>
            </w:tr>
            <w:tr w14:paraId="036C2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908" w:type="dxa"/>
                  <w:vMerge w:val="continue"/>
                  <w:tcBorders>
                    <w:top w:val="single" w:color="000000" w:sz="8" w:space="0"/>
                    <w:left w:val="nil"/>
                    <w:bottom w:val="single" w:color="000000" w:sz="8" w:space="0"/>
                    <w:right w:val="single" w:color="000000" w:sz="8" w:space="0"/>
                  </w:tcBorders>
                  <w:shd w:val="clear" w:color="auto" w:fill="auto"/>
                  <w:vAlign w:val="center"/>
                </w:tcPr>
                <w:p w14:paraId="45259E4E">
                  <w:pPr>
                    <w:pStyle w:val="41"/>
                    <w:bidi w:val="0"/>
                    <w:jc w:val="center"/>
                    <w:rPr>
                      <w:rFonts w:hint="eastAsia"/>
                    </w:rPr>
                  </w:pPr>
                </w:p>
              </w:tc>
              <w:tc>
                <w:tcPr>
                  <w:tcW w:w="173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4E4D2F">
                  <w:pPr>
                    <w:pStyle w:val="41"/>
                    <w:bidi w:val="0"/>
                    <w:jc w:val="center"/>
                    <w:rPr>
                      <w:rFonts w:hint="eastAsia"/>
                    </w:rPr>
                  </w:pPr>
                  <w:r>
                    <w:rPr>
                      <w:rFonts w:hint="eastAsia"/>
                      <w:lang w:val="en-US" w:eastAsia="zh-CN"/>
                    </w:rPr>
                    <w:t>出水</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0CAE5F">
                  <w:pPr>
                    <w:pStyle w:val="41"/>
                    <w:bidi w:val="0"/>
                    <w:jc w:val="center"/>
                    <w:rPr>
                      <w:rFonts w:hint="default"/>
                      <w:lang w:val="en-US" w:eastAsia="zh-CN"/>
                    </w:rPr>
                  </w:pPr>
                  <w:r>
                    <w:rPr>
                      <w:rFonts w:hint="eastAsia"/>
                    </w:rPr>
                    <w:t>192.86</w:t>
                  </w:r>
                </w:p>
              </w:tc>
              <w:tc>
                <w:tcPr>
                  <w:tcW w:w="125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4ABF1F">
                  <w:pPr>
                    <w:pStyle w:val="41"/>
                    <w:bidi w:val="0"/>
                    <w:jc w:val="center"/>
                    <w:rPr>
                      <w:rFonts w:hint="default"/>
                      <w:lang w:val="en-US" w:eastAsia="zh-CN"/>
                    </w:rPr>
                  </w:pPr>
                  <w:r>
                    <w:rPr>
                      <w:rFonts w:hint="eastAsia"/>
                    </w:rPr>
                    <w:t>99.57</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5CD1CC">
                  <w:pPr>
                    <w:pStyle w:val="41"/>
                    <w:bidi w:val="0"/>
                    <w:jc w:val="center"/>
                    <w:rPr>
                      <w:rFonts w:hint="default"/>
                      <w:lang w:val="en-US" w:eastAsia="zh-CN"/>
                    </w:rPr>
                  </w:pPr>
                  <w:r>
                    <w:rPr>
                      <w:rFonts w:hint="eastAsia"/>
                    </w:rPr>
                    <w:t>5.79</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143B0C">
                  <w:pPr>
                    <w:pStyle w:val="41"/>
                    <w:bidi w:val="0"/>
                    <w:jc w:val="center"/>
                    <w:rPr>
                      <w:rFonts w:hint="default"/>
                      <w:lang w:val="en-US" w:eastAsia="zh-CN"/>
                    </w:rPr>
                  </w:pPr>
                  <w:r>
                    <w:rPr>
                      <w:rFonts w:hint="eastAsia"/>
                    </w:rPr>
                    <w:t>7.96</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426810">
                  <w:pPr>
                    <w:pStyle w:val="41"/>
                    <w:bidi w:val="0"/>
                    <w:jc w:val="center"/>
                    <w:rPr>
                      <w:rFonts w:hint="default"/>
                      <w:lang w:val="en-US" w:eastAsia="zh-CN"/>
                    </w:rPr>
                  </w:pPr>
                  <w:r>
                    <w:rPr>
                      <w:rFonts w:hint="eastAsia"/>
                    </w:rPr>
                    <w:t>1.74</w:t>
                  </w:r>
                </w:p>
              </w:tc>
            </w:tr>
            <w:tr w14:paraId="64E4B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908" w:type="dxa"/>
                  <w:vMerge w:val="continue"/>
                  <w:tcBorders>
                    <w:top w:val="single" w:color="000000" w:sz="8" w:space="0"/>
                    <w:left w:val="nil"/>
                    <w:bottom w:val="single" w:color="000000" w:sz="8" w:space="0"/>
                    <w:right w:val="single" w:color="000000" w:sz="8" w:space="0"/>
                  </w:tcBorders>
                  <w:shd w:val="clear" w:color="auto" w:fill="auto"/>
                  <w:vAlign w:val="center"/>
                </w:tcPr>
                <w:p w14:paraId="6B3AE2DC">
                  <w:pPr>
                    <w:pStyle w:val="41"/>
                    <w:bidi w:val="0"/>
                    <w:jc w:val="center"/>
                    <w:rPr>
                      <w:rFonts w:hint="eastAsia"/>
                    </w:rPr>
                  </w:pPr>
                </w:p>
              </w:tc>
              <w:tc>
                <w:tcPr>
                  <w:tcW w:w="173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8DC5F9">
                  <w:pPr>
                    <w:pStyle w:val="41"/>
                    <w:bidi w:val="0"/>
                    <w:jc w:val="center"/>
                    <w:rPr>
                      <w:rFonts w:hint="eastAsia"/>
                    </w:rPr>
                  </w:pPr>
                  <w:r>
                    <w:rPr>
                      <w:rFonts w:hint="eastAsia"/>
                      <w:lang w:val="en-US" w:eastAsia="zh-CN"/>
                    </w:rPr>
                    <w:t>去除效率</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D8F289">
                  <w:pPr>
                    <w:pStyle w:val="41"/>
                    <w:bidi w:val="0"/>
                    <w:jc w:val="center"/>
                    <w:rPr>
                      <w:rFonts w:hint="default"/>
                      <w:lang w:val="en-US" w:eastAsia="zh-CN"/>
                    </w:rPr>
                  </w:pPr>
                  <w:r>
                    <w:rPr>
                      <w:rFonts w:hint="eastAsia"/>
                    </w:rPr>
                    <w:t>50%</w:t>
                  </w:r>
                </w:p>
              </w:tc>
              <w:tc>
                <w:tcPr>
                  <w:tcW w:w="125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9033EA">
                  <w:pPr>
                    <w:pStyle w:val="41"/>
                    <w:bidi w:val="0"/>
                    <w:jc w:val="center"/>
                    <w:rPr>
                      <w:rFonts w:hint="default"/>
                      <w:lang w:val="en-US" w:eastAsia="zh-CN"/>
                    </w:rPr>
                  </w:pPr>
                  <w:r>
                    <w:rPr>
                      <w:rFonts w:hint="eastAsia"/>
                    </w:rPr>
                    <w:t>0%</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2A88C9">
                  <w:pPr>
                    <w:pStyle w:val="41"/>
                    <w:bidi w:val="0"/>
                    <w:jc w:val="center"/>
                    <w:rPr>
                      <w:rFonts w:hint="default"/>
                      <w:lang w:val="en-US" w:eastAsia="zh-CN"/>
                    </w:rPr>
                  </w:pPr>
                  <w:r>
                    <w:rPr>
                      <w:rFonts w:hint="eastAsia"/>
                    </w:rPr>
                    <w:t>40%</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540350">
                  <w:pPr>
                    <w:pStyle w:val="41"/>
                    <w:bidi w:val="0"/>
                    <w:jc w:val="center"/>
                    <w:rPr>
                      <w:rFonts w:hint="default"/>
                      <w:lang w:val="en-US" w:eastAsia="zh-CN"/>
                    </w:rPr>
                  </w:pPr>
                  <w:r>
                    <w:rPr>
                      <w:rFonts w:hint="eastAsia"/>
                    </w:rPr>
                    <w:t>45%</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E00F3B">
                  <w:pPr>
                    <w:pStyle w:val="41"/>
                    <w:bidi w:val="0"/>
                    <w:jc w:val="center"/>
                    <w:rPr>
                      <w:rFonts w:hint="default"/>
                      <w:lang w:val="en-US" w:eastAsia="zh-CN"/>
                    </w:rPr>
                  </w:pPr>
                  <w:r>
                    <w:rPr>
                      <w:rFonts w:hint="eastAsia"/>
                    </w:rPr>
                    <w:t>10%</w:t>
                  </w:r>
                </w:p>
              </w:tc>
            </w:tr>
            <w:tr w14:paraId="0105D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641" w:type="dxa"/>
                  <w:gridSpan w:val="2"/>
                  <w:tcBorders>
                    <w:top w:val="single" w:color="000000" w:sz="8" w:space="0"/>
                    <w:left w:val="nil"/>
                    <w:bottom w:val="single" w:color="000000" w:sz="8" w:space="0"/>
                    <w:right w:val="single" w:color="000000" w:sz="8" w:space="0"/>
                  </w:tcBorders>
                  <w:shd w:val="clear" w:color="auto" w:fill="auto"/>
                  <w:noWrap/>
                  <w:vAlign w:val="center"/>
                </w:tcPr>
                <w:p w14:paraId="5D08E936">
                  <w:pPr>
                    <w:pStyle w:val="41"/>
                    <w:bidi w:val="0"/>
                    <w:jc w:val="center"/>
                    <w:rPr>
                      <w:rFonts w:hint="eastAsia"/>
                    </w:rPr>
                  </w:pPr>
                  <w:r>
                    <w:rPr>
                      <w:rFonts w:hint="eastAsia"/>
                      <w:lang w:val="en-US" w:eastAsia="zh-CN"/>
                    </w:rPr>
                    <w:t>出口</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AFFC63">
                  <w:pPr>
                    <w:pStyle w:val="41"/>
                    <w:bidi w:val="0"/>
                    <w:jc w:val="center"/>
                    <w:rPr>
                      <w:rFonts w:hint="default" w:ascii="Times New Roman" w:hAnsi="Times New Roman" w:eastAsia="宋体" w:cs="Times New Roman"/>
                      <w:kern w:val="0"/>
                      <w:sz w:val="21"/>
                      <w:szCs w:val="24"/>
                      <w:lang w:val="en-US" w:eastAsia="zh-CN" w:bidi="ar-SA"/>
                    </w:rPr>
                  </w:pPr>
                  <w:r>
                    <w:rPr>
                      <w:rFonts w:hint="eastAsia"/>
                    </w:rPr>
                    <w:t>192.86</w:t>
                  </w:r>
                </w:p>
              </w:tc>
              <w:tc>
                <w:tcPr>
                  <w:tcW w:w="125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791988">
                  <w:pPr>
                    <w:pStyle w:val="41"/>
                    <w:bidi w:val="0"/>
                    <w:jc w:val="center"/>
                    <w:rPr>
                      <w:rFonts w:hint="default" w:ascii="Times New Roman" w:hAnsi="Times New Roman" w:eastAsia="宋体" w:cs="Times New Roman"/>
                      <w:kern w:val="0"/>
                      <w:sz w:val="21"/>
                      <w:szCs w:val="24"/>
                      <w:lang w:val="en-US" w:eastAsia="zh-CN" w:bidi="ar-SA"/>
                    </w:rPr>
                  </w:pPr>
                  <w:r>
                    <w:rPr>
                      <w:rFonts w:hint="eastAsia"/>
                    </w:rPr>
                    <w:t>99.57</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177B2A">
                  <w:pPr>
                    <w:pStyle w:val="41"/>
                    <w:bidi w:val="0"/>
                    <w:jc w:val="center"/>
                    <w:rPr>
                      <w:rFonts w:hint="default" w:ascii="Times New Roman" w:hAnsi="Times New Roman" w:eastAsia="宋体" w:cs="Times New Roman"/>
                      <w:kern w:val="0"/>
                      <w:sz w:val="21"/>
                      <w:szCs w:val="24"/>
                      <w:lang w:val="en-US" w:eastAsia="zh-CN" w:bidi="ar-SA"/>
                    </w:rPr>
                  </w:pPr>
                  <w:r>
                    <w:rPr>
                      <w:rFonts w:hint="eastAsia"/>
                    </w:rPr>
                    <w:t>5.79</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17D79A">
                  <w:pPr>
                    <w:pStyle w:val="41"/>
                    <w:bidi w:val="0"/>
                    <w:jc w:val="center"/>
                    <w:rPr>
                      <w:rFonts w:hint="default" w:ascii="Times New Roman" w:hAnsi="Times New Roman" w:eastAsia="宋体" w:cs="Times New Roman"/>
                      <w:kern w:val="0"/>
                      <w:sz w:val="21"/>
                      <w:szCs w:val="24"/>
                      <w:lang w:val="en-US" w:eastAsia="zh-CN" w:bidi="ar-SA"/>
                    </w:rPr>
                  </w:pPr>
                  <w:r>
                    <w:rPr>
                      <w:rFonts w:hint="eastAsia"/>
                    </w:rPr>
                    <w:t>7.96</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F04257">
                  <w:pPr>
                    <w:pStyle w:val="41"/>
                    <w:bidi w:val="0"/>
                    <w:jc w:val="center"/>
                    <w:rPr>
                      <w:rFonts w:hint="default" w:ascii="Times New Roman" w:hAnsi="Times New Roman" w:eastAsia="宋体" w:cs="Times New Roman"/>
                      <w:kern w:val="0"/>
                      <w:sz w:val="21"/>
                      <w:szCs w:val="24"/>
                      <w:lang w:val="en-US" w:eastAsia="zh-CN" w:bidi="ar-SA"/>
                    </w:rPr>
                  </w:pPr>
                  <w:r>
                    <w:rPr>
                      <w:rFonts w:hint="eastAsia"/>
                    </w:rPr>
                    <w:t>1.74</w:t>
                  </w:r>
                </w:p>
              </w:tc>
            </w:tr>
            <w:tr w14:paraId="52040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641" w:type="dxa"/>
                  <w:gridSpan w:val="2"/>
                  <w:tcBorders>
                    <w:top w:val="single" w:color="000000" w:sz="8" w:space="0"/>
                    <w:left w:val="nil"/>
                    <w:bottom w:val="single" w:color="000000" w:sz="8" w:space="0"/>
                    <w:right w:val="single" w:color="000000" w:sz="8" w:space="0"/>
                  </w:tcBorders>
                  <w:shd w:val="clear" w:color="auto" w:fill="auto"/>
                  <w:noWrap/>
                  <w:vAlign w:val="center"/>
                </w:tcPr>
                <w:p w14:paraId="273E1073">
                  <w:pPr>
                    <w:pStyle w:val="41"/>
                    <w:bidi w:val="0"/>
                    <w:jc w:val="center"/>
                    <w:rPr>
                      <w:rFonts w:hint="eastAsia"/>
                    </w:rPr>
                  </w:pPr>
                  <w:r>
                    <w:rPr>
                      <w:rFonts w:hint="eastAsia"/>
                      <w:lang w:val="en-US" w:eastAsia="zh-CN"/>
                    </w:rPr>
                    <w:t>接管标准</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38096D">
                  <w:pPr>
                    <w:pStyle w:val="41"/>
                    <w:bidi w:val="0"/>
                    <w:jc w:val="center"/>
                    <w:rPr>
                      <w:rFonts w:hint="default"/>
                    </w:rPr>
                  </w:pPr>
                  <w:r>
                    <w:rPr>
                      <w:rFonts w:hint="default"/>
                      <w:lang w:val="en-US" w:eastAsia="zh-CN"/>
                    </w:rPr>
                    <w:t>500</w:t>
                  </w:r>
                </w:p>
              </w:tc>
              <w:tc>
                <w:tcPr>
                  <w:tcW w:w="125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11EBB0">
                  <w:pPr>
                    <w:pStyle w:val="41"/>
                    <w:bidi w:val="0"/>
                    <w:jc w:val="center"/>
                    <w:rPr>
                      <w:rFonts w:hint="default"/>
                    </w:rPr>
                  </w:pPr>
                  <w:r>
                    <w:rPr>
                      <w:rFonts w:hint="default"/>
                      <w:lang w:val="en-US" w:eastAsia="zh-CN"/>
                    </w:rPr>
                    <w:t>400</w:t>
                  </w:r>
                </w:p>
              </w:tc>
              <w:tc>
                <w:tcPr>
                  <w:tcW w:w="11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F47100">
                  <w:pPr>
                    <w:pStyle w:val="41"/>
                    <w:bidi w:val="0"/>
                    <w:jc w:val="center"/>
                    <w:rPr>
                      <w:rFonts w:hint="default"/>
                    </w:rPr>
                  </w:pPr>
                  <w:r>
                    <w:rPr>
                      <w:rFonts w:hint="default"/>
                      <w:lang w:val="en-US" w:eastAsia="zh-CN"/>
                    </w:rPr>
                    <w:t>20</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B99AC0">
                  <w:pPr>
                    <w:pStyle w:val="41"/>
                    <w:bidi w:val="0"/>
                    <w:jc w:val="center"/>
                    <w:rPr>
                      <w:rFonts w:hint="default"/>
                    </w:rPr>
                  </w:pPr>
                  <w:r>
                    <w:rPr>
                      <w:rFonts w:hint="default"/>
                      <w:lang w:val="en-US" w:eastAsia="zh-CN"/>
                    </w:rPr>
                    <w:t>30</w:t>
                  </w:r>
                </w:p>
              </w:tc>
              <w:tc>
                <w:tcPr>
                  <w:tcW w:w="111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B0CF63">
                  <w:pPr>
                    <w:pStyle w:val="41"/>
                    <w:bidi w:val="0"/>
                    <w:jc w:val="center"/>
                    <w:rPr>
                      <w:rFonts w:hint="default"/>
                    </w:rPr>
                  </w:pPr>
                  <w:r>
                    <w:rPr>
                      <w:rFonts w:hint="default"/>
                      <w:lang w:val="en-US" w:eastAsia="zh-CN"/>
                    </w:rPr>
                    <w:t>4</w:t>
                  </w:r>
                </w:p>
              </w:tc>
            </w:tr>
            <w:tr w14:paraId="25EA5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641" w:type="dxa"/>
                  <w:gridSpan w:val="2"/>
                  <w:tcBorders>
                    <w:top w:val="single" w:color="000000" w:sz="8" w:space="0"/>
                    <w:left w:val="nil"/>
                    <w:bottom w:val="single" w:color="000000" w:sz="12" w:space="0"/>
                    <w:right w:val="single" w:color="000000" w:sz="8" w:space="0"/>
                  </w:tcBorders>
                  <w:shd w:val="clear" w:color="auto" w:fill="auto"/>
                  <w:noWrap/>
                  <w:vAlign w:val="center"/>
                </w:tcPr>
                <w:p w14:paraId="401D5153">
                  <w:pPr>
                    <w:pStyle w:val="41"/>
                    <w:bidi w:val="0"/>
                    <w:jc w:val="center"/>
                    <w:rPr>
                      <w:rFonts w:hint="eastAsia"/>
                    </w:rPr>
                  </w:pPr>
                  <w:r>
                    <w:rPr>
                      <w:rFonts w:hint="eastAsia"/>
                      <w:lang w:val="en-US" w:eastAsia="zh-CN"/>
                    </w:rPr>
                    <w:t>总去除率</w:t>
                  </w:r>
                </w:p>
              </w:tc>
              <w:tc>
                <w:tcPr>
                  <w:tcW w:w="1112"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14:paraId="59CD7E79">
                  <w:pPr>
                    <w:pStyle w:val="41"/>
                    <w:bidi w:val="0"/>
                    <w:jc w:val="center"/>
                    <w:rPr>
                      <w:rFonts w:hint="default"/>
                    </w:rPr>
                  </w:pPr>
                  <w:r>
                    <w:rPr>
                      <w:rFonts w:hint="default"/>
                      <w:lang w:val="en-US" w:eastAsia="zh-CN"/>
                    </w:rPr>
                    <w:t>62%</w:t>
                  </w:r>
                </w:p>
              </w:tc>
              <w:tc>
                <w:tcPr>
                  <w:tcW w:w="1257"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14:paraId="3F4A2252">
                  <w:pPr>
                    <w:pStyle w:val="41"/>
                    <w:bidi w:val="0"/>
                    <w:jc w:val="center"/>
                    <w:rPr>
                      <w:rFonts w:hint="default"/>
                    </w:rPr>
                  </w:pPr>
                  <w:r>
                    <w:rPr>
                      <w:rFonts w:hint="default"/>
                      <w:lang w:val="en-US" w:eastAsia="zh-CN"/>
                    </w:rPr>
                    <w:t>50%</w:t>
                  </w:r>
                </w:p>
              </w:tc>
              <w:tc>
                <w:tcPr>
                  <w:tcW w:w="1112"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14:paraId="283E827B">
                  <w:pPr>
                    <w:pStyle w:val="41"/>
                    <w:bidi w:val="0"/>
                    <w:jc w:val="center"/>
                    <w:rPr>
                      <w:rFonts w:hint="default"/>
                    </w:rPr>
                  </w:pPr>
                  <w:r>
                    <w:rPr>
                      <w:rFonts w:hint="default"/>
                      <w:lang w:val="en-US" w:eastAsia="zh-CN"/>
                    </w:rPr>
                    <w:t>40%</w:t>
                  </w:r>
                </w:p>
              </w:tc>
              <w:tc>
                <w:tcPr>
                  <w:tcW w:w="1113"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14:paraId="34F02506">
                  <w:pPr>
                    <w:pStyle w:val="41"/>
                    <w:bidi w:val="0"/>
                    <w:jc w:val="center"/>
                    <w:rPr>
                      <w:rFonts w:hint="default"/>
                    </w:rPr>
                  </w:pPr>
                  <w:r>
                    <w:rPr>
                      <w:rFonts w:hint="default"/>
                      <w:lang w:val="en-US" w:eastAsia="zh-CN"/>
                    </w:rPr>
                    <w:t>45%</w:t>
                  </w:r>
                </w:p>
              </w:tc>
              <w:tc>
                <w:tcPr>
                  <w:tcW w:w="1113"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14:paraId="277349D8">
                  <w:pPr>
                    <w:pStyle w:val="41"/>
                    <w:bidi w:val="0"/>
                    <w:jc w:val="center"/>
                    <w:rPr>
                      <w:rFonts w:hint="default"/>
                    </w:rPr>
                  </w:pPr>
                  <w:r>
                    <w:rPr>
                      <w:rFonts w:hint="default"/>
                      <w:lang w:val="en-US" w:eastAsia="zh-CN"/>
                    </w:rPr>
                    <w:t>10%</w:t>
                  </w:r>
                </w:p>
              </w:tc>
            </w:tr>
          </w:tbl>
          <w:p w14:paraId="664DACF3">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b/>
                <w:bCs w:val="0"/>
                <w:color w:val="auto"/>
                <w:sz w:val="24"/>
                <w:highlight w:val="none"/>
                <w:lang w:val="en-US" w:eastAsia="zh-CN"/>
              </w:rPr>
            </w:pPr>
          </w:p>
          <w:p w14:paraId="5AAC6039">
            <w:pPr>
              <w:bidi w:val="0"/>
              <w:ind w:firstLine="482" w:firstLineChars="200"/>
              <w:rPr>
                <w:rFonts w:hint="default"/>
                <w:b/>
                <w:bCs/>
                <w:lang w:val="en-US" w:eastAsia="zh-CN"/>
              </w:rPr>
            </w:pPr>
            <w:r>
              <w:rPr>
                <w:rFonts w:hint="eastAsia"/>
                <w:b/>
                <w:bCs/>
                <w:lang w:val="en-US" w:eastAsia="zh-CN"/>
              </w:rPr>
              <w:t>3）高新区污水处理厂</w:t>
            </w:r>
          </w:p>
          <w:p w14:paraId="212E4472">
            <w:pPr>
              <w:bidi w:val="0"/>
              <w:ind w:firstLine="480" w:firstLineChars="200"/>
              <w:rPr>
                <w:rFonts w:hint="eastAsia" w:eastAsia="宋体"/>
                <w:lang w:eastAsia="zh-CN"/>
              </w:rPr>
            </w:pPr>
            <w:r>
              <w:t>本项目营运期废水</w:t>
            </w:r>
            <w:r>
              <w:rPr>
                <w:rFonts w:hint="eastAsia"/>
              </w:rPr>
              <w:t>经管道收集后</w:t>
            </w:r>
            <w:r>
              <w:t>接管</w:t>
            </w:r>
            <w:r>
              <w:rPr>
                <w:rFonts w:hint="eastAsia"/>
              </w:rPr>
              <w:t>至</w:t>
            </w:r>
            <w:r>
              <w:rPr>
                <w:rFonts w:hint="eastAsia"/>
                <w:lang w:val="en-US" w:eastAsia="zh-CN"/>
              </w:rPr>
              <w:t>高新区</w:t>
            </w:r>
            <w:r>
              <w:rPr>
                <w:rFonts w:hint="eastAsia"/>
              </w:rPr>
              <w:t>污水处理厂</w:t>
            </w:r>
            <w:r>
              <w:rPr>
                <w:rFonts w:hint="eastAsia"/>
                <w:lang w:eastAsia="zh-CN"/>
              </w:rPr>
              <w:t>处理</w:t>
            </w:r>
            <w:r>
              <w:rPr>
                <w:rFonts w:hint="eastAsia"/>
              </w:rPr>
              <w:t>，处理达标后</w:t>
            </w:r>
            <w:r>
              <w:t>尾水排入</w:t>
            </w:r>
            <w:r>
              <w:rPr>
                <w:rFonts w:hint="eastAsia"/>
              </w:rPr>
              <w:t>秦淮河</w:t>
            </w:r>
            <w:r>
              <w:t>。</w:t>
            </w:r>
            <w:r>
              <w:rPr>
                <w:rFonts w:hint="eastAsia"/>
              </w:rPr>
              <w:t>南京市江宁区</w:t>
            </w:r>
            <w:r>
              <w:rPr>
                <w:rFonts w:hint="eastAsia"/>
                <w:lang w:eastAsia="zh-CN"/>
              </w:rPr>
              <w:t>高新区污水处理厂</w:t>
            </w:r>
            <w:r>
              <w:rPr>
                <w:rFonts w:hint="eastAsia"/>
              </w:rPr>
              <w:t>位于秦淮河东岸、绕越高速南侧、竹山路西侧，占地面积150000m</w:t>
            </w:r>
            <w:r>
              <w:rPr>
                <w:rFonts w:hint="eastAsia"/>
                <w:vertAlign w:val="superscript"/>
              </w:rPr>
              <w:t>2</w:t>
            </w:r>
            <w:r>
              <w:rPr>
                <w:rFonts w:hint="eastAsia"/>
              </w:rPr>
              <w:t>，处理工艺采用“改良A</w:t>
            </w:r>
            <w:r>
              <w:rPr>
                <w:rFonts w:hint="eastAsia"/>
                <w:vertAlign w:val="superscript"/>
              </w:rPr>
              <w:t>2</w:t>
            </w:r>
            <w:r>
              <w:rPr>
                <w:rFonts w:hint="eastAsia"/>
              </w:rPr>
              <w:t>/O+MBR”，污水处理工艺流程见下图</w:t>
            </w:r>
            <w:r>
              <w:rPr>
                <w:rFonts w:hint="eastAsia"/>
                <w:lang w:eastAsia="zh-CN"/>
              </w:rPr>
              <w:t>。</w:t>
            </w:r>
          </w:p>
          <w:p w14:paraId="5CD69426">
            <w:pPr>
              <w:spacing w:line="240" w:lineRule="auto"/>
              <w:jc w:val="center"/>
              <w:rPr>
                <w:color w:val="auto"/>
                <w:highlight w:val="none"/>
              </w:rPr>
            </w:pPr>
            <w:r>
              <w:rPr>
                <w:rFonts w:hint="eastAsia"/>
                <w:color w:val="auto"/>
                <w:highlight w:val="none"/>
              </w:rPr>
              <w:drawing>
                <wp:inline distT="0" distB="0" distL="114300" distR="114300">
                  <wp:extent cx="5039995" cy="2738755"/>
                  <wp:effectExtent l="0" t="0" r="8255" b="4445"/>
                  <wp:docPr id="86" name="图片 44" descr="0af687173ba6489e550fb0e547d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4" descr="0af687173ba6489e550fb0e547d2742"/>
                          <pic:cNvPicPr>
                            <a:picLocks noChangeAspect="1"/>
                          </pic:cNvPicPr>
                        </pic:nvPicPr>
                        <pic:blipFill>
                          <a:blip r:embed="rId36"/>
                          <a:srcRect t="4887" r="838"/>
                          <a:stretch>
                            <a:fillRect/>
                          </a:stretch>
                        </pic:blipFill>
                        <pic:spPr>
                          <a:xfrm>
                            <a:off x="0" y="0"/>
                            <a:ext cx="5039995" cy="2738755"/>
                          </a:xfrm>
                          <a:prstGeom prst="rect">
                            <a:avLst/>
                          </a:prstGeom>
                          <a:noFill/>
                          <a:ln>
                            <a:noFill/>
                          </a:ln>
                        </pic:spPr>
                      </pic:pic>
                    </a:graphicData>
                  </a:graphic>
                </wp:inline>
              </w:drawing>
            </w:r>
          </w:p>
          <w:p w14:paraId="271E5582">
            <w:pPr>
              <w:pStyle w:val="46"/>
              <w:bidi w:val="0"/>
            </w:pPr>
            <w:r>
              <w:rPr>
                <w:rFonts w:hint="eastAsia"/>
                <w:lang w:eastAsia="zh-CN"/>
              </w:rPr>
              <w:t>高新区污水处理厂</w:t>
            </w:r>
            <w:r>
              <w:rPr>
                <w:rFonts w:hint="eastAsia"/>
              </w:rPr>
              <w:t>工艺流程图</w:t>
            </w:r>
          </w:p>
          <w:p w14:paraId="69B2A5F4">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①</w:t>
            </w:r>
            <w:r>
              <w:t>水量可行性分析</w:t>
            </w:r>
          </w:p>
          <w:p w14:paraId="78D6C25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lang w:eastAsia="zh-CN"/>
              </w:rPr>
              <w:t>高新区污水处理厂建设</w:t>
            </w:r>
            <w:r>
              <w:t>规模</w:t>
            </w:r>
            <w:r>
              <w:rPr>
                <w:rFonts w:hint="eastAsia"/>
              </w:rPr>
              <w:t>为</w:t>
            </w:r>
            <w:r>
              <w:rPr>
                <w:rFonts w:hint="eastAsia"/>
                <w:lang w:val="en-US" w:eastAsia="zh-CN"/>
              </w:rPr>
              <w:t>2</w:t>
            </w:r>
            <w:r>
              <w:rPr>
                <w:rFonts w:hint="eastAsia"/>
              </w:rPr>
              <w:t>4</w:t>
            </w:r>
            <w:r>
              <w:t>万</w:t>
            </w:r>
            <w:r>
              <w:rPr>
                <w:rFonts w:hint="eastAsia"/>
              </w:rPr>
              <w:t>t</w:t>
            </w:r>
            <w:r>
              <w:rPr>
                <w:lang w:val="zh-CN"/>
              </w:rPr>
              <w:t>/d</w:t>
            </w:r>
            <w:r>
              <w:t>，</w:t>
            </w:r>
            <w:r>
              <w:rPr>
                <w:rFonts w:hint="eastAsia"/>
                <w:lang w:eastAsia="zh-CN"/>
              </w:rPr>
              <w:t>目前实际处理量为</w:t>
            </w:r>
            <w:r>
              <w:rPr>
                <w:rFonts w:hint="eastAsia"/>
                <w:lang w:val="en-US" w:eastAsia="zh-CN"/>
              </w:rPr>
              <w:t>10.43万t/d，尚有余量13.57万t/d。</w:t>
            </w:r>
            <w:r>
              <w:t>本项目建成后废水排放量为</w:t>
            </w:r>
            <w:r>
              <w:rPr>
                <w:rFonts w:hint="eastAsia"/>
                <w:lang w:val="en-US" w:eastAsia="zh-CN"/>
              </w:rPr>
              <w:t>5248.1</w:t>
            </w:r>
            <w:r>
              <w:rPr>
                <w:rFonts w:hint="eastAsia"/>
              </w:rPr>
              <w:t>t/</w:t>
            </w:r>
            <w:r>
              <w:rPr>
                <w:rFonts w:hint="eastAsia"/>
                <w:lang w:val="en-US" w:eastAsia="zh-CN"/>
              </w:rPr>
              <w:t>a</w:t>
            </w:r>
            <w:r>
              <w:rPr>
                <w:rFonts w:hint="eastAsia"/>
              </w:rPr>
              <w:t>（</w:t>
            </w:r>
            <w:r>
              <w:rPr>
                <w:rFonts w:hint="eastAsia"/>
                <w:lang w:val="en-US" w:eastAsia="zh-CN"/>
              </w:rPr>
              <w:t>14.38</w:t>
            </w:r>
            <w:r>
              <w:rPr>
                <w:rFonts w:hint="eastAsia"/>
              </w:rPr>
              <w:t>t/</w:t>
            </w:r>
            <w:r>
              <w:rPr>
                <w:rFonts w:hint="eastAsia"/>
                <w:lang w:val="en-US" w:eastAsia="zh-CN"/>
              </w:rPr>
              <w:t>d</w:t>
            </w:r>
            <w:r>
              <w:rPr>
                <w:rFonts w:hint="eastAsia"/>
              </w:rPr>
              <w:t>），</w:t>
            </w:r>
            <w:r>
              <w:t>仅占污水</w:t>
            </w:r>
            <w:r>
              <w:rPr>
                <w:rFonts w:hint="eastAsia"/>
              </w:rPr>
              <w:t>处理厂</w:t>
            </w:r>
            <w:r>
              <w:rPr>
                <w:rFonts w:hint="eastAsia"/>
                <w:lang w:eastAsia="zh-CN"/>
              </w:rPr>
              <w:t>剩余</w:t>
            </w:r>
            <w:r>
              <w:t>处理能力的</w:t>
            </w:r>
            <w:r>
              <w:rPr>
                <w:rFonts w:hint="eastAsia"/>
                <w:lang w:val="en-US" w:eastAsia="zh-CN"/>
              </w:rPr>
              <w:t>0.011</w:t>
            </w:r>
            <w:r>
              <w:t>%，</w:t>
            </w:r>
            <w:r>
              <w:rPr>
                <w:rFonts w:hint="eastAsia"/>
              </w:rPr>
              <w:t>处理水量</w:t>
            </w:r>
            <w:r>
              <w:t>能够满足要求。</w:t>
            </w:r>
          </w:p>
          <w:p w14:paraId="4BB37CFB">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②</w:t>
            </w:r>
            <w:r>
              <w:t>水质可行性分析</w:t>
            </w:r>
          </w:p>
          <w:p w14:paraId="2AB4832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根据</w:t>
            </w:r>
            <w:r>
              <w:rPr>
                <w:rFonts w:hint="eastAsia"/>
                <w:lang w:val="en-US" w:eastAsia="zh-CN"/>
              </w:rPr>
              <w:t>上文核算数据，本项目排放综合废水可以</w:t>
            </w:r>
            <w:r>
              <w:rPr>
                <w:rFonts w:hint="eastAsia"/>
              </w:rPr>
              <w:t>达到</w:t>
            </w:r>
            <w:r>
              <w:rPr>
                <w:rFonts w:hint="eastAsia"/>
                <w:lang w:val="en-US" w:eastAsia="zh-CN"/>
              </w:rPr>
              <w:t>高新区</w:t>
            </w:r>
            <w:r>
              <w:rPr>
                <w:rFonts w:hint="eastAsia"/>
              </w:rPr>
              <w:t>污水处理厂接管标准，水质满足要求</w:t>
            </w:r>
            <w:r>
              <w:rPr>
                <w:rFonts w:hint="eastAsia"/>
                <w:lang w:eastAsia="zh-CN"/>
              </w:rPr>
              <w:t>。</w:t>
            </w:r>
            <w:r>
              <w:rPr>
                <w:rFonts w:hint="eastAsia"/>
                <w:lang w:val="en-US" w:eastAsia="zh-CN"/>
              </w:rPr>
              <w:t>综合废水经高新区</w:t>
            </w:r>
            <w:r>
              <w:rPr>
                <w:rFonts w:hint="eastAsia"/>
              </w:rPr>
              <w:t>污水处理厂</w:t>
            </w:r>
            <w:r>
              <w:rPr>
                <w:rFonts w:hint="eastAsia"/>
                <w:lang w:val="en-US" w:eastAsia="zh-CN"/>
              </w:rPr>
              <w:t>处理达标后排入秦淮河，处理水质可以满足要求。</w:t>
            </w:r>
          </w:p>
          <w:p w14:paraId="0227D5E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③管网建设</w:t>
            </w:r>
          </w:p>
          <w:p w14:paraId="2DAEBF02">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本项目位于</w:t>
            </w:r>
            <w:r>
              <w:rPr>
                <w:rFonts w:hint="default"/>
                <w:lang w:val="en-US" w:eastAsia="zh-CN"/>
              </w:rPr>
              <w:t>南京市江宁区</w:t>
            </w:r>
            <w:r>
              <w:rPr>
                <w:rFonts w:hint="eastAsia"/>
                <w:lang w:val="en-US" w:eastAsia="zh-CN"/>
              </w:rPr>
              <w:t>龙眠大道578，</w:t>
            </w:r>
            <w:r>
              <w:rPr>
                <w:rFonts w:hint="eastAsia"/>
              </w:rPr>
              <w:t>项目所在区域污水管网已铺设到位，本项目</w:t>
            </w:r>
            <w:r>
              <w:rPr>
                <w:rFonts w:hint="eastAsia"/>
                <w:lang w:val="en-US" w:eastAsia="zh-CN"/>
              </w:rPr>
              <w:t>废水</w:t>
            </w:r>
            <w:r>
              <w:rPr>
                <w:rFonts w:hint="eastAsia"/>
              </w:rPr>
              <w:t>接管至</w:t>
            </w:r>
            <w:r>
              <w:rPr>
                <w:rFonts w:hint="eastAsia"/>
                <w:lang w:val="en-US" w:eastAsia="zh-CN"/>
              </w:rPr>
              <w:t>高新区</w:t>
            </w:r>
            <w:r>
              <w:rPr>
                <w:rFonts w:hint="eastAsia"/>
              </w:rPr>
              <w:t>污水处理厂处理是可行的。</w:t>
            </w:r>
          </w:p>
          <w:p w14:paraId="7940CB7C">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color w:val="auto"/>
                <w:highlight w:val="none"/>
              </w:rPr>
              <w:t>综上所述，本项目外排废水</w:t>
            </w:r>
            <w:r>
              <w:rPr>
                <w:rFonts w:hint="eastAsia"/>
                <w:color w:val="auto"/>
                <w:highlight w:val="none"/>
                <w:lang w:eastAsia="zh-CN"/>
              </w:rPr>
              <w:t>满足</w:t>
            </w:r>
            <w:r>
              <w:rPr>
                <w:rFonts w:hint="eastAsia"/>
                <w:color w:val="auto"/>
                <w:highlight w:val="none"/>
                <w:lang w:val="en-US" w:eastAsia="zh-CN"/>
              </w:rPr>
              <w:t>高新区</w:t>
            </w:r>
            <w:r>
              <w:rPr>
                <w:rFonts w:hint="eastAsia"/>
                <w:color w:val="auto"/>
                <w:highlight w:val="none"/>
                <w:lang w:eastAsia="zh-CN"/>
              </w:rPr>
              <w:t>污水处理厂接管要求，从水量、水质、管网铺设考虑，</w:t>
            </w:r>
            <w:r>
              <w:rPr>
                <w:rFonts w:hint="eastAsia"/>
                <w:color w:val="auto"/>
                <w:highlight w:val="none"/>
              </w:rPr>
              <w:t>本项目废水纳入</w:t>
            </w:r>
            <w:r>
              <w:rPr>
                <w:rFonts w:hint="eastAsia"/>
                <w:color w:val="auto"/>
                <w:highlight w:val="none"/>
                <w:lang w:val="en-US" w:eastAsia="zh-CN"/>
              </w:rPr>
              <w:t>高新区</w:t>
            </w:r>
            <w:r>
              <w:rPr>
                <w:rFonts w:hint="eastAsia"/>
                <w:color w:val="auto"/>
                <w:highlight w:val="none"/>
                <w:lang w:eastAsia="zh-CN"/>
              </w:rPr>
              <w:t>污水处理厂深度</w:t>
            </w:r>
            <w:r>
              <w:rPr>
                <w:rFonts w:hint="eastAsia"/>
                <w:color w:val="auto"/>
                <w:highlight w:val="none"/>
              </w:rPr>
              <w:t>处理是可行的。</w:t>
            </w:r>
          </w:p>
          <w:p w14:paraId="0693420B">
            <w:pPr>
              <w:numPr>
                <w:ilvl w:val="0"/>
                <w:numId w:val="0"/>
              </w:numPr>
              <w:bidi w:val="0"/>
              <w:ind w:firstLine="482" w:firstLineChars="200"/>
              <w:rPr>
                <w:color w:val="auto"/>
                <w:highlight w:val="none"/>
              </w:rPr>
            </w:pPr>
            <w:r>
              <w:rPr>
                <w:rFonts w:hint="eastAsia"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w:t>
            </w:r>
            <w:r>
              <w:rPr>
                <w:rFonts w:hint="eastAsia"/>
                <w:b/>
                <w:bCs/>
                <w:color w:val="auto"/>
                <w:highlight w:val="none"/>
              </w:rPr>
              <w:t>与</w:t>
            </w:r>
            <w:r>
              <w:rPr>
                <w:b/>
                <w:bCs/>
                <w:color w:val="auto"/>
                <w:highlight w:val="none"/>
              </w:rPr>
              <w:t>《江苏省城镇污水处理厂纳管工业废水分质评估技术指南（试行）》</w:t>
            </w:r>
            <w:r>
              <w:rPr>
                <w:rFonts w:hint="eastAsia"/>
                <w:b/>
                <w:bCs/>
                <w:color w:val="auto"/>
                <w:highlight w:val="none"/>
              </w:rPr>
              <w:t>相符性分析</w:t>
            </w:r>
          </w:p>
          <w:p w14:paraId="43A8BC22">
            <w:pPr>
              <w:numPr>
                <w:ilvl w:val="0"/>
                <w:numId w:val="0"/>
              </w:numPr>
              <w:bidi w:val="0"/>
              <w:ind w:firstLine="480" w:firstLineChars="200"/>
              <w:rPr>
                <w:rFonts w:hint="default" w:eastAsia="宋体"/>
                <w:color w:val="auto"/>
                <w:highlight w:val="none"/>
                <w:lang w:val="en-US" w:eastAsia="zh-CN"/>
              </w:rPr>
            </w:pPr>
            <w:r>
              <w:rPr>
                <w:rFonts w:hint="eastAsia"/>
                <w:color w:val="auto"/>
                <w:highlight w:val="none"/>
                <w:lang w:val="en-US" w:eastAsia="zh-CN"/>
              </w:rPr>
              <w:t>对照文件中</w:t>
            </w:r>
            <w:r>
              <w:rPr>
                <w:rFonts w:hint="eastAsia"/>
                <w:color w:val="auto"/>
                <w:highlight w:val="none"/>
              </w:rPr>
              <w:t>附件2工业废水纳入城镇污水处理厂处理的准入条件及评估原则</w:t>
            </w:r>
            <w:r>
              <w:rPr>
                <w:rFonts w:hint="eastAsia"/>
                <w:color w:val="auto"/>
                <w:highlight w:val="none"/>
                <w:lang w:val="en-US" w:eastAsia="zh-CN"/>
              </w:rPr>
              <w:t>的新建企业准入要求，本项目与其相符性见下表。</w:t>
            </w:r>
          </w:p>
          <w:p w14:paraId="11DFBB2F">
            <w:pPr>
              <w:pStyle w:val="162"/>
              <w:keepNext w:val="0"/>
              <w:keepLines w:val="0"/>
              <w:pageBreakBefore w:val="0"/>
              <w:widowControl w:val="0"/>
              <w:kinsoku/>
              <w:wordWrap/>
              <w:overflowPunct/>
              <w:topLinePunct w:val="0"/>
              <w:autoSpaceDE w:val="0"/>
              <w:autoSpaceDN w:val="0"/>
              <w:bidi w:val="0"/>
              <w:adjustRightInd w:val="0"/>
              <w:snapToGrid w:val="0"/>
              <w:ind w:firstLine="241" w:firstLineChars="100"/>
              <w:textAlignment w:val="auto"/>
              <w:rPr>
                <w:color w:val="auto"/>
                <w:highlight w:val="none"/>
              </w:rPr>
            </w:pPr>
            <w:r>
              <w:rPr>
                <w:rFonts w:hint="eastAsia"/>
                <w:color w:val="auto"/>
                <w:highlight w:val="none"/>
              </w:rPr>
              <w:t>与</w:t>
            </w:r>
            <w:r>
              <w:rPr>
                <w:rFonts w:hint="eastAsia"/>
                <w:color w:val="auto"/>
                <w:highlight w:val="none"/>
                <w:lang w:val="en-US" w:eastAsia="zh-CN"/>
              </w:rPr>
              <w:t>新建企业准入条件</w:t>
            </w:r>
            <w:r>
              <w:rPr>
                <w:rFonts w:hint="eastAsia"/>
                <w:color w:val="auto"/>
                <w:highlight w:val="none"/>
              </w:rPr>
              <w:t>相符性分析</w:t>
            </w:r>
          </w:p>
          <w:tbl>
            <w:tblPr>
              <w:tblStyle w:val="32"/>
              <w:tblW w:w="836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35"/>
              <w:gridCol w:w="1254"/>
              <w:gridCol w:w="2699"/>
              <w:gridCol w:w="2472"/>
            </w:tblGrid>
            <w:tr w14:paraId="3D52C7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21" w:type="pct"/>
                  <w:gridSpan w:val="3"/>
                  <w:tcBorders>
                    <w:tl2br w:val="nil"/>
                    <w:tr2bl w:val="nil"/>
                  </w:tcBorders>
                  <w:vAlign w:val="center"/>
                </w:tcPr>
                <w:p w14:paraId="0A14E065">
                  <w:pPr>
                    <w:pStyle w:val="41"/>
                    <w:bidi w:val="0"/>
                    <w:rPr>
                      <w:rFonts w:hint="default" w:eastAsia="宋体"/>
                      <w:b/>
                      <w:bCs/>
                      <w:color w:val="auto"/>
                      <w:highlight w:val="none"/>
                      <w:lang w:val="en-US" w:eastAsia="zh-CN"/>
                    </w:rPr>
                  </w:pPr>
                  <w:r>
                    <w:rPr>
                      <w:rFonts w:hint="eastAsia"/>
                      <w:b/>
                      <w:bCs/>
                      <w:color w:val="auto"/>
                      <w:highlight w:val="none"/>
                      <w:lang w:val="en-US" w:eastAsia="zh-CN"/>
                    </w:rPr>
                    <w:t>文件要求</w:t>
                  </w:r>
                </w:p>
              </w:tc>
              <w:tc>
                <w:tcPr>
                  <w:tcW w:w="1478" w:type="pct"/>
                  <w:vMerge w:val="restart"/>
                  <w:tcBorders>
                    <w:tl2br w:val="nil"/>
                    <w:tr2bl w:val="nil"/>
                  </w:tcBorders>
                  <w:vAlign w:val="center"/>
                </w:tcPr>
                <w:p w14:paraId="422443AB">
                  <w:pPr>
                    <w:pStyle w:val="41"/>
                    <w:bidi w:val="0"/>
                    <w:rPr>
                      <w:rFonts w:hint="default" w:eastAsia="宋体"/>
                      <w:color w:val="auto"/>
                      <w:highlight w:val="none"/>
                      <w:lang w:val="en-US" w:eastAsia="zh-CN"/>
                    </w:rPr>
                  </w:pPr>
                  <w:r>
                    <w:rPr>
                      <w:rFonts w:hint="eastAsia"/>
                      <w:b/>
                      <w:bCs/>
                      <w:color w:val="auto"/>
                      <w:highlight w:val="none"/>
                      <w:lang w:val="en-US" w:eastAsia="zh-CN"/>
                    </w:rPr>
                    <w:t>本项目情况</w:t>
                  </w:r>
                </w:p>
              </w:tc>
            </w:tr>
            <w:tr w14:paraId="1EE24A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57" w:type="pct"/>
                  <w:tcBorders>
                    <w:tl2br w:val="nil"/>
                    <w:tr2bl w:val="nil"/>
                  </w:tcBorders>
                  <w:vAlign w:val="center"/>
                </w:tcPr>
                <w:p w14:paraId="5715A5A8">
                  <w:pPr>
                    <w:pStyle w:val="41"/>
                    <w:bidi w:val="0"/>
                    <w:rPr>
                      <w:b/>
                      <w:bCs/>
                      <w:color w:val="auto"/>
                      <w:highlight w:val="none"/>
                    </w:rPr>
                  </w:pPr>
                  <w:r>
                    <w:rPr>
                      <w:b/>
                      <w:bCs/>
                      <w:color w:val="auto"/>
                      <w:highlight w:val="none"/>
                    </w:rPr>
                    <w:t>典型行业</w:t>
                  </w:r>
                </w:p>
              </w:tc>
              <w:tc>
                <w:tcPr>
                  <w:tcW w:w="750" w:type="pct"/>
                  <w:tcBorders>
                    <w:tl2br w:val="nil"/>
                    <w:tr2bl w:val="nil"/>
                  </w:tcBorders>
                  <w:vAlign w:val="center"/>
                </w:tcPr>
                <w:p w14:paraId="178A8CBB">
                  <w:pPr>
                    <w:pStyle w:val="41"/>
                    <w:bidi w:val="0"/>
                    <w:rPr>
                      <w:b/>
                      <w:bCs/>
                      <w:color w:val="auto"/>
                      <w:highlight w:val="none"/>
                    </w:rPr>
                  </w:pPr>
                  <w:r>
                    <w:rPr>
                      <w:b/>
                      <w:bCs/>
                      <w:color w:val="auto"/>
                      <w:highlight w:val="none"/>
                    </w:rPr>
                    <w:t>典型废水</w:t>
                  </w:r>
                </w:p>
              </w:tc>
              <w:tc>
                <w:tcPr>
                  <w:tcW w:w="1614" w:type="pct"/>
                  <w:tcBorders>
                    <w:tl2br w:val="nil"/>
                    <w:tr2bl w:val="nil"/>
                  </w:tcBorders>
                  <w:vAlign w:val="center"/>
                </w:tcPr>
                <w:p w14:paraId="25EB0F59">
                  <w:pPr>
                    <w:pStyle w:val="41"/>
                    <w:bidi w:val="0"/>
                    <w:rPr>
                      <w:b/>
                      <w:bCs/>
                      <w:color w:val="auto"/>
                      <w:highlight w:val="none"/>
                    </w:rPr>
                  </w:pPr>
                  <w:r>
                    <w:rPr>
                      <w:b/>
                      <w:bCs/>
                      <w:color w:val="auto"/>
                      <w:highlight w:val="none"/>
                    </w:rPr>
                    <w:t>判定结果</w:t>
                  </w:r>
                </w:p>
              </w:tc>
              <w:tc>
                <w:tcPr>
                  <w:tcW w:w="1478" w:type="pct"/>
                  <w:vMerge w:val="continue"/>
                  <w:tcBorders>
                    <w:tl2br w:val="nil"/>
                    <w:tr2bl w:val="nil"/>
                  </w:tcBorders>
                  <w:vAlign w:val="center"/>
                </w:tcPr>
                <w:p w14:paraId="34597D84">
                  <w:pPr>
                    <w:pStyle w:val="41"/>
                    <w:bidi w:val="0"/>
                    <w:rPr>
                      <w:color w:val="auto"/>
                      <w:highlight w:val="none"/>
                    </w:rPr>
                  </w:pPr>
                </w:p>
              </w:tc>
            </w:tr>
            <w:tr w14:paraId="0E4F0F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57" w:type="pct"/>
                  <w:tcBorders>
                    <w:tl2br w:val="nil"/>
                    <w:tr2bl w:val="nil"/>
                  </w:tcBorders>
                  <w:vAlign w:val="center"/>
                </w:tcPr>
                <w:p w14:paraId="701B960C">
                  <w:pPr>
                    <w:pStyle w:val="41"/>
                    <w:bidi w:val="0"/>
                    <w:rPr>
                      <w:color w:val="auto"/>
                      <w:highlight w:val="none"/>
                    </w:rPr>
                  </w:pPr>
                  <w:r>
                    <w:rPr>
                      <w:color w:val="auto"/>
                      <w:highlight w:val="none"/>
                    </w:rPr>
                    <w:t>冶金、电镀、化工、印染、原料药制造（有工业废水处理资质且出水达到国家标准的原料药制造企业除外）</w:t>
                  </w:r>
                </w:p>
              </w:tc>
              <w:tc>
                <w:tcPr>
                  <w:tcW w:w="750" w:type="pct"/>
                  <w:tcBorders>
                    <w:tl2br w:val="nil"/>
                    <w:tr2bl w:val="nil"/>
                  </w:tcBorders>
                  <w:vAlign w:val="center"/>
                </w:tcPr>
                <w:p w14:paraId="4E10F288">
                  <w:pPr>
                    <w:pStyle w:val="41"/>
                    <w:bidi w:val="0"/>
                    <w:rPr>
                      <w:color w:val="auto"/>
                      <w:highlight w:val="none"/>
                    </w:rPr>
                  </w:pPr>
                  <w:r>
                    <w:rPr>
                      <w:color w:val="auto"/>
                      <w:highlight w:val="none"/>
                    </w:rPr>
                    <w:t>含重金属、难生化降解废水、高盐废水</w:t>
                  </w:r>
                </w:p>
              </w:tc>
              <w:tc>
                <w:tcPr>
                  <w:tcW w:w="1614" w:type="pct"/>
                  <w:tcBorders>
                    <w:tl2br w:val="nil"/>
                    <w:tr2bl w:val="nil"/>
                  </w:tcBorders>
                  <w:vAlign w:val="center"/>
                </w:tcPr>
                <w:p w14:paraId="6144FF8E">
                  <w:pPr>
                    <w:pStyle w:val="41"/>
                    <w:bidi w:val="0"/>
                    <w:rPr>
                      <w:color w:val="auto"/>
                      <w:highlight w:val="none"/>
                    </w:rPr>
                  </w:pPr>
                  <w:r>
                    <w:rPr>
                      <w:color w:val="auto"/>
                      <w:highlight w:val="none"/>
                    </w:rPr>
                    <w:t>不得排入城市污水集中收集处理设施。</w:t>
                  </w:r>
                </w:p>
              </w:tc>
              <w:tc>
                <w:tcPr>
                  <w:tcW w:w="1478" w:type="pct"/>
                  <w:tcBorders>
                    <w:tl2br w:val="nil"/>
                    <w:tr2bl w:val="nil"/>
                  </w:tcBorders>
                  <w:vAlign w:val="center"/>
                </w:tcPr>
                <w:p w14:paraId="555A1FA0">
                  <w:pPr>
                    <w:pStyle w:val="41"/>
                    <w:bidi w:val="0"/>
                    <w:rPr>
                      <w:rFonts w:hint="eastAsia" w:eastAsia="宋体"/>
                      <w:color w:val="auto"/>
                      <w:highlight w:val="none"/>
                      <w:lang w:val="en-US" w:eastAsia="zh-CN"/>
                    </w:rPr>
                  </w:pPr>
                  <w:r>
                    <w:rPr>
                      <w:rFonts w:hint="eastAsia"/>
                      <w:color w:val="auto"/>
                      <w:highlight w:val="none"/>
                      <w:lang w:val="en-US" w:eastAsia="zh-CN"/>
                    </w:rPr>
                    <w:t>本项目主要</w:t>
                  </w:r>
                  <w:r>
                    <w:rPr>
                      <w:rFonts w:hint="eastAsia"/>
                      <w:color w:val="auto"/>
                      <w:highlight w:val="none"/>
                    </w:rPr>
                    <w:t>进行</w:t>
                  </w:r>
                  <w:r>
                    <w:rPr>
                      <w:rFonts w:hint="eastAsia"/>
                      <w:color w:val="auto"/>
                      <w:highlight w:val="none"/>
                      <w:lang w:val="en-US" w:eastAsia="zh-CN"/>
                    </w:rPr>
                    <w:t>中药研发</w:t>
                  </w:r>
                  <w:r>
                    <w:rPr>
                      <w:rFonts w:hint="eastAsia"/>
                      <w:color w:val="auto"/>
                      <w:highlight w:val="none"/>
                      <w:lang w:eastAsia="zh-CN"/>
                    </w:rPr>
                    <w:t>，</w:t>
                  </w:r>
                  <w:r>
                    <w:rPr>
                      <w:rFonts w:hint="eastAsia"/>
                      <w:color w:val="auto"/>
                      <w:highlight w:val="none"/>
                      <w:lang w:val="en-US" w:eastAsia="zh-CN"/>
                    </w:rPr>
                    <w:t>不属于</w:t>
                  </w:r>
                  <w:r>
                    <w:rPr>
                      <w:rFonts w:hint="eastAsia"/>
                      <w:color w:val="auto"/>
                      <w:highlight w:val="none"/>
                    </w:rPr>
                    <w:t>冶金、电镀、化工、印染、原料药制造</w:t>
                  </w:r>
                  <w:r>
                    <w:rPr>
                      <w:rFonts w:hint="eastAsia"/>
                      <w:color w:val="auto"/>
                      <w:highlight w:val="none"/>
                      <w:lang w:val="en-US" w:eastAsia="zh-CN"/>
                    </w:rPr>
                    <w:t>行业。</w:t>
                  </w:r>
                </w:p>
              </w:tc>
            </w:tr>
            <w:tr w14:paraId="3F3E5C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57" w:type="pct"/>
                  <w:tcBorders>
                    <w:tl2br w:val="nil"/>
                    <w:tr2bl w:val="nil"/>
                  </w:tcBorders>
                  <w:vAlign w:val="center"/>
                </w:tcPr>
                <w:p w14:paraId="2F1D9080">
                  <w:pPr>
                    <w:pStyle w:val="41"/>
                    <w:bidi w:val="0"/>
                    <w:rPr>
                      <w:color w:val="auto"/>
                      <w:highlight w:val="none"/>
                    </w:rPr>
                  </w:pPr>
                  <w:r>
                    <w:rPr>
                      <w:color w:val="auto"/>
                      <w:highlight w:val="none"/>
                    </w:rPr>
                    <w:t>①发酵酒精和白酒、啤酒、味精、制糖；②淀粉、酵母、柠檬酸；③肉类加工等制造业工业企业</w:t>
                  </w:r>
                </w:p>
              </w:tc>
              <w:tc>
                <w:tcPr>
                  <w:tcW w:w="750" w:type="pct"/>
                  <w:tcBorders>
                    <w:tl2br w:val="nil"/>
                    <w:tr2bl w:val="nil"/>
                  </w:tcBorders>
                  <w:vAlign w:val="center"/>
                </w:tcPr>
                <w:p w14:paraId="3F2374F3">
                  <w:pPr>
                    <w:pStyle w:val="41"/>
                    <w:bidi w:val="0"/>
                    <w:rPr>
                      <w:color w:val="auto"/>
                      <w:highlight w:val="none"/>
                    </w:rPr>
                  </w:pPr>
                  <w:r>
                    <w:rPr>
                      <w:color w:val="auto"/>
                      <w:highlight w:val="none"/>
                    </w:rPr>
                    <w:t>生产废水含优质碳源，可生化性较好，不</w:t>
                  </w:r>
                  <w:r>
                    <w:rPr>
                      <w:rFonts w:hint="eastAsia"/>
                      <w:color w:val="auto"/>
                      <w:highlight w:val="none"/>
                      <w:lang w:eastAsia="zh-CN"/>
                    </w:rPr>
                    <w:t>含其他</w:t>
                  </w:r>
                  <w:r>
                    <w:rPr>
                      <w:color w:val="auto"/>
                      <w:highlight w:val="none"/>
                    </w:rPr>
                    <w:t>高浓度或有毒有害污染物</w:t>
                  </w:r>
                </w:p>
              </w:tc>
              <w:tc>
                <w:tcPr>
                  <w:tcW w:w="1614" w:type="pct"/>
                  <w:tcBorders>
                    <w:tl2br w:val="nil"/>
                    <w:tr2bl w:val="nil"/>
                  </w:tcBorders>
                  <w:vAlign w:val="center"/>
                </w:tcPr>
                <w:p w14:paraId="34E79EAF">
                  <w:pPr>
                    <w:pStyle w:val="41"/>
                    <w:bidi w:val="0"/>
                    <w:rPr>
                      <w:color w:val="auto"/>
                      <w:highlight w:val="none"/>
                    </w:rPr>
                  </w:pPr>
                  <w:r>
                    <w:rPr>
                      <w:color w:val="auto"/>
                      <w:highlight w:val="none"/>
                    </w:rPr>
                    <w:t>企业与城镇污水处理厂协商确定纳管间接排放限值，签订具备法律效力的书面合同，向当地城镇排水主管部门申领排水许可证，并报当地生态环境主管部门备案后，可准予接入。</w:t>
                  </w:r>
                </w:p>
              </w:tc>
              <w:tc>
                <w:tcPr>
                  <w:tcW w:w="1478" w:type="pct"/>
                  <w:tcBorders>
                    <w:tl2br w:val="nil"/>
                    <w:tr2bl w:val="nil"/>
                  </w:tcBorders>
                  <w:vAlign w:val="center"/>
                </w:tcPr>
                <w:p w14:paraId="3696F5D9">
                  <w:pPr>
                    <w:pStyle w:val="41"/>
                    <w:bidi w:val="0"/>
                    <w:rPr>
                      <w:color w:val="auto"/>
                      <w:highlight w:val="none"/>
                    </w:rPr>
                  </w:pPr>
                  <w:r>
                    <w:rPr>
                      <w:rFonts w:hint="eastAsia"/>
                      <w:color w:val="auto"/>
                      <w:highlight w:val="none"/>
                      <w:lang w:val="en-US" w:eastAsia="zh-CN"/>
                    </w:rPr>
                    <w:t>本项目主要</w:t>
                  </w:r>
                  <w:r>
                    <w:rPr>
                      <w:rFonts w:hint="eastAsia"/>
                      <w:color w:val="auto"/>
                      <w:highlight w:val="none"/>
                    </w:rPr>
                    <w:t>进行</w:t>
                  </w:r>
                  <w:r>
                    <w:rPr>
                      <w:rFonts w:hint="eastAsia"/>
                      <w:color w:val="auto"/>
                      <w:highlight w:val="none"/>
                      <w:lang w:val="en-US" w:eastAsia="zh-CN"/>
                    </w:rPr>
                    <w:t>中药研发</w:t>
                  </w:r>
                  <w:r>
                    <w:rPr>
                      <w:rFonts w:hint="eastAsia"/>
                      <w:color w:val="auto"/>
                      <w:highlight w:val="none"/>
                      <w:lang w:eastAsia="zh-CN"/>
                    </w:rPr>
                    <w:t>，</w:t>
                  </w:r>
                  <w:r>
                    <w:rPr>
                      <w:rFonts w:hint="eastAsia"/>
                      <w:color w:val="auto"/>
                      <w:highlight w:val="none"/>
                      <w:lang w:val="en-US" w:eastAsia="zh-CN"/>
                    </w:rPr>
                    <w:t>不属于</w:t>
                  </w:r>
                  <w:r>
                    <w:rPr>
                      <w:rFonts w:hint="eastAsia"/>
                      <w:color w:val="auto"/>
                      <w:highlight w:val="none"/>
                    </w:rPr>
                    <w:t>发酵酒精和白酒、啤酒、味精、制糖；淀粉、酵母、柠檬酸；肉类加工等制造业工业企业</w:t>
                  </w:r>
                  <w:r>
                    <w:rPr>
                      <w:rFonts w:hint="eastAsia"/>
                      <w:color w:val="auto"/>
                      <w:highlight w:val="none"/>
                      <w:lang w:val="en-US" w:eastAsia="zh-CN"/>
                    </w:rPr>
                    <w:t>。</w:t>
                  </w:r>
                </w:p>
              </w:tc>
            </w:tr>
            <w:tr w14:paraId="2CB928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907" w:type="pct"/>
                  <w:gridSpan w:val="2"/>
                  <w:tcBorders>
                    <w:tl2br w:val="nil"/>
                    <w:tr2bl w:val="nil"/>
                  </w:tcBorders>
                  <w:vAlign w:val="center"/>
                </w:tcPr>
                <w:p w14:paraId="328DF4C0">
                  <w:pPr>
                    <w:pStyle w:val="41"/>
                    <w:bidi w:val="0"/>
                    <w:rPr>
                      <w:color w:val="auto"/>
                      <w:highlight w:val="none"/>
                    </w:rPr>
                  </w:pPr>
                  <w:r>
                    <w:rPr>
                      <w:color w:val="auto"/>
                      <w:highlight w:val="none"/>
                    </w:rPr>
                    <w:t>除以上两种情形</w:t>
                  </w:r>
                </w:p>
              </w:tc>
              <w:tc>
                <w:tcPr>
                  <w:tcW w:w="1614" w:type="pct"/>
                  <w:tcBorders>
                    <w:tl2br w:val="nil"/>
                    <w:tr2bl w:val="nil"/>
                  </w:tcBorders>
                  <w:vAlign w:val="center"/>
                </w:tcPr>
                <w:p w14:paraId="29B9F362">
                  <w:pPr>
                    <w:pStyle w:val="41"/>
                    <w:bidi w:val="0"/>
                    <w:rPr>
                      <w:color w:val="auto"/>
                      <w:highlight w:val="none"/>
                    </w:rPr>
                  </w:pPr>
                  <w:r>
                    <w:rPr>
                      <w:color w:val="auto"/>
                      <w:highlight w:val="none"/>
                    </w:rPr>
                    <w:t>需在建设项目环境影响评价中参照评估技术指南评估纳管城镇污水处理厂进行处理的可行性。企业在向生态环境部门申请领取排污许可证的同时，应向城镇排水主管部门申请领取排水许可证。</w:t>
                  </w:r>
                </w:p>
              </w:tc>
              <w:tc>
                <w:tcPr>
                  <w:tcW w:w="1478" w:type="pct"/>
                  <w:tcBorders>
                    <w:tl2br w:val="nil"/>
                    <w:tr2bl w:val="nil"/>
                  </w:tcBorders>
                  <w:vAlign w:val="center"/>
                </w:tcPr>
                <w:p w14:paraId="6A12A4AB">
                  <w:pPr>
                    <w:pStyle w:val="41"/>
                    <w:bidi w:val="0"/>
                    <w:rPr>
                      <w:color w:val="auto"/>
                      <w:highlight w:val="none"/>
                    </w:rPr>
                  </w:pPr>
                  <w:r>
                    <w:rPr>
                      <w:rFonts w:hint="eastAsia"/>
                      <w:color w:val="auto"/>
                      <w:highlight w:val="none"/>
                      <w:lang w:val="en-US" w:eastAsia="zh-CN"/>
                    </w:rPr>
                    <w:t>本项目废水水质比较简单，不属于</w:t>
                  </w:r>
                  <w:r>
                    <w:rPr>
                      <w:rFonts w:hint="eastAsia"/>
                      <w:color w:val="auto"/>
                      <w:highlight w:val="none"/>
                    </w:rPr>
                    <w:t>含重金属、难生化降解废水、高盐废水</w:t>
                  </w:r>
                  <w:r>
                    <w:rPr>
                      <w:rFonts w:hint="eastAsia"/>
                      <w:color w:val="auto"/>
                      <w:highlight w:val="none"/>
                      <w:lang w:val="en-US" w:eastAsia="zh-CN"/>
                    </w:rPr>
                    <w:t>。本项目废水经厂区内预处理后可以达到高新区污水处理厂接管标准，不会对污水处理厂运行造成冲击负荷，可以接入高新区污水处理厂。</w:t>
                  </w:r>
                </w:p>
              </w:tc>
            </w:tr>
          </w:tbl>
          <w:p w14:paraId="66DAEF11">
            <w:pPr>
              <w:pStyle w:val="41"/>
              <w:bidi w:val="0"/>
            </w:pPr>
          </w:p>
          <w:p w14:paraId="1C1D4F04">
            <w:pPr>
              <w:bidi w:val="0"/>
              <w:ind w:firstLine="482" w:firstLineChars="200"/>
              <w:rPr>
                <w:b/>
                <w:bCs/>
                <w:color w:val="auto"/>
                <w:highlight w:val="none"/>
              </w:rPr>
            </w:pPr>
            <w:r>
              <w:rPr>
                <w:b/>
                <w:bCs/>
                <w:color w:val="auto"/>
                <w:highlight w:val="none"/>
              </w:rPr>
              <w:t>（</w:t>
            </w:r>
            <w:r>
              <w:rPr>
                <w:rFonts w:hint="eastAsia"/>
                <w:b/>
                <w:bCs/>
                <w:color w:val="auto"/>
                <w:highlight w:val="none"/>
                <w:lang w:val="en-US" w:eastAsia="zh-CN"/>
              </w:rPr>
              <w:t>3</w:t>
            </w:r>
            <w:r>
              <w:rPr>
                <w:b/>
                <w:bCs/>
                <w:color w:val="auto"/>
                <w:highlight w:val="none"/>
              </w:rPr>
              <w:t>）监测计划</w:t>
            </w:r>
          </w:p>
          <w:p w14:paraId="5607F6DD">
            <w:pPr>
              <w:bidi w:val="0"/>
              <w:ind w:firstLine="480" w:firstLineChars="200"/>
              <w:rPr>
                <w:rFonts w:hint="eastAsia"/>
                <w:color w:val="auto"/>
                <w:highlight w:val="none"/>
              </w:rPr>
            </w:pPr>
            <w:r>
              <w:rPr>
                <w:rFonts w:hint="eastAsia"/>
                <w:color w:val="auto"/>
                <w:highlight w:val="none"/>
              </w:rPr>
              <w:t>对照《排污单位自行监测技术指南 总则》（HJ 819-2017），本项目废</w:t>
            </w:r>
            <w:r>
              <w:rPr>
                <w:rFonts w:hint="eastAsia"/>
                <w:color w:val="auto"/>
                <w:highlight w:val="none"/>
                <w:lang w:val="en-US" w:eastAsia="zh-CN"/>
              </w:rPr>
              <w:t>水</w:t>
            </w:r>
            <w:r>
              <w:rPr>
                <w:rFonts w:hint="eastAsia"/>
                <w:color w:val="auto"/>
                <w:highlight w:val="none"/>
              </w:rPr>
              <w:t>监测计划见下表。</w:t>
            </w:r>
          </w:p>
          <w:p w14:paraId="4CA9BA5E">
            <w:pPr>
              <w:pStyle w:val="162"/>
              <w:bidi w:val="0"/>
              <w:rPr>
                <w:color w:val="auto"/>
                <w:highlight w:val="none"/>
              </w:rPr>
            </w:pPr>
            <w:r>
              <w:rPr>
                <w:rFonts w:hint="eastAsia"/>
                <w:color w:val="auto"/>
                <w:highlight w:val="none"/>
              </w:rPr>
              <w:t>废水</w:t>
            </w:r>
            <w:r>
              <w:rPr>
                <w:color w:val="auto"/>
                <w:highlight w:val="none"/>
              </w:rPr>
              <w:t>监测计划表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09"/>
              <w:gridCol w:w="1340"/>
              <w:gridCol w:w="2517"/>
              <w:gridCol w:w="1256"/>
              <w:gridCol w:w="2216"/>
            </w:tblGrid>
            <w:tr w14:paraId="1504F0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7" w:type="pct"/>
                  <w:vAlign w:val="center"/>
                </w:tcPr>
                <w:p w14:paraId="55E21A61">
                  <w:pPr>
                    <w:pStyle w:val="41"/>
                    <w:bidi w:val="0"/>
                    <w:rPr>
                      <w:b/>
                      <w:bCs/>
                      <w:color w:val="auto"/>
                      <w:highlight w:val="none"/>
                    </w:rPr>
                  </w:pPr>
                  <w:r>
                    <w:rPr>
                      <w:b/>
                      <w:bCs/>
                      <w:color w:val="auto"/>
                      <w:highlight w:val="none"/>
                    </w:rPr>
                    <w:t>类别</w:t>
                  </w:r>
                </w:p>
              </w:tc>
              <w:tc>
                <w:tcPr>
                  <w:tcW w:w="794" w:type="pct"/>
                  <w:vAlign w:val="center"/>
                </w:tcPr>
                <w:p w14:paraId="316ADA7B">
                  <w:pPr>
                    <w:pStyle w:val="41"/>
                    <w:bidi w:val="0"/>
                    <w:rPr>
                      <w:b/>
                      <w:bCs/>
                      <w:color w:val="auto"/>
                      <w:highlight w:val="none"/>
                    </w:rPr>
                  </w:pPr>
                  <w:r>
                    <w:rPr>
                      <w:b/>
                      <w:bCs/>
                      <w:color w:val="auto"/>
                      <w:highlight w:val="none"/>
                    </w:rPr>
                    <w:t>监测位置</w:t>
                  </w:r>
                </w:p>
              </w:tc>
              <w:tc>
                <w:tcPr>
                  <w:tcW w:w="1491" w:type="pct"/>
                  <w:vAlign w:val="center"/>
                </w:tcPr>
                <w:p w14:paraId="0C82A6D3">
                  <w:pPr>
                    <w:pStyle w:val="41"/>
                    <w:bidi w:val="0"/>
                    <w:rPr>
                      <w:b/>
                      <w:bCs/>
                      <w:color w:val="auto"/>
                      <w:highlight w:val="none"/>
                    </w:rPr>
                  </w:pPr>
                  <w:r>
                    <w:rPr>
                      <w:b/>
                      <w:bCs/>
                      <w:color w:val="auto"/>
                      <w:highlight w:val="none"/>
                    </w:rPr>
                    <w:t>监测项目</w:t>
                  </w:r>
                </w:p>
              </w:tc>
              <w:tc>
                <w:tcPr>
                  <w:tcW w:w="744" w:type="pct"/>
                  <w:vAlign w:val="center"/>
                </w:tcPr>
                <w:p w14:paraId="30296129">
                  <w:pPr>
                    <w:pStyle w:val="41"/>
                    <w:bidi w:val="0"/>
                    <w:rPr>
                      <w:b/>
                      <w:bCs/>
                      <w:color w:val="auto"/>
                      <w:highlight w:val="none"/>
                    </w:rPr>
                  </w:pPr>
                  <w:r>
                    <w:rPr>
                      <w:b/>
                      <w:bCs/>
                      <w:color w:val="auto"/>
                      <w:highlight w:val="none"/>
                    </w:rPr>
                    <w:t>监测频次</w:t>
                  </w:r>
                </w:p>
              </w:tc>
              <w:tc>
                <w:tcPr>
                  <w:tcW w:w="1312" w:type="pct"/>
                  <w:vAlign w:val="center"/>
                </w:tcPr>
                <w:p w14:paraId="03223250">
                  <w:pPr>
                    <w:pStyle w:val="41"/>
                    <w:bidi w:val="0"/>
                    <w:rPr>
                      <w:b/>
                      <w:bCs/>
                      <w:color w:val="auto"/>
                      <w:highlight w:val="none"/>
                    </w:rPr>
                  </w:pPr>
                  <w:r>
                    <w:rPr>
                      <w:b/>
                      <w:bCs/>
                      <w:color w:val="auto"/>
                      <w:highlight w:val="none"/>
                    </w:rPr>
                    <w:t>执行标准</w:t>
                  </w:r>
                </w:p>
              </w:tc>
            </w:tr>
            <w:tr w14:paraId="78B0CD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7" w:type="pct"/>
                  <w:vAlign w:val="center"/>
                </w:tcPr>
                <w:p w14:paraId="1FF351FB">
                  <w:pPr>
                    <w:pStyle w:val="41"/>
                    <w:bidi w:val="0"/>
                    <w:rPr>
                      <w:color w:val="auto"/>
                      <w:highlight w:val="none"/>
                    </w:rPr>
                  </w:pPr>
                  <w:r>
                    <w:rPr>
                      <w:color w:val="auto"/>
                      <w:highlight w:val="none"/>
                    </w:rPr>
                    <w:t>综合废水</w:t>
                  </w:r>
                </w:p>
              </w:tc>
              <w:tc>
                <w:tcPr>
                  <w:tcW w:w="794" w:type="pct"/>
                  <w:vAlign w:val="center"/>
                </w:tcPr>
                <w:p w14:paraId="417737BB">
                  <w:pPr>
                    <w:pStyle w:val="41"/>
                    <w:bidi w:val="0"/>
                    <w:rPr>
                      <w:color w:val="auto"/>
                      <w:highlight w:val="none"/>
                    </w:rPr>
                  </w:pPr>
                  <w:r>
                    <w:rPr>
                      <w:rFonts w:hint="default"/>
                      <w:color w:val="auto"/>
                      <w:highlight w:val="none"/>
                    </w:rPr>
                    <w:t>废水总排口</w:t>
                  </w:r>
                  <w:r>
                    <w:rPr>
                      <w:rFonts w:hint="eastAsia"/>
                      <w:color w:val="auto"/>
                      <w:highlight w:val="none"/>
                      <w:lang w:val="en-US" w:eastAsia="zh-CN"/>
                    </w:rPr>
                    <w:t>DW001</w:t>
                  </w:r>
                </w:p>
              </w:tc>
              <w:tc>
                <w:tcPr>
                  <w:tcW w:w="1491" w:type="pct"/>
                  <w:vAlign w:val="center"/>
                </w:tcPr>
                <w:p w14:paraId="516016A6">
                  <w:pPr>
                    <w:pStyle w:val="41"/>
                    <w:bidi w:val="0"/>
                    <w:rPr>
                      <w:rFonts w:hint="default"/>
                      <w:color w:val="auto"/>
                      <w:highlight w:val="none"/>
                      <w:lang w:val="en-US" w:eastAsia="zh-CN"/>
                    </w:rPr>
                  </w:pPr>
                  <w:r>
                    <w:rPr>
                      <w:rFonts w:hint="eastAsia"/>
                      <w:color w:val="auto"/>
                      <w:highlight w:val="none"/>
                      <w:lang w:val="en-US" w:eastAsia="zh-CN"/>
                    </w:rPr>
                    <w:t>pH、</w:t>
                  </w:r>
                  <w:r>
                    <w:rPr>
                      <w:color w:val="auto"/>
                      <w:highlight w:val="none"/>
                    </w:rPr>
                    <w:t>COD、SS、NH</w:t>
                  </w:r>
                  <w:r>
                    <w:rPr>
                      <w:color w:val="auto"/>
                      <w:highlight w:val="none"/>
                      <w:vertAlign w:val="subscript"/>
                    </w:rPr>
                    <w:t>3</w:t>
                  </w:r>
                  <w:r>
                    <w:rPr>
                      <w:color w:val="auto"/>
                      <w:highlight w:val="none"/>
                    </w:rPr>
                    <w:t>-N、</w:t>
                  </w:r>
                  <w:r>
                    <w:rPr>
                      <w:rFonts w:hint="eastAsia"/>
                      <w:color w:val="auto"/>
                      <w:highlight w:val="none"/>
                    </w:rPr>
                    <w:t>TN、</w:t>
                  </w:r>
                  <w:r>
                    <w:rPr>
                      <w:color w:val="auto"/>
                      <w:highlight w:val="none"/>
                    </w:rPr>
                    <w:t>TP</w:t>
                  </w:r>
                </w:p>
              </w:tc>
              <w:tc>
                <w:tcPr>
                  <w:tcW w:w="744" w:type="pct"/>
                  <w:vAlign w:val="center"/>
                </w:tcPr>
                <w:p w14:paraId="2C8C0075">
                  <w:pPr>
                    <w:pStyle w:val="41"/>
                    <w:bidi w:val="0"/>
                    <w:rPr>
                      <w:color w:val="auto"/>
                      <w:highlight w:val="none"/>
                    </w:rPr>
                  </w:pPr>
                  <w:r>
                    <w:rPr>
                      <w:rFonts w:hint="eastAsia"/>
                      <w:color w:val="auto"/>
                      <w:highlight w:val="none"/>
                    </w:rPr>
                    <w:t>1</w:t>
                  </w:r>
                  <w:r>
                    <w:rPr>
                      <w:rFonts w:hint="eastAsia"/>
                      <w:color w:val="auto"/>
                      <w:highlight w:val="none"/>
                      <w:lang w:val="en-US" w:eastAsia="zh-CN"/>
                    </w:rPr>
                    <w:t>年</w:t>
                  </w:r>
                  <w:r>
                    <w:rPr>
                      <w:rFonts w:hint="eastAsia"/>
                      <w:color w:val="auto"/>
                      <w:highlight w:val="none"/>
                    </w:rPr>
                    <w:t>/次</w:t>
                  </w:r>
                </w:p>
              </w:tc>
              <w:tc>
                <w:tcPr>
                  <w:tcW w:w="1312" w:type="pct"/>
                  <w:vAlign w:val="center"/>
                </w:tcPr>
                <w:p w14:paraId="3BA28FCF">
                  <w:pPr>
                    <w:pStyle w:val="41"/>
                    <w:bidi w:val="0"/>
                    <w:rPr>
                      <w:rFonts w:hint="eastAsia"/>
                      <w:color w:val="auto"/>
                      <w:highlight w:val="none"/>
                      <w:lang w:eastAsia="zh-CN"/>
                    </w:rPr>
                  </w:pPr>
                  <w:r>
                    <w:rPr>
                      <w:rFonts w:hint="eastAsia"/>
                      <w:color w:val="auto"/>
                      <w:highlight w:val="none"/>
                      <w:lang w:eastAsia="zh-CN"/>
                    </w:rPr>
                    <w:t>高新区污水处理厂</w:t>
                  </w:r>
                </w:p>
                <w:p w14:paraId="09F14732">
                  <w:pPr>
                    <w:pStyle w:val="41"/>
                    <w:bidi w:val="0"/>
                    <w:rPr>
                      <w:color w:val="auto"/>
                      <w:highlight w:val="none"/>
                    </w:rPr>
                  </w:pPr>
                  <w:r>
                    <w:rPr>
                      <w:color w:val="auto"/>
                      <w:highlight w:val="none"/>
                    </w:rPr>
                    <w:t>接管标准</w:t>
                  </w:r>
                </w:p>
              </w:tc>
            </w:tr>
          </w:tbl>
          <w:p w14:paraId="43A00D3E">
            <w:pPr>
              <w:pStyle w:val="41"/>
              <w:bidi w:val="0"/>
              <w:rPr>
                <w:color w:val="auto"/>
                <w:highlight w:val="none"/>
              </w:rPr>
            </w:pPr>
          </w:p>
          <w:p w14:paraId="43212C86">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b/>
                <w:bCs/>
                <w:color w:val="auto"/>
                <w:sz w:val="24"/>
                <w:highlight w:val="none"/>
              </w:rPr>
            </w:pPr>
            <w:r>
              <w:rPr>
                <w:b/>
                <w:bCs/>
                <w:color w:val="auto"/>
                <w:sz w:val="24"/>
                <w:highlight w:val="none"/>
              </w:rPr>
              <w:t>（</w:t>
            </w:r>
            <w:r>
              <w:rPr>
                <w:rFonts w:hint="eastAsia"/>
                <w:b/>
                <w:bCs/>
                <w:color w:val="auto"/>
                <w:sz w:val="24"/>
                <w:highlight w:val="none"/>
              </w:rPr>
              <w:t>4</w:t>
            </w:r>
            <w:r>
              <w:rPr>
                <w:b/>
                <w:bCs/>
                <w:color w:val="auto"/>
                <w:sz w:val="24"/>
                <w:highlight w:val="none"/>
              </w:rPr>
              <w:t>）</w:t>
            </w:r>
            <w:r>
              <w:rPr>
                <w:rFonts w:hint="eastAsia"/>
                <w:b/>
                <w:bCs/>
                <w:color w:val="auto"/>
                <w:sz w:val="24"/>
                <w:highlight w:val="none"/>
              </w:rPr>
              <w:t>环境影响分析</w:t>
            </w:r>
          </w:p>
          <w:p w14:paraId="4CD95778">
            <w:pPr>
              <w:keepNext w:val="0"/>
              <w:keepLines w:val="0"/>
              <w:pageBreakBefore w:val="0"/>
              <w:widowControl w:val="0"/>
              <w:kinsoku/>
              <w:wordWrap/>
              <w:overflowPunct/>
              <w:topLinePunct w:val="0"/>
              <w:autoSpaceDE/>
              <w:autoSpaceDN/>
              <w:bidi w:val="0"/>
              <w:spacing w:line="460" w:lineRule="exact"/>
              <w:ind w:firstLine="480" w:firstLineChars="200"/>
              <w:textAlignment w:val="auto"/>
              <w:rPr>
                <w:color w:val="auto"/>
                <w:sz w:val="24"/>
                <w:highlight w:val="none"/>
              </w:rPr>
            </w:pPr>
            <w:r>
              <w:rPr>
                <w:rFonts w:hint="eastAsia"/>
                <w:color w:val="auto"/>
                <w:sz w:val="24"/>
                <w:highlight w:val="none"/>
              </w:rPr>
              <w:t>本</w:t>
            </w:r>
            <w:r>
              <w:rPr>
                <w:color w:val="auto"/>
                <w:sz w:val="24"/>
                <w:highlight w:val="none"/>
              </w:rPr>
              <w:t>项目</w:t>
            </w:r>
            <w:r>
              <w:rPr>
                <w:rFonts w:hint="eastAsia"/>
                <w:color w:val="auto"/>
                <w:sz w:val="24"/>
                <w:highlight w:val="none"/>
              </w:rPr>
              <w:t>废水可以达到</w:t>
            </w:r>
            <w:r>
              <w:rPr>
                <w:rFonts w:hint="eastAsia"/>
                <w:color w:val="auto"/>
                <w:sz w:val="24"/>
                <w:highlight w:val="none"/>
                <w:lang w:eastAsia="zh-CN"/>
              </w:rPr>
              <w:t>高新区污水处理厂</w:t>
            </w:r>
            <w:r>
              <w:rPr>
                <w:rFonts w:hint="eastAsia"/>
                <w:color w:val="auto"/>
                <w:sz w:val="24"/>
                <w:highlight w:val="none"/>
              </w:rPr>
              <w:t>接管标准，</w:t>
            </w:r>
            <w:r>
              <w:rPr>
                <w:rFonts w:hint="eastAsia"/>
                <w:color w:val="auto"/>
                <w:sz w:val="24"/>
                <w:highlight w:val="none"/>
                <w:lang w:val="en-US" w:eastAsia="zh-CN"/>
              </w:rPr>
              <w:t>本项目废水成分较简单，水污染物浓度不高，</w:t>
            </w:r>
            <w:r>
              <w:rPr>
                <w:rFonts w:ascii="Times New Roman" w:hAnsi="Times New Roman" w:eastAsia="宋体"/>
                <w:color w:val="auto"/>
                <w:sz w:val="24"/>
                <w:highlight w:val="none"/>
              </w:rPr>
              <w:t>不会对污水处理厂运行产生冲击负荷，目前</w:t>
            </w:r>
            <w:r>
              <w:rPr>
                <w:rFonts w:hint="eastAsia"/>
                <w:color w:val="auto"/>
                <w:sz w:val="24"/>
                <w:highlight w:val="none"/>
                <w:lang w:val="en-US" w:eastAsia="zh-CN"/>
              </w:rPr>
              <w:t>高新区污水处理厂</w:t>
            </w:r>
            <w:r>
              <w:rPr>
                <w:rFonts w:ascii="Times New Roman" w:hAnsi="Times New Roman" w:eastAsia="宋体"/>
                <w:color w:val="auto"/>
                <w:sz w:val="24"/>
                <w:highlight w:val="none"/>
              </w:rPr>
              <w:t>有足够的能力接纳本项目废水。</w:t>
            </w:r>
            <w:r>
              <w:rPr>
                <w:color w:val="auto"/>
                <w:highlight w:val="none"/>
              </w:rPr>
              <w:t>综上所述，</w:t>
            </w:r>
            <w:r>
              <w:rPr>
                <w:color w:val="auto"/>
                <w:sz w:val="24"/>
                <w:highlight w:val="none"/>
              </w:rPr>
              <w:t>本项目的污水</w:t>
            </w:r>
            <w:r>
              <w:rPr>
                <w:rFonts w:hint="eastAsia"/>
                <w:color w:val="auto"/>
                <w:sz w:val="24"/>
                <w:highlight w:val="none"/>
              </w:rPr>
              <w:t>可以</w:t>
            </w:r>
            <w:r>
              <w:rPr>
                <w:color w:val="auto"/>
                <w:sz w:val="24"/>
                <w:highlight w:val="none"/>
              </w:rPr>
              <w:t>得到合理处置</w:t>
            </w:r>
            <w:r>
              <w:rPr>
                <w:rFonts w:hint="eastAsia"/>
                <w:color w:val="auto"/>
                <w:sz w:val="24"/>
                <w:highlight w:val="none"/>
                <w:lang w:eastAsia="zh-CN"/>
              </w:rPr>
              <w:t>，</w:t>
            </w:r>
            <w:r>
              <w:rPr>
                <w:color w:val="auto"/>
                <w:highlight w:val="none"/>
              </w:rPr>
              <w:t>对受纳水体</w:t>
            </w:r>
            <w:r>
              <w:rPr>
                <w:rFonts w:hint="eastAsia"/>
                <w:color w:val="auto"/>
                <w:highlight w:val="none"/>
                <w:lang w:val="en-US" w:eastAsia="zh-CN"/>
              </w:rPr>
              <w:t>秦淮河</w:t>
            </w:r>
            <w:r>
              <w:rPr>
                <w:color w:val="auto"/>
                <w:highlight w:val="none"/>
              </w:rPr>
              <w:t>影响较小，</w:t>
            </w:r>
            <w:r>
              <w:rPr>
                <w:color w:val="auto"/>
                <w:sz w:val="24"/>
                <w:highlight w:val="none"/>
              </w:rPr>
              <w:t>不会改变其水环境功能级别，水质功能可维持现状。</w:t>
            </w:r>
          </w:p>
          <w:p w14:paraId="244DD6B3">
            <w:pPr>
              <w:keepNext w:val="0"/>
              <w:keepLines w:val="0"/>
              <w:pageBreakBefore w:val="0"/>
              <w:widowControl w:val="0"/>
              <w:kinsoku/>
              <w:wordWrap/>
              <w:overflowPunct/>
              <w:topLinePunct w:val="0"/>
              <w:autoSpaceDE/>
              <w:autoSpaceDN/>
              <w:bidi w:val="0"/>
              <w:spacing w:line="460" w:lineRule="exact"/>
              <w:ind w:firstLine="482" w:firstLineChars="200"/>
              <w:textAlignment w:val="auto"/>
              <w:rPr>
                <w:b/>
                <w:bCs/>
                <w:color w:val="auto"/>
                <w:sz w:val="24"/>
                <w:highlight w:val="none"/>
              </w:rPr>
            </w:pPr>
            <w:r>
              <w:rPr>
                <w:b/>
                <w:bCs/>
                <w:color w:val="auto"/>
                <w:sz w:val="24"/>
                <w:highlight w:val="none"/>
              </w:rPr>
              <w:t>3、声环境</w:t>
            </w:r>
          </w:p>
          <w:p w14:paraId="3B4D7AD3">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b/>
                <w:bCs/>
                <w:color w:val="auto"/>
                <w:sz w:val="24"/>
                <w:highlight w:val="none"/>
              </w:rPr>
            </w:pPr>
            <w:r>
              <w:rPr>
                <w:b/>
                <w:bCs/>
                <w:color w:val="auto"/>
                <w:sz w:val="24"/>
                <w:highlight w:val="none"/>
              </w:rPr>
              <w:t>（1）源强分析</w:t>
            </w:r>
          </w:p>
          <w:p w14:paraId="29162BF2">
            <w:pPr>
              <w:keepNext w:val="0"/>
              <w:keepLines w:val="0"/>
              <w:pageBreakBefore w:val="0"/>
              <w:widowControl w:val="0"/>
              <w:kinsoku/>
              <w:wordWrap/>
              <w:overflowPunct/>
              <w:topLinePunct w:val="0"/>
              <w:autoSpaceDE/>
              <w:autoSpaceDN/>
              <w:bidi w:val="0"/>
              <w:spacing w:line="460" w:lineRule="exact"/>
              <w:ind w:firstLine="480" w:firstLineChars="200"/>
              <w:textAlignment w:val="auto"/>
              <w:rPr>
                <w:color w:val="auto"/>
                <w:sz w:val="24"/>
                <w:highlight w:val="none"/>
              </w:rPr>
            </w:pPr>
            <w:bookmarkStart w:id="46" w:name="_Hlk32514969"/>
            <w:r>
              <w:rPr>
                <w:color w:val="auto"/>
                <w:sz w:val="24"/>
                <w:highlight w:val="none"/>
              </w:rPr>
              <w:t>本项目</w:t>
            </w:r>
            <w:r>
              <w:rPr>
                <w:rFonts w:hint="eastAsia"/>
                <w:color w:val="auto"/>
                <w:sz w:val="24"/>
                <w:highlight w:val="none"/>
                <w:lang w:val="en-US" w:eastAsia="zh-CN"/>
              </w:rPr>
              <w:t>主要进行研发实验，研发设备噪声值较小，本项目</w:t>
            </w:r>
            <w:r>
              <w:rPr>
                <w:rFonts w:hint="eastAsia"/>
                <w:color w:val="auto"/>
                <w:sz w:val="24"/>
                <w:highlight w:val="none"/>
              </w:rPr>
              <w:t>噪声主要来源于</w:t>
            </w:r>
            <w:r>
              <w:rPr>
                <w:rFonts w:hint="eastAsia"/>
                <w:color w:val="auto"/>
                <w:sz w:val="24"/>
                <w:highlight w:val="none"/>
                <w:lang w:val="en-US" w:eastAsia="zh-CN"/>
              </w:rPr>
              <w:t>废气处理风机</w:t>
            </w:r>
            <w:r>
              <w:rPr>
                <w:rFonts w:hint="eastAsia"/>
                <w:color w:val="auto"/>
                <w:sz w:val="24"/>
                <w:highlight w:val="none"/>
              </w:rPr>
              <w:t>，</w:t>
            </w:r>
            <w:r>
              <w:rPr>
                <w:color w:val="auto"/>
                <w:sz w:val="24"/>
                <w:highlight w:val="none"/>
              </w:rPr>
              <w:t>主要噪声设备及噪声值见</w:t>
            </w:r>
            <w:r>
              <w:rPr>
                <w:rFonts w:hint="eastAsia"/>
                <w:color w:val="auto"/>
                <w:sz w:val="24"/>
                <w:highlight w:val="none"/>
              </w:rPr>
              <w:t>下表</w:t>
            </w:r>
            <w:r>
              <w:rPr>
                <w:color w:val="auto"/>
                <w:sz w:val="24"/>
                <w:highlight w:val="none"/>
              </w:rPr>
              <w:t>。</w:t>
            </w:r>
          </w:p>
          <w:p w14:paraId="3D12A49F">
            <w:pPr>
              <w:pStyle w:val="162"/>
              <w:bidi w:val="0"/>
              <w:rPr>
                <w:rFonts w:hint="default"/>
                <w:color w:val="auto"/>
                <w:highlight w:val="none"/>
                <w:lang w:val="en-US" w:eastAsia="zh-CN"/>
              </w:rPr>
            </w:pPr>
            <w:r>
              <w:rPr>
                <w:rFonts w:hint="eastAsia"/>
                <w:color w:val="auto"/>
                <w:highlight w:val="none"/>
              </w:rPr>
              <w:t>工业企业噪声源强调查清单（室外声源）</w:t>
            </w:r>
          </w:p>
          <w:tbl>
            <w:tblPr>
              <w:tblStyle w:val="32"/>
              <w:tblW w:w="5000"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539"/>
              <w:gridCol w:w="861"/>
              <w:gridCol w:w="934"/>
              <w:gridCol w:w="1075"/>
              <w:gridCol w:w="806"/>
              <w:gridCol w:w="1277"/>
              <w:gridCol w:w="1561"/>
              <w:gridCol w:w="1388"/>
            </w:tblGrid>
            <w:tr w14:paraId="1E078D9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319" w:type="pct"/>
                  <w:vMerge w:val="restart"/>
                  <w:tcBorders>
                    <w:tl2br w:val="nil"/>
                    <w:tr2bl w:val="nil"/>
                  </w:tcBorders>
                  <w:shd w:val="clear" w:color="auto" w:fill="auto"/>
                  <w:noWrap/>
                  <w:vAlign w:val="center"/>
                </w:tcPr>
                <w:p w14:paraId="16E50608">
                  <w:pPr>
                    <w:pStyle w:val="41"/>
                    <w:bidi w:val="0"/>
                    <w:rPr>
                      <w:rFonts w:hint="eastAsia"/>
                      <w:b/>
                      <w:bCs/>
                      <w:color w:val="auto"/>
                      <w:sz w:val="21"/>
                      <w:szCs w:val="21"/>
                      <w:highlight w:val="none"/>
                    </w:rPr>
                  </w:pPr>
                  <w:r>
                    <w:rPr>
                      <w:rFonts w:hint="eastAsia"/>
                      <w:b/>
                      <w:bCs/>
                      <w:color w:val="auto"/>
                      <w:sz w:val="21"/>
                      <w:szCs w:val="21"/>
                      <w:highlight w:val="none"/>
                      <w:lang w:val="en-US" w:eastAsia="zh-CN"/>
                    </w:rPr>
                    <w:t>序号</w:t>
                  </w:r>
                </w:p>
              </w:tc>
              <w:tc>
                <w:tcPr>
                  <w:tcW w:w="510" w:type="pct"/>
                  <w:vMerge w:val="restart"/>
                  <w:tcBorders>
                    <w:tl2br w:val="nil"/>
                    <w:tr2bl w:val="nil"/>
                  </w:tcBorders>
                  <w:shd w:val="clear" w:color="auto" w:fill="auto"/>
                  <w:noWrap/>
                  <w:vAlign w:val="center"/>
                </w:tcPr>
                <w:p w14:paraId="3EF964FD">
                  <w:pPr>
                    <w:pStyle w:val="41"/>
                    <w:bidi w:val="0"/>
                    <w:rPr>
                      <w:rFonts w:hint="eastAsia"/>
                      <w:b/>
                      <w:bCs/>
                      <w:color w:val="auto"/>
                      <w:sz w:val="21"/>
                      <w:szCs w:val="21"/>
                      <w:highlight w:val="none"/>
                    </w:rPr>
                  </w:pPr>
                  <w:r>
                    <w:rPr>
                      <w:rFonts w:hint="eastAsia"/>
                      <w:b/>
                      <w:bCs/>
                      <w:color w:val="auto"/>
                      <w:sz w:val="21"/>
                      <w:szCs w:val="21"/>
                      <w:highlight w:val="none"/>
                      <w:lang w:val="en-US" w:eastAsia="zh-CN"/>
                    </w:rPr>
                    <w:t>声源名称</w:t>
                  </w:r>
                </w:p>
              </w:tc>
              <w:tc>
                <w:tcPr>
                  <w:tcW w:w="1667" w:type="pct"/>
                  <w:gridSpan w:val="3"/>
                  <w:tcBorders>
                    <w:tl2br w:val="nil"/>
                    <w:tr2bl w:val="nil"/>
                  </w:tcBorders>
                  <w:shd w:val="clear" w:color="auto" w:fill="auto"/>
                  <w:noWrap/>
                  <w:vAlign w:val="center"/>
                </w:tcPr>
                <w:p w14:paraId="0B0E2C9C">
                  <w:pPr>
                    <w:pStyle w:val="41"/>
                    <w:bidi w:val="0"/>
                    <w:rPr>
                      <w:rFonts w:hint="eastAsia"/>
                      <w:b/>
                      <w:bCs/>
                      <w:color w:val="auto"/>
                      <w:sz w:val="21"/>
                      <w:szCs w:val="21"/>
                      <w:highlight w:val="none"/>
                    </w:rPr>
                  </w:pPr>
                  <w:r>
                    <w:rPr>
                      <w:rFonts w:hint="eastAsia"/>
                      <w:b/>
                      <w:bCs/>
                      <w:color w:val="auto"/>
                      <w:sz w:val="21"/>
                      <w:szCs w:val="21"/>
                      <w:highlight w:val="none"/>
                      <w:lang w:val="en-US" w:eastAsia="zh-CN"/>
                    </w:rPr>
                    <w:t>空间相对位置/m</w:t>
                  </w:r>
                </w:p>
              </w:tc>
              <w:tc>
                <w:tcPr>
                  <w:tcW w:w="756" w:type="pct"/>
                  <w:vMerge w:val="restart"/>
                  <w:tcBorders>
                    <w:tl2br w:val="nil"/>
                    <w:tr2bl w:val="nil"/>
                  </w:tcBorders>
                  <w:shd w:val="clear" w:color="auto" w:fill="auto"/>
                  <w:vAlign w:val="center"/>
                </w:tcPr>
                <w:p w14:paraId="45443CFF">
                  <w:pPr>
                    <w:pStyle w:val="41"/>
                    <w:bidi w:val="0"/>
                    <w:rPr>
                      <w:rFonts w:hint="default"/>
                      <w:b/>
                      <w:bCs/>
                      <w:color w:val="auto"/>
                      <w:sz w:val="21"/>
                      <w:szCs w:val="21"/>
                      <w:highlight w:val="none"/>
                      <w:lang w:val="en-US"/>
                    </w:rPr>
                  </w:pPr>
                  <w:r>
                    <w:rPr>
                      <w:rFonts w:hint="eastAsia"/>
                      <w:b/>
                      <w:bCs/>
                      <w:color w:val="auto"/>
                      <w:sz w:val="21"/>
                      <w:szCs w:val="21"/>
                      <w:highlight w:val="none"/>
                      <w:lang w:val="en-US" w:eastAsia="zh-CN"/>
                    </w:rPr>
                    <w:t>声功率级/dB(A)</w:t>
                  </w:r>
                </w:p>
              </w:tc>
              <w:tc>
                <w:tcPr>
                  <w:tcW w:w="924" w:type="pct"/>
                  <w:vMerge w:val="restart"/>
                  <w:tcBorders>
                    <w:tl2br w:val="nil"/>
                    <w:tr2bl w:val="nil"/>
                  </w:tcBorders>
                  <w:shd w:val="clear" w:color="auto" w:fill="auto"/>
                  <w:noWrap/>
                  <w:vAlign w:val="center"/>
                </w:tcPr>
                <w:p w14:paraId="26571B46">
                  <w:pPr>
                    <w:pStyle w:val="41"/>
                    <w:bidi w:val="0"/>
                    <w:rPr>
                      <w:rFonts w:hint="eastAsia"/>
                      <w:b/>
                      <w:bCs/>
                      <w:color w:val="auto"/>
                      <w:sz w:val="21"/>
                      <w:szCs w:val="21"/>
                      <w:highlight w:val="none"/>
                    </w:rPr>
                  </w:pPr>
                  <w:r>
                    <w:rPr>
                      <w:rFonts w:hint="eastAsia"/>
                      <w:b/>
                      <w:bCs/>
                      <w:color w:val="auto"/>
                      <w:sz w:val="21"/>
                      <w:szCs w:val="21"/>
                      <w:highlight w:val="none"/>
                      <w:lang w:val="en-US" w:eastAsia="zh-CN"/>
                    </w:rPr>
                    <w:t>声源控制措施</w:t>
                  </w:r>
                </w:p>
              </w:tc>
              <w:tc>
                <w:tcPr>
                  <w:tcW w:w="822" w:type="pct"/>
                  <w:vMerge w:val="restart"/>
                  <w:tcBorders>
                    <w:tl2br w:val="nil"/>
                    <w:tr2bl w:val="nil"/>
                  </w:tcBorders>
                  <w:shd w:val="clear" w:color="auto" w:fill="auto"/>
                  <w:noWrap/>
                  <w:vAlign w:val="center"/>
                </w:tcPr>
                <w:p w14:paraId="48CFB453">
                  <w:pPr>
                    <w:pStyle w:val="41"/>
                    <w:bidi w:val="0"/>
                    <w:rPr>
                      <w:rFonts w:hint="eastAsia"/>
                      <w:b/>
                      <w:bCs/>
                      <w:color w:val="auto"/>
                      <w:sz w:val="21"/>
                      <w:szCs w:val="21"/>
                      <w:highlight w:val="none"/>
                    </w:rPr>
                  </w:pPr>
                  <w:r>
                    <w:rPr>
                      <w:rFonts w:hint="eastAsia"/>
                      <w:b/>
                      <w:bCs/>
                      <w:color w:val="auto"/>
                      <w:sz w:val="21"/>
                      <w:szCs w:val="21"/>
                      <w:highlight w:val="none"/>
                      <w:lang w:val="en-US" w:eastAsia="zh-CN"/>
                    </w:rPr>
                    <w:t>运行时段</w:t>
                  </w:r>
                </w:p>
              </w:tc>
            </w:tr>
            <w:tr w14:paraId="631B0BE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319" w:type="pct"/>
                  <w:vMerge w:val="continue"/>
                  <w:tcBorders>
                    <w:tl2br w:val="nil"/>
                    <w:tr2bl w:val="nil"/>
                  </w:tcBorders>
                  <w:shd w:val="clear" w:color="auto" w:fill="auto"/>
                  <w:noWrap/>
                  <w:vAlign w:val="center"/>
                </w:tcPr>
                <w:p w14:paraId="08407804">
                  <w:pPr>
                    <w:pStyle w:val="41"/>
                    <w:bidi w:val="0"/>
                    <w:rPr>
                      <w:rFonts w:hint="eastAsia"/>
                      <w:color w:val="auto"/>
                      <w:sz w:val="21"/>
                      <w:szCs w:val="21"/>
                      <w:highlight w:val="none"/>
                    </w:rPr>
                  </w:pPr>
                </w:p>
              </w:tc>
              <w:tc>
                <w:tcPr>
                  <w:tcW w:w="510" w:type="pct"/>
                  <w:vMerge w:val="continue"/>
                  <w:tcBorders>
                    <w:tl2br w:val="nil"/>
                    <w:tr2bl w:val="nil"/>
                  </w:tcBorders>
                  <w:shd w:val="clear" w:color="auto" w:fill="auto"/>
                  <w:noWrap/>
                  <w:vAlign w:val="center"/>
                </w:tcPr>
                <w:p w14:paraId="39CD9CEE">
                  <w:pPr>
                    <w:pStyle w:val="41"/>
                    <w:bidi w:val="0"/>
                    <w:rPr>
                      <w:rFonts w:hint="eastAsia"/>
                      <w:color w:val="auto"/>
                      <w:sz w:val="21"/>
                      <w:szCs w:val="21"/>
                      <w:highlight w:val="none"/>
                    </w:rPr>
                  </w:pPr>
                </w:p>
              </w:tc>
              <w:tc>
                <w:tcPr>
                  <w:tcW w:w="553" w:type="pct"/>
                  <w:tcBorders>
                    <w:tl2br w:val="nil"/>
                    <w:tr2bl w:val="nil"/>
                  </w:tcBorders>
                  <w:shd w:val="clear" w:color="auto" w:fill="auto"/>
                  <w:noWrap/>
                  <w:vAlign w:val="center"/>
                </w:tcPr>
                <w:p w14:paraId="2B63FD05">
                  <w:pPr>
                    <w:pStyle w:val="41"/>
                    <w:bidi w:val="0"/>
                    <w:rPr>
                      <w:rFonts w:hint="eastAsia"/>
                      <w:b/>
                      <w:bCs/>
                      <w:color w:val="auto"/>
                      <w:sz w:val="21"/>
                      <w:szCs w:val="21"/>
                      <w:highlight w:val="none"/>
                    </w:rPr>
                  </w:pPr>
                  <w:r>
                    <w:rPr>
                      <w:rFonts w:hint="eastAsia"/>
                      <w:b/>
                      <w:bCs/>
                      <w:color w:val="auto"/>
                      <w:sz w:val="21"/>
                      <w:szCs w:val="21"/>
                      <w:highlight w:val="none"/>
                      <w:lang w:val="en-US" w:eastAsia="zh-CN"/>
                    </w:rPr>
                    <w:t>X</w:t>
                  </w:r>
                </w:p>
              </w:tc>
              <w:tc>
                <w:tcPr>
                  <w:tcW w:w="636" w:type="pct"/>
                  <w:tcBorders>
                    <w:tl2br w:val="nil"/>
                    <w:tr2bl w:val="nil"/>
                  </w:tcBorders>
                  <w:shd w:val="clear" w:color="auto" w:fill="auto"/>
                  <w:noWrap/>
                  <w:vAlign w:val="center"/>
                </w:tcPr>
                <w:p w14:paraId="42630905">
                  <w:pPr>
                    <w:pStyle w:val="41"/>
                    <w:bidi w:val="0"/>
                    <w:rPr>
                      <w:rFonts w:hint="eastAsia"/>
                      <w:b/>
                      <w:bCs/>
                      <w:color w:val="auto"/>
                      <w:sz w:val="21"/>
                      <w:szCs w:val="21"/>
                      <w:highlight w:val="none"/>
                    </w:rPr>
                  </w:pPr>
                  <w:r>
                    <w:rPr>
                      <w:rFonts w:hint="eastAsia"/>
                      <w:b/>
                      <w:bCs/>
                      <w:color w:val="auto"/>
                      <w:sz w:val="21"/>
                      <w:szCs w:val="21"/>
                      <w:highlight w:val="none"/>
                      <w:lang w:val="en-US" w:eastAsia="zh-CN"/>
                    </w:rPr>
                    <w:t>Y</w:t>
                  </w:r>
                </w:p>
              </w:tc>
              <w:tc>
                <w:tcPr>
                  <w:tcW w:w="477" w:type="pct"/>
                  <w:tcBorders>
                    <w:tl2br w:val="nil"/>
                    <w:tr2bl w:val="nil"/>
                  </w:tcBorders>
                  <w:shd w:val="clear" w:color="auto" w:fill="auto"/>
                  <w:noWrap/>
                  <w:vAlign w:val="center"/>
                </w:tcPr>
                <w:p w14:paraId="258B0536">
                  <w:pPr>
                    <w:pStyle w:val="41"/>
                    <w:bidi w:val="0"/>
                    <w:rPr>
                      <w:rFonts w:hint="eastAsia"/>
                      <w:b/>
                      <w:bCs/>
                      <w:color w:val="auto"/>
                      <w:sz w:val="21"/>
                      <w:szCs w:val="21"/>
                      <w:highlight w:val="none"/>
                    </w:rPr>
                  </w:pPr>
                  <w:r>
                    <w:rPr>
                      <w:rFonts w:hint="eastAsia"/>
                      <w:b/>
                      <w:bCs/>
                      <w:color w:val="auto"/>
                      <w:sz w:val="21"/>
                      <w:szCs w:val="21"/>
                      <w:highlight w:val="none"/>
                      <w:lang w:val="en-US" w:eastAsia="zh-CN"/>
                    </w:rPr>
                    <w:t>Z</w:t>
                  </w:r>
                </w:p>
              </w:tc>
              <w:tc>
                <w:tcPr>
                  <w:tcW w:w="756" w:type="pct"/>
                  <w:vMerge w:val="continue"/>
                  <w:tcBorders>
                    <w:tl2br w:val="nil"/>
                    <w:tr2bl w:val="nil"/>
                  </w:tcBorders>
                  <w:shd w:val="clear" w:color="auto" w:fill="auto"/>
                  <w:vAlign w:val="center"/>
                </w:tcPr>
                <w:p w14:paraId="6D8C9936">
                  <w:pPr>
                    <w:pStyle w:val="41"/>
                    <w:bidi w:val="0"/>
                    <w:rPr>
                      <w:rFonts w:hint="eastAsia"/>
                      <w:color w:val="auto"/>
                      <w:sz w:val="21"/>
                      <w:szCs w:val="21"/>
                      <w:highlight w:val="none"/>
                    </w:rPr>
                  </w:pPr>
                </w:p>
              </w:tc>
              <w:tc>
                <w:tcPr>
                  <w:tcW w:w="924" w:type="pct"/>
                  <w:vMerge w:val="continue"/>
                  <w:tcBorders>
                    <w:tl2br w:val="nil"/>
                    <w:tr2bl w:val="nil"/>
                  </w:tcBorders>
                  <w:shd w:val="clear" w:color="auto" w:fill="auto"/>
                  <w:noWrap/>
                  <w:vAlign w:val="center"/>
                </w:tcPr>
                <w:p w14:paraId="67B3E8E8">
                  <w:pPr>
                    <w:pStyle w:val="41"/>
                    <w:bidi w:val="0"/>
                    <w:rPr>
                      <w:rFonts w:hint="eastAsia"/>
                      <w:color w:val="auto"/>
                      <w:sz w:val="21"/>
                      <w:szCs w:val="21"/>
                      <w:highlight w:val="none"/>
                    </w:rPr>
                  </w:pPr>
                </w:p>
              </w:tc>
              <w:tc>
                <w:tcPr>
                  <w:tcW w:w="822" w:type="pct"/>
                  <w:vMerge w:val="continue"/>
                  <w:tcBorders>
                    <w:tl2br w:val="nil"/>
                    <w:tr2bl w:val="nil"/>
                  </w:tcBorders>
                  <w:shd w:val="clear" w:color="auto" w:fill="auto"/>
                  <w:noWrap/>
                  <w:vAlign w:val="center"/>
                </w:tcPr>
                <w:p w14:paraId="3FA7CD33">
                  <w:pPr>
                    <w:pStyle w:val="41"/>
                    <w:bidi w:val="0"/>
                    <w:rPr>
                      <w:rFonts w:hint="eastAsia"/>
                      <w:color w:val="auto"/>
                      <w:sz w:val="21"/>
                      <w:szCs w:val="21"/>
                      <w:highlight w:val="none"/>
                    </w:rPr>
                  </w:pPr>
                </w:p>
              </w:tc>
            </w:tr>
            <w:tr w14:paraId="615C1A9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319" w:type="pct"/>
                  <w:tcBorders>
                    <w:tl2br w:val="nil"/>
                    <w:tr2bl w:val="nil"/>
                  </w:tcBorders>
                  <w:shd w:val="clear" w:color="auto" w:fill="auto"/>
                  <w:noWrap/>
                  <w:vAlign w:val="center"/>
                </w:tcPr>
                <w:p w14:paraId="73F88648">
                  <w:pPr>
                    <w:pStyle w:val="41"/>
                    <w:bidi w:val="0"/>
                    <w:rPr>
                      <w:rFonts w:hint="eastAsia"/>
                      <w:color w:val="auto"/>
                      <w:sz w:val="21"/>
                      <w:szCs w:val="21"/>
                      <w:highlight w:val="none"/>
                    </w:rPr>
                  </w:pPr>
                  <w:r>
                    <w:rPr>
                      <w:rFonts w:hint="eastAsia"/>
                      <w:color w:val="auto"/>
                      <w:sz w:val="21"/>
                      <w:szCs w:val="21"/>
                      <w:highlight w:val="none"/>
                      <w:lang w:val="en-US" w:eastAsia="zh-CN"/>
                    </w:rPr>
                    <w:t>1</w:t>
                  </w:r>
                </w:p>
              </w:tc>
              <w:tc>
                <w:tcPr>
                  <w:tcW w:w="510" w:type="pct"/>
                  <w:tcBorders>
                    <w:tl2br w:val="nil"/>
                    <w:tr2bl w:val="nil"/>
                  </w:tcBorders>
                  <w:shd w:val="clear" w:color="auto" w:fill="auto"/>
                  <w:noWrap/>
                  <w:vAlign w:val="center"/>
                </w:tcPr>
                <w:p w14:paraId="580C7E7B">
                  <w:pPr>
                    <w:pStyle w:val="41"/>
                    <w:bidi w:val="0"/>
                    <w:rPr>
                      <w:rFonts w:hint="eastAsia"/>
                      <w:color w:val="auto"/>
                      <w:sz w:val="21"/>
                      <w:szCs w:val="21"/>
                      <w:highlight w:val="none"/>
                    </w:rPr>
                  </w:pPr>
                  <w:r>
                    <w:rPr>
                      <w:rFonts w:hint="eastAsia"/>
                      <w:color w:val="auto"/>
                      <w:sz w:val="21"/>
                      <w:szCs w:val="21"/>
                      <w:highlight w:val="none"/>
                      <w:lang w:val="en-US" w:eastAsia="zh-CN"/>
                    </w:rPr>
                    <w:t>风机</w:t>
                  </w:r>
                </w:p>
              </w:tc>
              <w:tc>
                <w:tcPr>
                  <w:tcW w:w="553" w:type="pct"/>
                  <w:tcBorders>
                    <w:tl2br w:val="nil"/>
                    <w:tr2bl w:val="nil"/>
                  </w:tcBorders>
                  <w:shd w:val="clear" w:color="auto" w:fill="auto"/>
                  <w:noWrap/>
                  <w:vAlign w:val="center"/>
                </w:tcPr>
                <w:p w14:paraId="4156AE81">
                  <w:pPr>
                    <w:pStyle w:val="41"/>
                    <w:bidi w:val="0"/>
                    <w:rPr>
                      <w:rFonts w:hint="default"/>
                      <w:color w:val="auto"/>
                      <w:sz w:val="21"/>
                      <w:szCs w:val="21"/>
                      <w:highlight w:val="none"/>
                      <w:lang w:val="en-US"/>
                    </w:rPr>
                  </w:pPr>
                  <w:r>
                    <w:rPr>
                      <w:rFonts w:hint="eastAsia"/>
                      <w:color w:val="auto"/>
                      <w:sz w:val="21"/>
                      <w:szCs w:val="21"/>
                      <w:highlight w:val="none"/>
                      <w:lang w:val="en-US" w:eastAsia="zh-CN"/>
                    </w:rPr>
                    <w:t>-99.04</w:t>
                  </w:r>
                </w:p>
              </w:tc>
              <w:tc>
                <w:tcPr>
                  <w:tcW w:w="636" w:type="pct"/>
                  <w:tcBorders>
                    <w:tl2br w:val="nil"/>
                    <w:tr2bl w:val="nil"/>
                  </w:tcBorders>
                  <w:shd w:val="clear" w:color="auto" w:fill="auto"/>
                  <w:noWrap/>
                  <w:vAlign w:val="center"/>
                </w:tcPr>
                <w:p w14:paraId="7A850356">
                  <w:pPr>
                    <w:pStyle w:val="41"/>
                    <w:bidi w:val="0"/>
                    <w:rPr>
                      <w:rFonts w:hint="default"/>
                      <w:color w:val="auto"/>
                      <w:sz w:val="21"/>
                      <w:szCs w:val="21"/>
                      <w:highlight w:val="none"/>
                      <w:lang w:val="en-US"/>
                    </w:rPr>
                  </w:pPr>
                  <w:r>
                    <w:rPr>
                      <w:rFonts w:hint="eastAsia"/>
                      <w:color w:val="auto"/>
                      <w:sz w:val="21"/>
                      <w:szCs w:val="21"/>
                      <w:highlight w:val="none"/>
                      <w:lang w:val="en-US" w:eastAsia="zh-CN"/>
                    </w:rPr>
                    <w:t>-51.77</w:t>
                  </w:r>
                </w:p>
              </w:tc>
              <w:tc>
                <w:tcPr>
                  <w:tcW w:w="477" w:type="pct"/>
                  <w:tcBorders>
                    <w:tl2br w:val="nil"/>
                    <w:tr2bl w:val="nil"/>
                  </w:tcBorders>
                  <w:shd w:val="clear" w:color="auto" w:fill="auto"/>
                  <w:noWrap/>
                  <w:vAlign w:val="center"/>
                </w:tcPr>
                <w:p w14:paraId="29416640">
                  <w:pPr>
                    <w:pStyle w:val="41"/>
                    <w:bidi w:val="0"/>
                    <w:rPr>
                      <w:rFonts w:hint="default"/>
                      <w:color w:val="auto"/>
                      <w:sz w:val="21"/>
                      <w:szCs w:val="21"/>
                      <w:highlight w:val="none"/>
                      <w:lang w:val="en-US"/>
                    </w:rPr>
                  </w:pPr>
                  <w:r>
                    <w:rPr>
                      <w:rFonts w:hint="eastAsia"/>
                      <w:color w:val="auto"/>
                      <w:sz w:val="21"/>
                      <w:szCs w:val="21"/>
                      <w:highlight w:val="none"/>
                      <w:lang w:val="en-US" w:eastAsia="zh-CN"/>
                    </w:rPr>
                    <w:t>70</w:t>
                  </w:r>
                </w:p>
              </w:tc>
              <w:tc>
                <w:tcPr>
                  <w:tcW w:w="756" w:type="pct"/>
                  <w:tcBorders>
                    <w:tl2br w:val="nil"/>
                    <w:tr2bl w:val="nil"/>
                  </w:tcBorders>
                  <w:shd w:val="clear" w:color="auto" w:fill="auto"/>
                  <w:noWrap/>
                  <w:vAlign w:val="center"/>
                </w:tcPr>
                <w:p w14:paraId="34E3FAB1">
                  <w:pPr>
                    <w:pStyle w:val="41"/>
                    <w:bidi w:val="0"/>
                    <w:rPr>
                      <w:rFonts w:hint="eastAsia"/>
                      <w:color w:val="auto"/>
                      <w:sz w:val="21"/>
                      <w:szCs w:val="21"/>
                      <w:highlight w:val="none"/>
                    </w:rPr>
                  </w:pPr>
                  <w:r>
                    <w:rPr>
                      <w:rFonts w:hint="eastAsia"/>
                      <w:color w:val="auto"/>
                      <w:sz w:val="21"/>
                      <w:szCs w:val="21"/>
                      <w:highlight w:val="none"/>
                      <w:lang w:val="en-US" w:eastAsia="zh-CN"/>
                    </w:rPr>
                    <w:t>80</w:t>
                  </w:r>
                </w:p>
              </w:tc>
              <w:tc>
                <w:tcPr>
                  <w:tcW w:w="924" w:type="pct"/>
                  <w:vMerge w:val="restart"/>
                  <w:tcBorders>
                    <w:tl2br w:val="nil"/>
                    <w:tr2bl w:val="nil"/>
                  </w:tcBorders>
                  <w:shd w:val="clear" w:color="auto" w:fill="auto"/>
                  <w:noWrap/>
                  <w:vAlign w:val="center"/>
                </w:tcPr>
                <w:p w14:paraId="30DF3289">
                  <w:pPr>
                    <w:pStyle w:val="41"/>
                    <w:bidi w:val="0"/>
                    <w:rPr>
                      <w:rFonts w:hint="default"/>
                      <w:color w:val="auto"/>
                      <w:sz w:val="21"/>
                      <w:szCs w:val="21"/>
                      <w:highlight w:val="none"/>
                      <w:lang w:val="en-US"/>
                    </w:rPr>
                  </w:pPr>
                  <w:r>
                    <w:rPr>
                      <w:rFonts w:hint="eastAsia"/>
                      <w:color w:val="auto"/>
                      <w:sz w:val="21"/>
                      <w:szCs w:val="21"/>
                      <w:highlight w:val="none"/>
                    </w:rPr>
                    <w:t>选用低噪声设备，</w:t>
                  </w:r>
                  <w:r>
                    <w:rPr>
                      <w:rFonts w:hint="eastAsia" w:eastAsia="宋体"/>
                      <w:color w:val="auto"/>
                      <w:sz w:val="21"/>
                      <w:szCs w:val="21"/>
                      <w:highlight w:val="none"/>
                      <w:lang w:val="en-US" w:eastAsia="zh-CN"/>
                    </w:rPr>
                    <w:t>使用</w:t>
                  </w:r>
                  <w:r>
                    <w:rPr>
                      <w:rFonts w:hint="eastAsia" w:ascii="Times New Roman" w:eastAsia="宋体"/>
                      <w:color w:val="auto"/>
                      <w:sz w:val="21"/>
                      <w:szCs w:val="21"/>
                      <w:highlight w:val="none"/>
                      <w:lang w:val="en-US" w:eastAsia="zh-CN"/>
                    </w:rPr>
                    <w:t>减震支垫</w:t>
                  </w:r>
                </w:p>
              </w:tc>
              <w:tc>
                <w:tcPr>
                  <w:tcW w:w="822" w:type="pct"/>
                  <w:tcBorders>
                    <w:tl2br w:val="nil"/>
                    <w:tr2bl w:val="nil"/>
                  </w:tcBorders>
                  <w:shd w:val="clear" w:color="auto" w:fill="auto"/>
                  <w:noWrap/>
                  <w:vAlign w:val="center"/>
                </w:tcPr>
                <w:p w14:paraId="2B34671E">
                  <w:pPr>
                    <w:pStyle w:val="41"/>
                    <w:bidi w:val="0"/>
                    <w:rPr>
                      <w:rFonts w:hint="eastAsia"/>
                      <w:color w:val="auto"/>
                      <w:sz w:val="21"/>
                      <w:szCs w:val="21"/>
                      <w:highlight w:val="none"/>
                    </w:rPr>
                  </w:pPr>
                  <w:r>
                    <w:rPr>
                      <w:rFonts w:hint="eastAsia"/>
                      <w:color w:val="auto"/>
                      <w:sz w:val="21"/>
                      <w:szCs w:val="21"/>
                      <w:highlight w:val="none"/>
                      <w:lang w:val="en-US" w:eastAsia="zh-CN"/>
                    </w:rPr>
                    <w:t>昼间</w:t>
                  </w:r>
                </w:p>
              </w:tc>
            </w:tr>
            <w:tr w14:paraId="716C988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319" w:type="pct"/>
                  <w:tcBorders>
                    <w:tl2br w:val="nil"/>
                    <w:tr2bl w:val="nil"/>
                  </w:tcBorders>
                  <w:shd w:val="clear" w:color="auto" w:fill="auto"/>
                  <w:noWrap/>
                  <w:vAlign w:val="center"/>
                </w:tcPr>
                <w:p w14:paraId="6790B45A">
                  <w:pPr>
                    <w:pStyle w:val="41"/>
                    <w:bidi w:val="0"/>
                    <w:rPr>
                      <w:rFonts w:hint="eastAsia"/>
                      <w:color w:val="auto"/>
                      <w:sz w:val="21"/>
                      <w:szCs w:val="21"/>
                      <w:highlight w:val="none"/>
                    </w:rPr>
                  </w:pPr>
                  <w:r>
                    <w:rPr>
                      <w:rFonts w:hint="eastAsia"/>
                      <w:color w:val="auto"/>
                      <w:sz w:val="21"/>
                      <w:szCs w:val="21"/>
                      <w:highlight w:val="none"/>
                      <w:lang w:val="en-US" w:eastAsia="zh-CN"/>
                    </w:rPr>
                    <w:t>2</w:t>
                  </w:r>
                </w:p>
              </w:tc>
              <w:tc>
                <w:tcPr>
                  <w:tcW w:w="510" w:type="pct"/>
                  <w:tcBorders>
                    <w:tl2br w:val="nil"/>
                    <w:tr2bl w:val="nil"/>
                  </w:tcBorders>
                  <w:shd w:val="clear" w:color="auto" w:fill="auto"/>
                  <w:noWrap/>
                  <w:vAlign w:val="center"/>
                </w:tcPr>
                <w:p w14:paraId="4771BA41">
                  <w:pPr>
                    <w:pStyle w:val="41"/>
                    <w:bidi w:val="0"/>
                    <w:rPr>
                      <w:rFonts w:hint="eastAsia"/>
                      <w:color w:val="auto"/>
                      <w:sz w:val="21"/>
                      <w:szCs w:val="21"/>
                      <w:highlight w:val="none"/>
                    </w:rPr>
                  </w:pPr>
                  <w:r>
                    <w:rPr>
                      <w:rFonts w:hint="eastAsia"/>
                      <w:color w:val="auto"/>
                      <w:sz w:val="21"/>
                      <w:szCs w:val="21"/>
                      <w:highlight w:val="none"/>
                      <w:lang w:val="en-US" w:eastAsia="zh-CN"/>
                    </w:rPr>
                    <w:t>风机</w:t>
                  </w:r>
                </w:p>
              </w:tc>
              <w:tc>
                <w:tcPr>
                  <w:tcW w:w="553" w:type="pct"/>
                  <w:tcBorders>
                    <w:tl2br w:val="nil"/>
                    <w:tr2bl w:val="nil"/>
                  </w:tcBorders>
                  <w:shd w:val="clear" w:color="auto" w:fill="auto"/>
                  <w:noWrap/>
                  <w:vAlign w:val="center"/>
                </w:tcPr>
                <w:p w14:paraId="0367F720">
                  <w:pPr>
                    <w:pStyle w:val="41"/>
                    <w:bidi w:val="0"/>
                    <w:rPr>
                      <w:rFonts w:hint="default" w:ascii="Times New Roman" w:hAnsi="Times New Roman" w:eastAsia="Times New Roman" w:cs="Times New Roman"/>
                      <w:color w:val="auto"/>
                      <w:kern w:val="0"/>
                      <w:sz w:val="21"/>
                      <w:szCs w:val="21"/>
                      <w:highlight w:val="none"/>
                      <w:lang w:val="en-US" w:eastAsia="zh-CN" w:bidi="ar-SA"/>
                    </w:rPr>
                  </w:pPr>
                  <w:r>
                    <w:rPr>
                      <w:rFonts w:hint="eastAsia"/>
                      <w:color w:val="auto"/>
                      <w:sz w:val="21"/>
                      <w:szCs w:val="21"/>
                      <w:highlight w:val="none"/>
                      <w:lang w:val="en-US" w:eastAsia="zh-CN"/>
                    </w:rPr>
                    <w:t>-85.35</w:t>
                  </w:r>
                </w:p>
              </w:tc>
              <w:tc>
                <w:tcPr>
                  <w:tcW w:w="636" w:type="pct"/>
                  <w:tcBorders>
                    <w:tl2br w:val="nil"/>
                    <w:tr2bl w:val="nil"/>
                  </w:tcBorders>
                  <w:shd w:val="clear" w:color="auto" w:fill="auto"/>
                  <w:noWrap/>
                  <w:vAlign w:val="center"/>
                </w:tcPr>
                <w:p w14:paraId="2FCB7C1C">
                  <w:pPr>
                    <w:pStyle w:val="41"/>
                    <w:bidi w:val="0"/>
                    <w:rPr>
                      <w:rFonts w:hint="default" w:ascii="Times New Roman" w:hAnsi="Times New Roman" w:eastAsia="Times New Roman" w:cs="Times New Roman"/>
                      <w:color w:val="auto"/>
                      <w:kern w:val="0"/>
                      <w:sz w:val="21"/>
                      <w:szCs w:val="21"/>
                      <w:highlight w:val="none"/>
                      <w:lang w:val="en-US" w:eastAsia="zh-CN" w:bidi="ar-SA"/>
                    </w:rPr>
                  </w:pPr>
                  <w:r>
                    <w:rPr>
                      <w:rFonts w:hint="eastAsia"/>
                      <w:color w:val="auto"/>
                      <w:sz w:val="21"/>
                      <w:szCs w:val="21"/>
                      <w:highlight w:val="none"/>
                      <w:lang w:val="en-US" w:eastAsia="zh-CN"/>
                    </w:rPr>
                    <w:t>-58.79</w:t>
                  </w:r>
                </w:p>
              </w:tc>
              <w:tc>
                <w:tcPr>
                  <w:tcW w:w="477" w:type="pct"/>
                  <w:tcBorders>
                    <w:tl2br w:val="nil"/>
                    <w:tr2bl w:val="nil"/>
                  </w:tcBorders>
                  <w:shd w:val="clear" w:color="auto" w:fill="auto"/>
                  <w:noWrap/>
                  <w:vAlign w:val="center"/>
                </w:tcPr>
                <w:p w14:paraId="5DC39773">
                  <w:pPr>
                    <w:pStyle w:val="41"/>
                    <w:bidi w:val="0"/>
                    <w:rPr>
                      <w:rFonts w:hint="default" w:ascii="Times New Roman" w:hAnsi="Times New Roman" w:eastAsia="Times New Roman" w:cs="Times New Roman"/>
                      <w:color w:val="auto"/>
                      <w:kern w:val="0"/>
                      <w:sz w:val="21"/>
                      <w:szCs w:val="21"/>
                      <w:highlight w:val="none"/>
                      <w:lang w:val="en-US" w:eastAsia="zh-CN" w:bidi="ar-SA"/>
                    </w:rPr>
                  </w:pPr>
                  <w:r>
                    <w:rPr>
                      <w:rFonts w:hint="eastAsia"/>
                      <w:color w:val="auto"/>
                      <w:sz w:val="21"/>
                      <w:szCs w:val="21"/>
                      <w:highlight w:val="none"/>
                      <w:lang w:val="en-US" w:eastAsia="zh-CN"/>
                    </w:rPr>
                    <w:t>70</w:t>
                  </w:r>
                </w:p>
              </w:tc>
              <w:tc>
                <w:tcPr>
                  <w:tcW w:w="756" w:type="pct"/>
                  <w:tcBorders>
                    <w:tl2br w:val="nil"/>
                    <w:tr2bl w:val="nil"/>
                  </w:tcBorders>
                  <w:shd w:val="clear" w:color="auto" w:fill="auto"/>
                  <w:noWrap/>
                  <w:vAlign w:val="center"/>
                </w:tcPr>
                <w:p w14:paraId="7999FD1E">
                  <w:pPr>
                    <w:pStyle w:val="41"/>
                    <w:bidi w:val="0"/>
                    <w:rPr>
                      <w:rFonts w:hint="eastAsia"/>
                      <w:color w:val="auto"/>
                      <w:sz w:val="21"/>
                      <w:szCs w:val="21"/>
                      <w:highlight w:val="none"/>
                    </w:rPr>
                  </w:pPr>
                  <w:r>
                    <w:rPr>
                      <w:rFonts w:hint="eastAsia"/>
                      <w:color w:val="auto"/>
                      <w:sz w:val="21"/>
                      <w:szCs w:val="21"/>
                      <w:highlight w:val="none"/>
                      <w:lang w:val="en-US" w:eastAsia="zh-CN"/>
                    </w:rPr>
                    <w:t>80</w:t>
                  </w:r>
                </w:p>
              </w:tc>
              <w:tc>
                <w:tcPr>
                  <w:tcW w:w="924" w:type="pct"/>
                  <w:vMerge w:val="continue"/>
                  <w:tcBorders>
                    <w:tl2br w:val="nil"/>
                    <w:tr2bl w:val="nil"/>
                  </w:tcBorders>
                  <w:shd w:val="clear" w:color="auto" w:fill="auto"/>
                  <w:noWrap/>
                  <w:vAlign w:val="center"/>
                </w:tcPr>
                <w:p w14:paraId="7DFA4BA5">
                  <w:pPr>
                    <w:pStyle w:val="41"/>
                    <w:bidi w:val="0"/>
                    <w:rPr>
                      <w:rFonts w:hint="eastAsia"/>
                      <w:color w:val="auto"/>
                      <w:sz w:val="21"/>
                      <w:szCs w:val="21"/>
                      <w:highlight w:val="none"/>
                    </w:rPr>
                  </w:pPr>
                </w:p>
              </w:tc>
              <w:tc>
                <w:tcPr>
                  <w:tcW w:w="822" w:type="pct"/>
                  <w:tcBorders>
                    <w:tl2br w:val="nil"/>
                    <w:tr2bl w:val="nil"/>
                  </w:tcBorders>
                  <w:shd w:val="clear" w:color="auto" w:fill="auto"/>
                  <w:noWrap/>
                  <w:vAlign w:val="center"/>
                </w:tcPr>
                <w:p w14:paraId="60E49369">
                  <w:pPr>
                    <w:pStyle w:val="41"/>
                    <w:bidi w:val="0"/>
                    <w:rPr>
                      <w:rFonts w:hint="eastAsia"/>
                      <w:color w:val="auto"/>
                      <w:sz w:val="21"/>
                      <w:szCs w:val="21"/>
                      <w:highlight w:val="none"/>
                    </w:rPr>
                  </w:pPr>
                  <w:r>
                    <w:rPr>
                      <w:rFonts w:hint="eastAsia"/>
                      <w:color w:val="auto"/>
                      <w:sz w:val="21"/>
                      <w:szCs w:val="21"/>
                      <w:highlight w:val="none"/>
                      <w:lang w:val="en-US" w:eastAsia="zh-CN"/>
                    </w:rPr>
                    <w:t>昼间</w:t>
                  </w:r>
                </w:p>
              </w:tc>
            </w:tr>
            <w:tr w14:paraId="028A546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319" w:type="pct"/>
                  <w:tcBorders>
                    <w:tl2br w:val="nil"/>
                    <w:tr2bl w:val="nil"/>
                  </w:tcBorders>
                  <w:shd w:val="clear" w:color="auto" w:fill="auto"/>
                  <w:noWrap/>
                  <w:vAlign w:val="center"/>
                </w:tcPr>
                <w:p w14:paraId="7322E2E3">
                  <w:pPr>
                    <w:pStyle w:val="41"/>
                    <w:bidi w:val="0"/>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510" w:type="pct"/>
                  <w:tcBorders>
                    <w:tl2br w:val="nil"/>
                    <w:tr2bl w:val="nil"/>
                  </w:tcBorders>
                  <w:shd w:val="clear" w:color="auto" w:fill="auto"/>
                  <w:noWrap/>
                  <w:vAlign w:val="center"/>
                </w:tcPr>
                <w:p w14:paraId="2EA697D4">
                  <w:pPr>
                    <w:pStyle w:val="41"/>
                    <w:bidi w:val="0"/>
                    <w:rPr>
                      <w:rFonts w:hint="default"/>
                      <w:color w:val="auto"/>
                      <w:sz w:val="21"/>
                      <w:szCs w:val="21"/>
                      <w:highlight w:val="none"/>
                      <w:lang w:val="en-US" w:eastAsia="zh-CN"/>
                    </w:rPr>
                  </w:pPr>
                  <w:r>
                    <w:rPr>
                      <w:rFonts w:hint="eastAsia"/>
                      <w:color w:val="auto"/>
                      <w:sz w:val="21"/>
                      <w:szCs w:val="21"/>
                      <w:highlight w:val="none"/>
                      <w:lang w:val="en-US" w:eastAsia="zh-CN"/>
                    </w:rPr>
                    <w:t>风机</w:t>
                  </w:r>
                </w:p>
              </w:tc>
              <w:tc>
                <w:tcPr>
                  <w:tcW w:w="553" w:type="pct"/>
                  <w:tcBorders>
                    <w:tl2br w:val="nil"/>
                    <w:tr2bl w:val="nil"/>
                  </w:tcBorders>
                  <w:shd w:val="clear" w:color="auto" w:fill="auto"/>
                  <w:noWrap/>
                  <w:vAlign w:val="center"/>
                </w:tcPr>
                <w:p w14:paraId="6731E598">
                  <w:pPr>
                    <w:pStyle w:val="41"/>
                    <w:bidi w:val="0"/>
                    <w:rPr>
                      <w:rFonts w:hint="default"/>
                      <w:color w:val="auto"/>
                      <w:sz w:val="21"/>
                      <w:szCs w:val="21"/>
                      <w:highlight w:val="none"/>
                      <w:lang w:val="en-US" w:eastAsia="zh-CN"/>
                    </w:rPr>
                  </w:pPr>
                  <w:r>
                    <w:rPr>
                      <w:rFonts w:hint="eastAsia"/>
                      <w:color w:val="auto"/>
                      <w:sz w:val="21"/>
                      <w:szCs w:val="21"/>
                      <w:highlight w:val="none"/>
                      <w:lang w:val="en-US" w:eastAsia="zh-CN"/>
                    </w:rPr>
                    <w:t>-70.61</w:t>
                  </w:r>
                </w:p>
              </w:tc>
              <w:tc>
                <w:tcPr>
                  <w:tcW w:w="636" w:type="pct"/>
                  <w:tcBorders>
                    <w:tl2br w:val="nil"/>
                    <w:tr2bl w:val="nil"/>
                  </w:tcBorders>
                  <w:shd w:val="clear" w:color="auto" w:fill="auto"/>
                  <w:noWrap/>
                  <w:vAlign w:val="center"/>
                </w:tcPr>
                <w:p w14:paraId="67B63540">
                  <w:pPr>
                    <w:pStyle w:val="41"/>
                    <w:bidi w:val="0"/>
                    <w:rPr>
                      <w:rFonts w:hint="default"/>
                      <w:color w:val="auto"/>
                      <w:sz w:val="21"/>
                      <w:szCs w:val="21"/>
                      <w:highlight w:val="none"/>
                      <w:lang w:val="en-US" w:eastAsia="zh-CN"/>
                    </w:rPr>
                  </w:pPr>
                  <w:r>
                    <w:rPr>
                      <w:rFonts w:hint="eastAsia"/>
                      <w:color w:val="auto"/>
                      <w:sz w:val="21"/>
                      <w:szCs w:val="21"/>
                      <w:highlight w:val="none"/>
                      <w:lang w:val="en-US" w:eastAsia="zh-CN"/>
                    </w:rPr>
                    <w:t>-66.16</w:t>
                  </w:r>
                </w:p>
              </w:tc>
              <w:tc>
                <w:tcPr>
                  <w:tcW w:w="477" w:type="pct"/>
                  <w:tcBorders>
                    <w:tl2br w:val="nil"/>
                    <w:tr2bl w:val="nil"/>
                  </w:tcBorders>
                  <w:shd w:val="clear" w:color="auto" w:fill="auto"/>
                  <w:noWrap/>
                  <w:vAlign w:val="center"/>
                </w:tcPr>
                <w:p w14:paraId="1856F4BA">
                  <w:pPr>
                    <w:pStyle w:val="41"/>
                    <w:bidi w:val="0"/>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756" w:type="pct"/>
                  <w:tcBorders>
                    <w:tl2br w:val="nil"/>
                    <w:tr2bl w:val="nil"/>
                  </w:tcBorders>
                  <w:shd w:val="clear" w:color="auto" w:fill="auto"/>
                  <w:noWrap/>
                  <w:vAlign w:val="center"/>
                </w:tcPr>
                <w:p w14:paraId="4AFBE43B">
                  <w:pPr>
                    <w:pStyle w:val="41"/>
                    <w:bidi w:val="0"/>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924" w:type="pct"/>
                  <w:vMerge w:val="continue"/>
                  <w:tcBorders>
                    <w:tl2br w:val="nil"/>
                    <w:tr2bl w:val="nil"/>
                  </w:tcBorders>
                  <w:shd w:val="clear" w:color="auto" w:fill="auto"/>
                  <w:noWrap/>
                  <w:vAlign w:val="center"/>
                </w:tcPr>
                <w:p w14:paraId="17F4A335">
                  <w:pPr>
                    <w:pStyle w:val="41"/>
                    <w:bidi w:val="0"/>
                    <w:rPr>
                      <w:rFonts w:hint="eastAsia"/>
                      <w:color w:val="auto"/>
                      <w:sz w:val="21"/>
                      <w:szCs w:val="21"/>
                      <w:highlight w:val="none"/>
                    </w:rPr>
                  </w:pPr>
                </w:p>
              </w:tc>
              <w:tc>
                <w:tcPr>
                  <w:tcW w:w="822" w:type="pct"/>
                  <w:tcBorders>
                    <w:tl2br w:val="nil"/>
                    <w:tr2bl w:val="nil"/>
                  </w:tcBorders>
                  <w:shd w:val="clear" w:color="auto" w:fill="auto"/>
                  <w:noWrap/>
                  <w:vAlign w:val="center"/>
                </w:tcPr>
                <w:p w14:paraId="7DF31227">
                  <w:pPr>
                    <w:pStyle w:val="41"/>
                    <w:bidi w:val="0"/>
                    <w:rPr>
                      <w:rFonts w:hint="default"/>
                      <w:color w:val="auto"/>
                      <w:sz w:val="21"/>
                      <w:szCs w:val="21"/>
                      <w:highlight w:val="none"/>
                      <w:lang w:val="en-US" w:eastAsia="zh-CN"/>
                    </w:rPr>
                  </w:pPr>
                  <w:r>
                    <w:rPr>
                      <w:rFonts w:hint="eastAsia"/>
                      <w:color w:val="auto"/>
                      <w:sz w:val="21"/>
                      <w:szCs w:val="21"/>
                      <w:highlight w:val="none"/>
                      <w:lang w:val="en-US" w:eastAsia="zh-CN"/>
                    </w:rPr>
                    <w:t>昼间</w:t>
                  </w:r>
                </w:p>
              </w:tc>
            </w:tr>
          </w:tbl>
          <w:p w14:paraId="2191844B">
            <w:pPr>
              <w:pStyle w:val="31"/>
              <w:spacing w:line="240" w:lineRule="auto"/>
              <w:ind w:left="0" w:leftChars="0" w:firstLine="0" w:firstLineChars="0"/>
              <w:rPr>
                <w:rFonts w:hint="eastAsia" w:eastAsia="宋体"/>
                <w:color w:val="auto"/>
                <w:sz w:val="21"/>
                <w:szCs w:val="21"/>
                <w:highlight w:val="none"/>
                <w:lang w:eastAsia="zh-CN"/>
              </w:rPr>
            </w:pPr>
            <w:r>
              <w:rPr>
                <w:b/>
                <w:bCs/>
                <w:color w:val="auto"/>
                <w:sz w:val="21"/>
                <w:szCs w:val="21"/>
                <w:highlight w:val="none"/>
              </w:rPr>
              <w:t>注：</w:t>
            </w:r>
            <w:r>
              <w:rPr>
                <w:rFonts w:hint="eastAsia"/>
                <w:b/>
                <w:bCs/>
                <w:color w:val="auto"/>
                <w:sz w:val="21"/>
                <w:szCs w:val="21"/>
                <w:highlight w:val="none"/>
                <w:lang w:val="en-US" w:eastAsia="zh-CN"/>
              </w:rPr>
              <w:t>以</w:t>
            </w:r>
            <w:r>
              <w:rPr>
                <w:rFonts w:hint="eastAsia"/>
                <w:b/>
                <w:bCs/>
                <w:color w:val="auto"/>
                <w:sz w:val="21"/>
                <w:szCs w:val="21"/>
                <w:highlight w:val="none"/>
              </w:rPr>
              <w:t>本项目</w:t>
            </w:r>
            <w:r>
              <w:rPr>
                <w:rFonts w:hint="eastAsia"/>
                <w:b/>
                <w:bCs/>
                <w:color w:val="auto"/>
                <w:sz w:val="21"/>
                <w:szCs w:val="21"/>
                <w:highlight w:val="none"/>
                <w:lang w:val="en-US" w:eastAsia="zh-CN"/>
              </w:rPr>
              <w:t>厂界北侧厂界</w:t>
            </w:r>
            <w:r>
              <w:rPr>
                <w:rFonts w:hint="eastAsia"/>
                <w:b/>
                <w:bCs/>
                <w:color w:val="auto"/>
                <w:sz w:val="21"/>
                <w:szCs w:val="21"/>
                <w:highlight w:val="none"/>
              </w:rPr>
              <w:t>为原点，原点坐标为（</w:t>
            </w:r>
            <w:r>
              <w:rPr>
                <w:rFonts w:hint="eastAsia"/>
                <w:b/>
                <w:bCs/>
                <w:color w:val="auto"/>
                <w:sz w:val="21"/>
                <w:szCs w:val="21"/>
                <w:highlight w:val="none"/>
                <w:lang w:val="en-US" w:eastAsia="zh-CN"/>
              </w:rPr>
              <w:t>E</w:t>
            </w:r>
            <w:r>
              <w:rPr>
                <w:rFonts w:hint="eastAsia"/>
                <w:b/>
                <w:bCs/>
                <w:color w:val="auto"/>
                <w:sz w:val="21"/>
                <w:szCs w:val="21"/>
                <w:highlight w:val="none"/>
              </w:rPr>
              <w:t>118.89187</w:t>
            </w:r>
            <w:r>
              <w:rPr>
                <w:rFonts w:hint="eastAsia"/>
                <w:b/>
                <w:bCs/>
                <w:color w:val="auto"/>
                <w:sz w:val="21"/>
                <w:szCs w:val="21"/>
                <w:highlight w:val="none"/>
                <w:lang w:val="en-US" w:eastAsia="zh-CN"/>
              </w:rPr>
              <w:t>1</w:t>
            </w:r>
            <w:r>
              <w:rPr>
                <w:rFonts w:hint="eastAsia"/>
                <w:b/>
                <w:bCs/>
                <w:color w:val="auto"/>
                <w:sz w:val="21"/>
                <w:szCs w:val="21"/>
                <w:highlight w:val="none"/>
              </w:rPr>
              <w:t>°，N31.928068°）</w:t>
            </w:r>
            <w:r>
              <w:rPr>
                <w:rFonts w:hint="eastAsia"/>
                <w:b/>
                <w:bCs/>
                <w:color w:val="auto"/>
                <w:sz w:val="21"/>
                <w:szCs w:val="21"/>
                <w:highlight w:val="none"/>
                <w:lang w:eastAsia="zh-CN"/>
              </w:rPr>
              <w:t>。</w:t>
            </w:r>
          </w:p>
          <w:bookmarkEnd w:id="46"/>
          <w:p w14:paraId="56D55E6A">
            <w:pPr>
              <w:pStyle w:val="27"/>
              <w:spacing w:before="0" w:beforeAutospacing="0" w:after="0" w:afterAutospacing="0" w:line="360" w:lineRule="auto"/>
              <w:ind w:firstLine="600" w:firstLineChars="200"/>
              <w:jc w:val="both"/>
              <w:outlineLvl w:val="0"/>
              <w:rPr>
                <w:rFonts w:ascii="Times New Roman" w:hAnsi="Times New Roman"/>
                <w:snapToGrid w:val="0"/>
                <w:color w:val="auto"/>
                <w:sz w:val="30"/>
                <w:szCs w:val="30"/>
                <w:highlight w:val="none"/>
              </w:rPr>
            </w:pPr>
          </w:p>
        </w:tc>
      </w:tr>
    </w:tbl>
    <w:p w14:paraId="7ACDD0C9">
      <w:pPr>
        <w:pStyle w:val="27"/>
        <w:jc w:val="both"/>
        <w:outlineLvl w:val="0"/>
        <w:rPr>
          <w:rFonts w:ascii="Times New Roman" w:hAnsi="Times New Roman" w:eastAsia="黑体"/>
          <w:snapToGrid w:val="0"/>
          <w:color w:val="auto"/>
          <w:sz w:val="30"/>
          <w:szCs w:val="30"/>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8690"/>
      </w:tblGrid>
      <w:tr w14:paraId="0AB5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dxa"/>
            <w:vAlign w:val="center"/>
          </w:tcPr>
          <w:p w14:paraId="042A0E62">
            <w:pPr>
              <w:pStyle w:val="27"/>
              <w:spacing w:line="240" w:lineRule="auto"/>
              <w:jc w:val="center"/>
              <w:outlineLvl w:val="0"/>
              <w:rPr>
                <w:rFonts w:ascii="Times New Roman" w:hAnsi="Times New Roman" w:eastAsia="黑体"/>
                <w:snapToGrid w:val="0"/>
                <w:color w:val="auto"/>
                <w:sz w:val="30"/>
                <w:szCs w:val="30"/>
                <w:highlight w:val="none"/>
                <w:vertAlign w:val="baseline"/>
              </w:rPr>
            </w:pPr>
            <w:r>
              <w:rPr>
                <w:b/>
                <w:color w:val="auto"/>
                <w:sz w:val="24"/>
                <w:highlight w:val="none"/>
              </w:rPr>
              <w:t>运营期环境影响和保护措施</w:t>
            </w:r>
          </w:p>
        </w:tc>
        <w:tc>
          <w:tcPr>
            <w:tcW w:w="8690" w:type="dxa"/>
          </w:tcPr>
          <w:p w14:paraId="08386008">
            <w:pPr>
              <w:keepNext w:val="0"/>
              <w:keepLines w:val="0"/>
              <w:pageBreakBefore w:val="0"/>
              <w:widowControl w:val="0"/>
              <w:kinsoku/>
              <w:wordWrap/>
              <w:overflowPunct/>
              <w:topLinePunct w:val="0"/>
              <w:bidi w:val="0"/>
              <w:adjustRightInd w:val="0"/>
              <w:snapToGrid w:val="0"/>
              <w:spacing w:line="460" w:lineRule="exact"/>
              <w:ind w:firstLine="482" w:firstLineChars="200"/>
              <w:textAlignment w:val="auto"/>
              <w:rPr>
                <w:b/>
                <w:bCs/>
                <w:color w:val="auto"/>
                <w:sz w:val="24"/>
                <w:highlight w:val="none"/>
              </w:rPr>
            </w:pPr>
            <w:r>
              <w:rPr>
                <w:rFonts w:hint="eastAsia"/>
                <w:b/>
                <w:bCs/>
                <w:color w:val="auto"/>
                <w:sz w:val="24"/>
                <w:highlight w:val="none"/>
              </w:rPr>
              <w:t>（</w:t>
            </w:r>
            <w:r>
              <w:rPr>
                <w:rFonts w:hint="eastAsia"/>
                <w:b/>
                <w:bCs/>
                <w:color w:val="auto"/>
                <w:sz w:val="24"/>
                <w:highlight w:val="none"/>
                <w:lang w:val="en-US" w:eastAsia="zh-CN"/>
              </w:rPr>
              <w:t>2</w:t>
            </w:r>
            <w:r>
              <w:rPr>
                <w:rFonts w:hint="eastAsia"/>
                <w:b/>
                <w:bCs/>
                <w:color w:val="auto"/>
                <w:sz w:val="24"/>
                <w:highlight w:val="none"/>
              </w:rPr>
              <w:t>）污染防治措施</w:t>
            </w:r>
          </w:p>
          <w:p w14:paraId="5E437E20">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color w:val="auto"/>
                <w:highlight w:val="none"/>
              </w:rPr>
              <w:t>本项目的噪声源主要为生产工艺上设备运行噪声</w:t>
            </w:r>
            <w:r>
              <w:rPr>
                <w:rFonts w:hint="eastAsia"/>
                <w:color w:val="auto"/>
                <w:highlight w:val="none"/>
                <w:lang w:eastAsia="zh-CN"/>
              </w:rPr>
              <w:t>，</w:t>
            </w:r>
            <w:r>
              <w:rPr>
                <w:rFonts w:hint="eastAsia"/>
                <w:color w:val="auto"/>
                <w:highlight w:val="none"/>
                <w:lang w:val="en-US" w:eastAsia="zh-CN"/>
              </w:rPr>
              <w:t>根据</w:t>
            </w:r>
            <w:r>
              <w:rPr>
                <w:color w:val="auto"/>
                <w:highlight w:val="none"/>
              </w:rPr>
              <w:t>《环境影响评价技术导则</w:t>
            </w:r>
            <w:r>
              <w:rPr>
                <w:rFonts w:hint="eastAsia"/>
                <w:color w:val="auto"/>
                <w:highlight w:val="none"/>
                <w:lang w:val="en-US" w:eastAsia="zh-CN"/>
              </w:rPr>
              <w:t xml:space="preserve"> </w:t>
            </w:r>
            <w:r>
              <w:rPr>
                <w:color w:val="auto"/>
                <w:highlight w:val="none"/>
              </w:rPr>
              <w:t>声环境》（HJ2.4-20</w:t>
            </w:r>
            <w:r>
              <w:rPr>
                <w:rFonts w:hint="eastAsia"/>
                <w:color w:val="auto"/>
                <w:highlight w:val="none"/>
                <w:lang w:val="en-US" w:eastAsia="zh-CN"/>
              </w:rPr>
              <w:t>21</w:t>
            </w:r>
            <w:r>
              <w:rPr>
                <w:color w:val="auto"/>
                <w:highlight w:val="none"/>
              </w:rPr>
              <w:t>）</w:t>
            </w:r>
            <w:r>
              <w:rPr>
                <w:rFonts w:hint="eastAsia"/>
                <w:color w:val="auto"/>
                <w:highlight w:val="none"/>
                <w:lang w:eastAsia="zh-CN"/>
              </w:rPr>
              <w:t>，</w:t>
            </w:r>
            <w:r>
              <w:rPr>
                <w:color w:val="auto"/>
                <w:highlight w:val="none"/>
              </w:rPr>
              <w:t>为降低生产设备噪声对周围环境的影响，建设单位拟采用的噪声治理措施：</w:t>
            </w:r>
          </w:p>
          <w:p w14:paraId="46C406B1">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lang w:val="en-US" w:eastAsia="zh-CN"/>
              </w:rPr>
            </w:pPr>
            <w:r>
              <w:rPr>
                <w:rFonts w:hint="eastAsia"/>
                <w:b/>
                <w:bCs/>
                <w:color w:val="auto"/>
                <w:highlight w:val="none"/>
                <w:lang w:val="en-US" w:eastAsia="zh-CN"/>
              </w:rPr>
              <w:t>1）</w:t>
            </w:r>
            <w:r>
              <w:rPr>
                <w:b/>
                <w:bCs/>
                <w:color w:val="auto"/>
                <w:highlight w:val="none"/>
                <w:lang w:val="en-US" w:eastAsia="zh-CN"/>
              </w:rPr>
              <w:t>规划防治对策</w:t>
            </w:r>
          </w:p>
          <w:p w14:paraId="2A37E76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从建设项目的选址、规划布局、总图布置和设备布局等方面进行调整，高噪声设备尽可能远离声环境保护目标、优化建设项目布局。</w:t>
            </w:r>
          </w:p>
          <w:p w14:paraId="581CEDE9">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lang w:val="en-US" w:eastAsia="zh-CN"/>
              </w:rPr>
            </w:pPr>
            <w:r>
              <w:rPr>
                <w:rFonts w:hint="eastAsia"/>
                <w:b/>
                <w:bCs/>
                <w:color w:val="auto"/>
                <w:highlight w:val="none"/>
                <w:lang w:val="en-US" w:eastAsia="zh-CN"/>
              </w:rPr>
              <w:t>2）</w:t>
            </w:r>
            <w:r>
              <w:rPr>
                <w:b/>
                <w:bCs/>
                <w:color w:val="auto"/>
                <w:highlight w:val="none"/>
                <w:lang w:val="en-US" w:eastAsia="zh-CN"/>
              </w:rPr>
              <w:t>噪声源控制措施</w:t>
            </w:r>
          </w:p>
          <w:p w14:paraId="5993D6AD">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lang w:val="zh-CN" w:eastAsia="zh-CN"/>
              </w:rPr>
            </w:pPr>
            <w:r>
              <w:rPr>
                <w:color w:val="auto"/>
                <w:highlight w:val="none"/>
                <w:lang w:val="zh-CN" w:eastAsia="zh-CN"/>
              </w:rPr>
              <w:t>在设备选型时选用先进的低噪声设备，在满足工艺设计的前提下，</w:t>
            </w:r>
            <w:r>
              <w:rPr>
                <w:rFonts w:hint="eastAsia"/>
                <w:color w:val="auto"/>
                <w:highlight w:val="none"/>
                <w:lang w:val="zh-CN" w:eastAsia="zh-CN"/>
              </w:rPr>
              <w:t>选用</w:t>
            </w:r>
            <w:r>
              <w:rPr>
                <w:color w:val="auto"/>
                <w:highlight w:val="none"/>
                <w:lang w:val="zh-CN" w:eastAsia="zh-CN"/>
              </w:rPr>
              <w:t>满足国际标准的低噪声、低振动型号的设备，降低噪声源强。</w:t>
            </w:r>
          </w:p>
          <w:p w14:paraId="37C0FA08">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lang w:val="en-US" w:eastAsia="zh-CN"/>
              </w:rPr>
            </w:pPr>
            <w:r>
              <w:rPr>
                <w:rFonts w:hint="eastAsia"/>
                <w:b/>
                <w:bCs/>
                <w:color w:val="auto"/>
                <w:highlight w:val="none"/>
                <w:lang w:val="en-US" w:eastAsia="zh-CN"/>
              </w:rPr>
              <w:t>3）噪声传播途径控制措施</w:t>
            </w:r>
          </w:p>
          <w:p w14:paraId="6AA3D0E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auto"/>
                <w:sz w:val="24"/>
                <w:highlight w:val="none"/>
              </w:rPr>
            </w:pPr>
            <w:r>
              <w:rPr>
                <w:rFonts w:hint="eastAsia"/>
                <w:color w:val="auto"/>
                <w:highlight w:val="none"/>
                <w:lang w:val="zh-CN" w:eastAsia="zh-CN"/>
              </w:rPr>
              <w:t>优化调整建筑物平面布局、建筑物功能布局；</w:t>
            </w:r>
            <w:r>
              <w:rPr>
                <w:rFonts w:hint="eastAsia"/>
                <w:color w:val="auto"/>
                <w:highlight w:val="none"/>
                <w:lang w:val="en-US" w:eastAsia="zh-CN"/>
              </w:rPr>
              <w:t>生产</w:t>
            </w:r>
            <w:r>
              <w:rPr>
                <w:color w:val="auto"/>
                <w:highlight w:val="none"/>
                <w:lang w:val="zh-CN" w:eastAsia="zh-CN"/>
              </w:rPr>
              <w:t>设备均安置在室内，合理布置设备的位置，有效利用了建筑隔声，并采取隔声、吸声材料制作门窗、墙体等，防止噪声的扩散和传播，正常生产时门窗密闭，采取隔声措施，降噪量约</w:t>
            </w:r>
            <w:r>
              <w:rPr>
                <w:rFonts w:hint="eastAsia"/>
                <w:color w:val="auto"/>
                <w:highlight w:val="none"/>
                <w:lang w:val="en-US" w:eastAsia="zh-CN"/>
              </w:rPr>
              <w:t>2</w:t>
            </w:r>
            <w:r>
              <w:rPr>
                <w:color w:val="auto"/>
                <w:highlight w:val="none"/>
                <w:lang w:val="zh-CN" w:eastAsia="zh-CN"/>
              </w:rPr>
              <w:t>0dB</w:t>
            </w:r>
            <w:sdt>
              <w:sdtPr>
                <w:rPr>
                  <w:color w:val="auto"/>
                  <w:highlight w:val="none"/>
                </w:rPr>
                <w:alias w:val="标点符号检查"/>
                <w:tag w:val="auto"/>
                <w:id w:val="2133806"/>
              </w:sdtPr>
              <w:sdtEndPr>
                <w:rPr>
                  <w:color w:val="auto"/>
                  <w:highlight w:val="none"/>
                </w:rPr>
              </w:sdtEndPr>
              <w:sdtContent>
                <w:bookmarkStart w:id="47" w:name="bkReivew2133806"/>
                <w:r>
                  <w:rPr>
                    <w:color w:val="auto"/>
                    <w:highlight w:val="none"/>
                    <w:lang w:val="zh-CN" w:eastAsia="zh-CN"/>
                  </w:rPr>
                  <w:t>（</w:t>
                </w:r>
                <w:bookmarkEnd w:id="47"/>
              </w:sdtContent>
            </w:sdt>
            <w:r>
              <w:rPr>
                <w:color w:val="auto"/>
                <w:highlight w:val="none"/>
                <w:lang w:val="zh-CN" w:eastAsia="zh-CN"/>
              </w:rPr>
              <w:t>A）左右。</w:t>
            </w:r>
          </w:p>
          <w:p w14:paraId="04AC6334">
            <w:pPr>
              <w:keepNext w:val="0"/>
              <w:keepLines w:val="0"/>
              <w:pageBreakBefore w:val="0"/>
              <w:widowControl w:val="0"/>
              <w:kinsoku/>
              <w:wordWrap/>
              <w:overflowPunct/>
              <w:topLinePunct w:val="0"/>
              <w:bidi w:val="0"/>
              <w:adjustRightInd w:val="0"/>
              <w:snapToGrid w:val="0"/>
              <w:spacing w:line="460" w:lineRule="exact"/>
              <w:ind w:firstLine="482" w:firstLineChars="200"/>
              <w:textAlignment w:val="auto"/>
              <w:rPr>
                <w:b/>
                <w:bCs/>
                <w:color w:val="auto"/>
                <w:sz w:val="24"/>
                <w:highlight w:val="none"/>
              </w:rPr>
            </w:pPr>
            <w:r>
              <w:rPr>
                <w:rFonts w:hint="eastAsia"/>
                <w:b/>
                <w:bCs/>
                <w:color w:val="auto"/>
                <w:sz w:val="24"/>
                <w:highlight w:val="none"/>
              </w:rPr>
              <w:t>（</w:t>
            </w:r>
            <w:r>
              <w:rPr>
                <w:rFonts w:hint="eastAsia"/>
                <w:b/>
                <w:bCs/>
                <w:color w:val="auto"/>
                <w:sz w:val="24"/>
                <w:highlight w:val="none"/>
                <w:lang w:val="en-US" w:eastAsia="zh-CN"/>
              </w:rPr>
              <w:t>3</w:t>
            </w:r>
            <w:r>
              <w:rPr>
                <w:rFonts w:hint="eastAsia"/>
                <w:b/>
                <w:bCs/>
                <w:color w:val="auto"/>
                <w:sz w:val="24"/>
                <w:highlight w:val="none"/>
              </w:rPr>
              <w:t>）</w:t>
            </w:r>
            <w:r>
              <w:rPr>
                <w:b/>
                <w:bCs/>
                <w:color w:val="auto"/>
                <w:sz w:val="24"/>
                <w:highlight w:val="none"/>
              </w:rPr>
              <w:t>环境影响分析</w:t>
            </w:r>
          </w:p>
          <w:p w14:paraId="374F5693">
            <w:pPr>
              <w:bidi w:val="0"/>
              <w:ind w:firstLine="480" w:firstLineChars="200"/>
              <w:rPr>
                <w:color w:val="auto"/>
                <w:highlight w:val="none"/>
              </w:rPr>
            </w:pPr>
            <w:r>
              <w:rPr>
                <w:rFonts w:hint="eastAsia"/>
                <w:color w:val="auto"/>
                <w:highlight w:val="none"/>
                <w:lang w:val="en-US" w:eastAsia="zh-CN"/>
              </w:rPr>
              <w:t>1）</w:t>
            </w:r>
            <w:r>
              <w:rPr>
                <w:color w:val="auto"/>
                <w:highlight w:val="none"/>
              </w:rPr>
              <w:t>室内声源</w:t>
            </w:r>
          </w:p>
          <w:p w14:paraId="1D18C9A8">
            <w:pPr>
              <w:bidi w:val="0"/>
              <w:ind w:firstLine="480" w:firstLineChars="200"/>
              <w:rPr>
                <w:snapToGrid w:val="0"/>
                <w:color w:val="auto"/>
                <w:kern w:val="0"/>
                <w:szCs w:val="21"/>
                <w:highlight w:val="none"/>
              </w:rPr>
            </w:pPr>
            <w:r>
              <w:rPr>
                <w:rFonts w:hint="eastAsia"/>
                <w:color w:val="auto"/>
                <w:highlight w:val="none"/>
                <w:lang w:val="en-US" w:eastAsia="zh-CN"/>
              </w:rPr>
              <w:t>①</w:t>
            </w:r>
            <w:r>
              <w:rPr>
                <w:color w:val="auto"/>
                <w:highlight w:val="none"/>
              </w:rPr>
              <w:t>计算某一室内声源靠近围护结构处产生的倍频带声压级。计算公式如下：</w:t>
            </w:r>
          </w:p>
          <w:p w14:paraId="5F22AFDF">
            <w:pPr>
              <w:widowControl/>
              <w:adjustRightInd w:val="0"/>
              <w:snapToGrid w:val="0"/>
              <w:spacing w:line="360" w:lineRule="auto"/>
              <w:ind w:firstLine="0" w:firstLineChars="0"/>
              <w:jc w:val="center"/>
              <w:rPr>
                <w:color w:val="auto"/>
                <w:highlight w:val="none"/>
              </w:rPr>
            </w:pPr>
            <w:r>
              <w:rPr>
                <w:rFonts w:hint="eastAsia"/>
                <w:color w:val="auto"/>
                <w:position w:val="-28"/>
                <w:highlight w:val="none"/>
              </w:rPr>
              <w:object>
                <v:shape id="_x0000_i1025" o:spt="75" type="#_x0000_t75" style="height:33.95pt;width:133.15pt;" o:ole="t" filled="f" o:preferrelative="t" stroked="f" coordsize="21600,21600">
                  <v:path/>
                  <v:fill on="f" focussize="0,0"/>
                  <v:stroke on="f" joinstyle="miter"/>
                  <v:imagedata r:id="rId38" o:title=""/>
                  <o:lock v:ext="edit" aspectratio="t"/>
                  <w10:wrap type="none"/>
                  <w10:anchorlock/>
                </v:shape>
                <o:OLEObject Type="Embed" ProgID="Equation.KSEE3" ShapeID="_x0000_i1025" DrawAspect="Content" ObjectID="_1468075725" r:id="rId37">
                  <o:LockedField>false</o:LockedField>
                </o:OLEObject>
              </w:object>
            </w:r>
          </w:p>
          <w:p w14:paraId="03439B01">
            <w:pPr>
              <w:bidi w:val="0"/>
              <w:ind w:firstLine="480" w:firstLineChars="200"/>
              <w:rPr>
                <w:color w:val="auto"/>
                <w:highlight w:val="none"/>
              </w:rPr>
            </w:pPr>
            <w:r>
              <w:rPr>
                <w:color w:val="auto"/>
                <w:highlight w:val="none"/>
              </w:rPr>
              <w:t>式中：</w:t>
            </w:r>
          </w:p>
          <w:p w14:paraId="3A28049D">
            <w:pPr>
              <w:bidi w:val="0"/>
              <w:ind w:firstLine="480" w:firstLineChars="200"/>
              <w:rPr>
                <w:color w:val="auto"/>
                <w:highlight w:val="none"/>
              </w:rPr>
            </w:pPr>
            <w:r>
              <w:rPr>
                <w:color w:val="auto"/>
                <w:highlight w:val="none"/>
              </w:rPr>
              <w:t>Lp1—靠近开口处（或窗户）室内某倍频带的声压级或A声级，dB；</w:t>
            </w:r>
          </w:p>
          <w:p w14:paraId="623D6896">
            <w:pPr>
              <w:bidi w:val="0"/>
              <w:ind w:firstLine="480" w:firstLineChars="200"/>
              <w:rPr>
                <w:color w:val="auto"/>
                <w:highlight w:val="none"/>
              </w:rPr>
            </w:pPr>
            <w:r>
              <w:rPr>
                <w:color w:val="auto"/>
                <w:highlight w:val="none"/>
              </w:rPr>
              <w:t>Lw—点声源声功率级（A计权或倍频带）；</w:t>
            </w:r>
          </w:p>
          <w:p w14:paraId="1E7F545B">
            <w:pPr>
              <w:bidi w:val="0"/>
              <w:ind w:firstLine="480" w:firstLineChars="200"/>
              <w:rPr>
                <w:color w:val="auto"/>
                <w:highlight w:val="none"/>
              </w:rPr>
            </w:pPr>
            <w:r>
              <w:rPr>
                <w:color w:val="auto"/>
                <w:highlight w:val="none"/>
              </w:rPr>
              <w:t>Q—指向性因数，通常对无指向性声源，当声源放在房间中心时，Q=1，当放在一面墙的中心时，Q=2；当放在两面墙夹角处时，Q=4，当放在三面墙夹角处时，Q=8；</w:t>
            </w:r>
          </w:p>
          <w:p w14:paraId="35280598">
            <w:pPr>
              <w:bidi w:val="0"/>
              <w:ind w:firstLine="480" w:firstLineChars="200"/>
              <w:rPr>
                <w:color w:val="auto"/>
                <w:highlight w:val="none"/>
              </w:rPr>
            </w:pPr>
            <w:r>
              <w:rPr>
                <w:color w:val="auto"/>
                <w:highlight w:val="none"/>
              </w:rPr>
              <w:t>R—房间常数，R=Sα/(1−α)，S为房间内表面面积，m2，α为平均吸声系数；</w:t>
            </w:r>
          </w:p>
          <w:p w14:paraId="6FA5E819">
            <w:pPr>
              <w:bidi w:val="0"/>
              <w:ind w:firstLine="480" w:firstLineChars="200"/>
              <w:rPr>
                <w:color w:val="auto"/>
                <w:highlight w:val="none"/>
              </w:rPr>
            </w:pPr>
            <w:r>
              <w:rPr>
                <w:color w:val="auto"/>
                <w:highlight w:val="none"/>
              </w:rPr>
              <w:t>r—声源到靠近围护结构某点处的距离，m。</w:t>
            </w:r>
          </w:p>
          <w:p w14:paraId="7C08CA0A">
            <w:pPr>
              <w:bidi w:val="0"/>
              <w:ind w:firstLine="480" w:firstLineChars="200"/>
              <w:rPr>
                <w:color w:val="auto"/>
                <w:highlight w:val="none"/>
              </w:rPr>
            </w:pPr>
            <w:r>
              <w:rPr>
                <w:rFonts w:hint="eastAsia"/>
                <w:color w:val="auto"/>
                <w:highlight w:val="none"/>
                <w:lang w:val="en-US" w:eastAsia="zh-CN"/>
              </w:rPr>
              <w:t>②</w:t>
            </w:r>
            <w:r>
              <w:rPr>
                <w:color w:val="auto"/>
                <w:highlight w:val="none"/>
              </w:rPr>
              <w:t>计算出所有室内声源在围护结构处产生的i倍频带叠加声压级。计算公式如下：</w:t>
            </w:r>
          </w:p>
          <w:p w14:paraId="0E0F8247">
            <w:pPr>
              <w:widowControl/>
              <w:adjustRightInd w:val="0"/>
              <w:snapToGrid w:val="0"/>
              <w:spacing w:line="360" w:lineRule="auto"/>
              <w:ind w:firstLine="0" w:firstLineChars="0"/>
              <w:jc w:val="center"/>
              <w:rPr>
                <w:color w:val="auto"/>
                <w:highlight w:val="none"/>
              </w:rPr>
            </w:pPr>
            <w:r>
              <w:rPr>
                <w:rFonts w:hint="eastAsia"/>
                <w:color w:val="auto"/>
                <w:position w:val="-32"/>
                <w:highlight w:val="none"/>
              </w:rPr>
              <w:object>
                <v:shape id="_x0000_i1026" o:spt="75" type="#_x0000_t75" style="height:38.05pt;width:131.1pt;" o:ole="t" filled="f" o:preferrelative="t" stroked="f" coordsize="21600,21600">
                  <v:path/>
                  <v:fill on="f" focussize="0,0"/>
                  <v:stroke on="f" joinstyle="miter"/>
                  <v:imagedata r:id="rId40" o:title=""/>
                  <o:lock v:ext="edit" aspectratio="t"/>
                  <w10:wrap type="none"/>
                  <w10:anchorlock/>
                </v:shape>
                <o:OLEObject Type="Embed" ProgID="Equation.KSEE3" ShapeID="_x0000_i1026" DrawAspect="Content" ObjectID="_1468075726" r:id="rId39">
                  <o:LockedField>false</o:LockedField>
                </o:OLEObject>
              </w:object>
            </w:r>
          </w:p>
          <w:p w14:paraId="25D4318A">
            <w:pPr>
              <w:bidi w:val="0"/>
              <w:ind w:firstLine="480" w:firstLineChars="200"/>
              <w:rPr>
                <w:color w:val="auto"/>
                <w:highlight w:val="none"/>
              </w:rPr>
            </w:pPr>
            <w:r>
              <w:rPr>
                <w:color w:val="auto"/>
                <w:highlight w:val="none"/>
              </w:rPr>
              <w:t>式中：</w:t>
            </w:r>
          </w:p>
          <w:p w14:paraId="5C8A7AEA">
            <w:pPr>
              <w:bidi w:val="0"/>
              <w:ind w:firstLine="480" w:firstLineChars="200"/>
              <w:rPr>
                <w:color w:val="auto"/>
                <w:highlight w:val="none"/>
              </w:rPr>
            </w:pPr>
            <w:bookmarkStart w:id="48" w:name="sys6211035"/>
            <w:r>
              <w:rPr>
                <w:color w:val="auto"/>
                <w:highlight w:val="none"/>
              </w:rPr>
              <w:t>Lpli(T)—靠近围护结构处室内N个声源i倍频带的叠加声压级，dB；</w:t>
            </w:r>
            <w:bookmarkEnd w:id="48"/>
          </w:p>
          <w:p w14:paraId="350625B0">
            <w:pPr>
              <w:bidi w:val="0"/>
              <w:ind w:firstLine="480" w:firstLineChars="200"/>
              <w:rPr>
                <w:color w:val="auto"/>
                <w:highlight w:val="none"/>
              </w:rPr>
            </w:pPr>
            <w:r>
              <w:rPr>
                <w:color w:val="auto"/>
                <w:highlight w:val="none"/>
              </w:rPr>
              <w:t>Lplij—室内j声源i倍频带的声压级，dB；</w:t>
            </w:r>
          </w:p>
          <w:p w14:paraId="6242BA0D">
            <w:pPr>
              <w:bidi w:val="0"/>
              <w:ind w:firstLine="480" w:firstLineChars="200"/>
              <w:rPr>
                <w:color w:val="auto"/>
                <w:highlight w:val="none"/>
              </w:rPr>
            </w:pPr>
            <w:r>
              <w:rPr>
                <w:color w:val="auto"/>
                <w:highlight w:val="none"/>
              </w:rPr>
              <w:t>N—室内声源总数。</w:t>
            </w:r>
          </w:p>
          <w:p w14:paraId="4F7EB80E">
            <w:pPr>
              <w:bidi w:val="0"/>
              <w:ind w:firstLine="480" w:firstLineChars="200"/>
              <w:rPr>
                <w:color w:val="auto"/>
                <w:highlight w:val="none"/>
              </w:rPr>
            </w:pPr>
            <w:r>
              <w:rPr>
                <w:rFonts w:hint="eastAsia"/>
                <w:color w:val="auto"/>
                <w:highlight w:val="none"/>
                <w:lang w:val="en-US" w:eastAsia="zh-CN"/>
              </w:rPr>
              <w:t>③</w:t>
            </w:r>
            <w:r>
              <w:rPr>
                <w:color w:val="auto"/>
                <w:highlight w:val="none"/>
              </w:rPr>
              <w:t>计算出靠近室外</w:t>
            </w:r>
            <w:r>
              <w:rPr>
                <w:rFonts w:hint="eastAsia"/>
                <w:color w:val="auto"/>
                <w:highlight w:val="none"/>
                <w:lang w:eastAsia="zh-CN"/>
              </w:rPr>
              <w:t>围</w:t>
            </w:r>
            <w:r>
              <w:rPr>
                <w:color w:val="auto"/>
                <w:highlight w:val="none"/>
              </w:rPr>
              <w:t>护结构处的声压级。计算公式如下：</w:t>
            </w:r>
          </w:p>
          <w:p w14:paraId="49AE71CB">
            <w:pPr>
              <w:widowControl/>
              <w:adjustRightInd/>
              <w:snapToGrid/>
              <w:spacing w:line="240" w:lineRule="auto"/>
              <w:jc w:val="center"/>
              <w:rPr>
                <w:color w:val="auto"/>
                <w:highlight w:val="none"/>
              </w:rPr>
            </w:pPr>
            <w:r>
              <w:rPr>
                <w:rFonts w:hint="eastAsia"/>
                <w:color w:val="auto"/>
                <w:highlight w:val="none"/>
                <w:lang w:val="en-US"/>
              </w:rPr>
              <w:t>L</w:t>
            </w:r>
            <w:r>
              <w:rPr>
                <w:rFonts w:hint="eastAsia"/>
                <w:color w:val="auto"/>
                <w:highlight w:val="none"/>
                <w:vertAlign w:val="subscript"/>
                <w:lang w:val="en-US"/>
              </w:rPr>
              <w:t>P2i</w:t>
            </w:r>
            <w:r>
              <w:rPr>
                <w:rFonts w:hint="eastAsia"/>
                <w:color w:val="auto"/>
                <w:highlight w:val="none"/>
                <w:lang w:val="en-US"/>
              </w:rPr>
              <w:t>(T)=L</w:t>
            </w:r>
            <w:r>
              <w:rPr>
                <w:rFonts w:hint="eastAsia"/>
                <w:color w:val="auto"/>
                <w:highlight w:val="none"/>
                <w:vertAlign w:val="subscript"/>
                <w:lang w:val="en-US"/>
              </w:rPr>
              <w:t>P1i</w:t>
            </w:r>
            <w:r>
              <w:rPr>
                <w:rFonts w:hint="eastAsia"/>
                <w:color w:val="auto"/>
                <w:highlight w:val="none"/>
                <w:lang w:val="en-US"/>
              </w:rPr>
              <w:t>(T)—(TL</w:t>
            </w:r>
            <w:r>
              <w:rPr>
                <w:rFonts w:hint="eastAsia"/>
                <w:color w:val="auto"/>
                <w:highlight w:val="none"/>
                <w:vertAlign w:val="subscript"/>
                <w:lang w:val="en-US"/>
              </w:rPr>
              <w:t>i</w:t>
            </w:r>
            <w:r>
              <w:rPr>
                <w:rFonts w:hint="eastAsia"/>
                <w:color w:val="auto"/>
                <w:highlight w:val="none"/>
                <w:lang w:val="en-US"/>
              </w:rPr>
              <w:t>+6)</w:t>
            </w:r>
          </w:p>
          <w:p w14:paraId="607F1BB3">
            <w:pPr>
              <w:bidi w:val="0"/>
              <w:ind w:firstLine="480" w:firstLineChars="200"/>
              <w:rPr>
                <w:color w:val="auto"/>
                <w:highlight w:val="none"/>
              </w:rPr>
            </w:pPr>
            <w:r>
              <w:rPr>
                <w:color w:val="auto"/>
                <w:highlight w:val="none"/>
              </w:rPr>
              <w:t>式中：</w:t>
            </w:r>
          </w:p>
          <w:p w14:paraId="35C73B0E">
            <w:pPr>
              <w:bidi w:val="0"/>
              <w:ind w:firstLine="480" w:firstLineChars="200"/>
              <w:rPr>
                <w:color w:val="auto"/>
                <w:highlight w:val="none"/>
              </w:rPr>
            </w:pPr>
            <w:bookmarkStart w:id="49" w:name="sys6217035"/>
            <w:r>
              <w:rPr>
                <w:color w:val="auto"/>
                <w:highlight w:val="none"/>
              </w:rPr>
              <w:t>Lp2i(T)—靠近围护结构处室外N个声源i倍频带的叠加声压级，dB；</w:t>
            </w:r>
            <w:bookmarkEnd w:id="49"/>
          </w:p>
          <w:p w14:paraId="1E451C11">
            <w:pPr>
              <w:bidi w:val="0"/>
              <w:ind w:firstLine="480" w:firstLineChars="200"/>
              <w:rPr>
                <w:color w:val="auto"/>
                <w:highlight w:val="none"/>
              </w:rPr>
            </w:pPr>
            <w:bookmarkStart w:id="50" w:name="sys6218035"/>
            <w:r>
              <w:rPr>
                <w:color w:val="auto"/>
                <w:highlight w:val="none"/>
              </w:rPr>
              <w:t>Lp1i(T)—靠近围护结构处室内N个声源i倍频带的叠加声压级，dB；</w:t>
            </w:r>
            <w:bookmarkEnd w:id="50"/>
          </w:p>
          <w:p w14:paraId="10781BB7">
            <w:pPr>
              <w:bidi w:val="0"/>
              <w:ind w:firstLine="480" w:firstLineChars="200"/>
              <w:rPr>
                <w:color w:val="auto"/>
                <w:highlight w:val="none"/>
              </w:rPr>
            </w:pPr>
            <w:r>
              <w:rPr>
                <w:color w:val="auto"/>
                <w:highlight w:val="none"/>
              </w:rPr>
              <w:t>TLi—围护结构i倍频带</w:t>
            </w:r>
            <w:r>
              <w:rPr>
                <w:rFonts w:hint="eastAsia"/>
                <w:color w:val="auto"/>
                <w:highlight w:val="none"/>
                <w:lang w:eastAsia="zh-CN"/>
              </w:rPr>
              <w:t>的</w:t>
            </w:r>
            <w:r>
              <w:rPr>
                <w:color w:val="auto"/>
                <w:highlight w:val="none"/>
              </w:rPr>
              <w:t>隔声量，dB；</w:t>
            </w:r>
          </w:p>
          <w:p w14:paraId="6F923E84">
            <w:pPr>
              <w:bidi w:val="0"/>
              <w:ind w:firstLine="480" w:firstLineChars="200"/>
              <w:rPr>
                <w:snapToGrid w:val="0"/>
                <w:color w:val="auto"/>
                <w:kern w:val="0"/>
                <w:szCs w:val="21"/>
                <w:highlight w:val="none"/>
              </w:rPr>
            </w:pPr>
            <w:r>
              <w:rPr>
                <w:rFonts w:hint="eastAsia"/>
                <w:color w:val="auto"/>
                <w:highlight w:val="none"/>
                <w:lang w:val="en-US" w:eastAsia="zh-CN"/>
              </w:rPr>
              <w:t>④</w:t>
            </w:r>
            <w:r>
              <w:rPr>
                <w:color w:val="auto"/>
                <w:highlight w:val="none"/>
              </w:rPr>
              <w:t>将室外声源的声压级和透过面积换算成等效的室外声源，计算出中心位置位于透声面积（S）处的等效</w:t>
            </w:r>
            <w:r>
              <w:rPr>
                <w:rFonts w:hint="eastAsia"/>
                <w:color w:val="auto"/>
                <w:highlight w:val="none"/>
                <w:lang w:eastAsia="zh-CN"/>
              </w:rPr>
              <w:t>声源</w:t>
            </w:r>
            <w:r>
              <w:rPr>
                <w:color w:val="auto"/>
                <w:highlight w:val="none"/>
              </w:rPr>
              <w:t>的倍频带声功率级。计算公式如下：</w:t>
            </w:r>
          </w:p>
          <w:p w14:paraId="3D801212">
            <w:pPr>
              <w:widowControl/>
              <w:adjustRightInd/>
              <w:snapToGrid/>
              <w:spacing w:line="240" w:lineRule="auto"/>
              <w:jc w:val="center"/>
              <w:rPr>
                <w:color w:val="auto"/>
                <w:highlight w:val="none"/>
              </w:rPr>
            </w:pPr>
            <w:r>
              <w:rPr>
                <w:rFonts w:hint="eastAsia"/>
                <w:color w:val="auto"/>
                <w:highlight w:val="none"/>
                <w:lang w:val="en-US"/>
              </w:rPr>
              <w:t>L</w:t>
            </w:r>
            <w:r>
              <w:rPr>
                <w:rFonts w:hint="eastAsia"/>
                <w:color w:val="auto"/>
                <w:highlight w:val="none"/>
                <w:vertAlign w:val="subscript"/>
                <w:lang w:val="en-US"/>
              </w:rPr>
              <w:t>W</w:t>
            </w:r>
            <w:r>
              <w:rPr>
                <w:rFonts w:hint="eastAsia"/>
                <w:color w:val="auto"/>
                <w:highlight w:val="none"/>
                <w:lang w:val="en-US"/>
              </w:rPr>
              <w:t>=L</w:t>
            </w:r>
            <w:r>
              <w:rPr>
                <w:rFonts w:hint="eastAsia"/>
                <w:color w:val="auto"/>
                <w:highlight w:val="none"/>
                <w:vertAlign w:val="subscript"/>
                <w:lang w:val="en-US"/>
              </w:rPr>
              <w:t>P2</w:t>
            </w:r>
            <w:r>
              <w:rPr>
                <w:rFonts w:hint="eastAsia"/>
                <w:color w:val="auto"/>
                <w:highlight w:val="none"/>
                <w:lang w:val="en-US"/>
              </w:rPr>
              <w:t>(T)+10lgS</w:t>
            </w:r>
          </w:p>
          <w:p w14:paraId="5C82C68C">
            <w:pPr>
              <w:bidi w:val="0"/>
              <w:ind w:firstLine="480" w:firstLineChars="200"/>
              <w:rPr>
                <w:color w:val="auto"/>
                <w:highlight w:val="none"/>
              </w:rPr>
            </w:pPr>
            <w:r>
              <w:rPr>
                <w:color w:val="auto"/>
                <w:highlight w:val="none"/>
              </w:rPr>
              <w:t>式中：</w:t>
            </w:r>
          </w:p>
          <w:p w14:paraId="20493BB2">
            <w:pPr>
              <w:bidi w:val="0"/>
              <w:ind w:firstLine="480" w:firstLineChars="200"/>
              <w:rPr>
                <w:color w:val="auto"/>
                <w:highlight w:val="none"/>
              </w:rPr>
            </w:pPr>
            <w:r>
              <w:rPr>
                <w:color w:val="auto"/>
                <w:highlight w:val="none"/>
              </w:rPr>
              <w:t>Lw—中心位置位于透声面积（S）处的等效声源的倍频带声功率级，dB；</w:t>
            </w:r>
          </w:p>
          <w:p w14:paraId="65CAC3A9">
            <w:pPr>
              <w:bidi w:val="0"/>
              <w:ind w:firstLine="480" w:firstLineChars="200"/>
              <w:rPr>
                <w:color w:val="auto"/>
                <w:highlight w:val="none"/>
              </w:rPr>
            </w:pPr>
            <w:r>
              <w:rPr>
                <w:color w:val="auto"/>
                <w:highlight w:val="none"/>
              </w:rPr>
              <w:t>Lp2（T）—靠近围护结构处室外声源的声压级，dB；</w:t>
            </w:r>
          </w:p>
          <w:p w14:paraId="1C40F785">
            <w:pPr>
              <w:bidi w:val="0"/>
              <w:ind w:firstLine="480" w:firstLineChars="200"/>
              <w:rPr>
                <w:color w:val="auto"/>
                <w:highlight w:val="none"/>
              </w:rPr>
            </w:pPr>
            <w:r>
              <w:rPr>
                <w:color w:val="auto"/>
                <w:highlight w:val="none"/>
              </w:rPr>
              <w:t>S—透声面积，m2；</w:t>
            </w:r>
          </w:p>
          <w:p w14:paraId="1278A9C2">
            <w:pPr>
              <w:bidi w:val="0"/>
              <w:ind w:firstLine="480" w:firstLineChars="200"/>
              <w:rPr>
                <w:color w:val="auto"/>
                <w:highlight w:val="none"/>
              </w:rPr>
            </w:pPr>
            <w:r>
              <w:rPr>
                <w:color w:val="auto"/>
                <w:highlight w:val="none"/>
              </w:rPr>
              <w:t>然后按室外声源预测方法计算预测点处的A声级。</w:t>
            </w:r>
          </w:p>
          <w:p w14:paraId="787115BF">
            <w:pPr>
              <w:bidi w:val="0"/>
              <w:ind w:firstLine="480" w:firstLineChars="200"/>
              <w:rPr>
                <w:color w:val="auto"/>
                <w:highlight w:val="none"/>
              </w:rPr>
            </w:pPr>
            <w:r>
              <w:rPr>
                <w:rFonts w:hint="eastAsia"/>
                <w:color w:val="auto"/>
                <w:highlight w:val="none"/>
                <w:lang w:val="en-US" w:eastAsia="zh-CN"/>
              </w:rPr>
              <w:t>2）</w:t>
            </w:r>
            <w:r>
              <w:rPr>
                <w:color w:val="auto"/>
                <w:highlight w:val="none"/>
              </w:rPr>
              <w:t>室外声源</w:t>
            </w:r>
          </w:p>
          <w:p w14:paraId="65FB8859">
            <w:pPr>
              <w:bidi w:val="0"/>
              <w:ind w:firstLine="480" w:firstLineChars="200"/>
              <w:rPr>
                <w:color w:val="auto"/>
                <w:highlight w:val="none"/>
              </w:rPr>
            </w:pPr>
            <w:r>
              <w:rPr>
                <w:color w:val="auto"/>
                <w:highlight w:val="none"/>
              </w:rPr>
              <w:t>室外声源在预测点产生的声级计算模型见附录A。项目各噪声源都按点声源处理，根据</w:t>
            </w:r>
            <w:sdt>
              <w:sdtPr>
                <w:rPr>
                  <w:color w:val="auto"/>
                  <w:highlight w:val="none"/>
                </w:rPr>
                <w:alias w:val="易错词检查"/>
                <w:tag w:val="auto"/>
                <w:id w:val="3173525"/>
              </w:sdtPr>
              <w:sdtEndPr>
                <w:rPr>
                  <w:color w:val="auto"/>
                  <w:highlight w:val="none"/>
                </w:rPr>
              </w:sdtEndPr>
              <w:sdtContent>
                <w:bookmarkStart w:id="51" w:name="bkReivew3173525"/>
                <w:r>
                  <w:rPr>
                    <w:color w:val="auto"/>
                    <w:highlight w:val="none"/>
                  </w:rPr>
                  <w:t>声长</w:t>
                </w:r>
                <w:bookmarkEnd w:id="51"/>
              </w:sdtContent>
            </w:sdt>
            <w:r>
              <w:rPr>
                <w:color w:val="auto"/>
                <w:highlight w:val="none"/>
              </w:rPr>
              <w:t>特点，其预测模式为：</w:t>
            </w:r>
          </w:p>
          <w:p w14:paraId="2942A4F3">
            <w:pPr>
              <w:widowControl/>
              <w:adjustRightInd w:val="0"/>
              <w:snapToGrid w:val="0"/>
              <w:spacing w:line="360" w:lineRule="auto"/>
              <w:ind w:firstLine="0" w:firstLineChars="0"/>
              <w:jc w:val="center"/>
              <w:rPr>
                <w:color w:val="auto"/>
                <w:highlight w:val="none"/>
              </w:rPr>
            </w:pPr>
            <w:r>
              <w:rPr>
                <w:rFonts w:hint="eastAsia"/>
                <w:color w:val="auto"/>
                <w:kern w:val="44"/>
                <w:highlight w:val="none"/>
              </w:rPr>
              <w:t>L</w:t>
            </w:r>
            <w:r>
              <w:rPr>
                <w:rFonts w:hint="eastAsia"/>
                <w:color w:val="auto"/>
                <w:kern w:val="44"/>
                <w:highlight w:val="none"/>
                <w:vertAlign w:val="subscript"/>
              </w:rPr>
              <w:t>p</w:t>
            </w:r>
            <w:r>
              <w:rPr>
                <w:rFonts w:hint="eastAsia"/>
                <w:color w:val="auto"/>
                <w:kern w:val="44"/>
                <w:highlight w:val="none"/>
              </w:rPr>
              <w:t>（</w:t>
            </w:r>
            <w:r>
              <w:rPr>
                <w:rFonts w:hint="eastAsia"/>
                <w:color w:val="auto"/>
                <w:kern w:val="44"/>
                <w:highlight w:val="none"/>
                <w:lang w:val="en-US"/>
              </w:rPr>
              <w:t>r</w:t>
            </w:r>
            <w:r>
              <w:rPr>
                <w:rFonts w:hint="eastAsia"/>
                <w:color w:val="auto"/>
                <w:kern w:val="44"/>
                <w:highlight w:val="none"/>
              </w:rPr>
              <w:t>）＝L</w:t>
            </w:r>
            <w:r>
              <w:rPr>
                <w:rFonts w:hint="eastAsia"/>
                <w:color w:val="auto"/>
                <w:kern w:val="44"/>
                <w:highlight w:val="none"/>
                <w:vertAlign w:val="subscript"/>
              </w:rPr>
              <w:t>p</w:t>
            </w:r>
            <w:r>
              <w:rPr>
                <w:rFonts w:hint="eastAsia"/>
                <w:color w:val="auto"/>
                <w:kern w:val="44"/>
                <w:highlight w:val="none"/>
              </w:rPr>
              <w:t>（</w:t>
            </w:r>
            <w:r>
              <w:rPr>
                <w:rFonts w:hint="eastAsia"/>
                <w:color w:val="auto"/>
                <w:kern w:val="44"/>
                <w:highlight w:val="none"/>
                <w:lang w:val="en-US"/>
              </w:rPr>
              <w:t>r</w:t>
            </w:r>
            <w:r>
              <w:rPr>
                <w:rFonts w:hint="eastAsia"/>
                <w:color w:val="auto"/>
                <w:kern w:val="44"/>
                <w:highlight w:val="none"/>
                <w:vertAlign w:val="subscript"/>
                <w:lang w:val="en-US"/>
              </w:rPr>
              <w:t>0</w:t>
            </w:r>
            <w:r>
              <w:rPr>
                <w:rFonts w:hint="eastAsia"/>
                <w:color w:val="auto"/>
                <w:kern w:val="44"/>
                <w:highlight w:val="none"/>
              </w:rPr>
              <w:t>）+D</w:t>
            </w:r>
            <w:r>
              <w:rPr>
                <w:rFonts w:hint="eastAsia"/>
                <w:color w:val="auto"/>
                <w:kern w:val="44"/>
                <w:highlight w:val="none"/>
                <w:vertAlign w:val="subscript"/>
              </w:rPr>
              <w:t>C</w:t>
            </w:r>
            <w:r>
              <w:rPr>
                <w:rFonts w:hint="eastAsia"/>
                <w:color w:val="auto"/>
                <w:kern w:val="44"/>
                <w:highlight w:val="none"/>
              </w:rPr>
              <w:t>－（A</w:t>
            </w:r>
            <w:r>
              <w:rPr>
                <w:rFonts w:hint="eastAsia"/>
                <w:color w:val="auto"/>
                <w:kern w:val="44"/>
                <w:highlight w:val="none"/>
                <w:vertAlign w:val="subscript"/>
              </w:rPr>
              <w:t>div</w:t>
            </w:r>
            <w:r>
              <w:rPr>
                <w:rFonts w:hint="eastAsia"/>
                <w:color w:val="auto"/>
                <w:kern w:val="44"/>
                <w:highlight w:val="none"/>
              </w:rPr>
              <w:t>＋A</w:t>
            </w:r>
            <w:r>
              <w:rPr>
                <w:rFonts w:hint="eastAsia"/>
                <w:color w:val="auto"/>
                <w:kern w:val="44"/>
                <w:highlight w:val="none"/>
                <w:vertAlign w:val="subscript"/>
              </w:rPr>
              <w:t>atm</w:t>
            </w:r>
            <w:r>
              <w:rPr>
                <w:rFonts w:hint="eastAsia"/>
                <w:color w:val="auto"/>
                <w:kern w:val="44"/>
                <w:highlight w:val="none"/>
              </w:rPr>
              <w:t>＋A</w:t>
            </w:r>
            <w:r>
              <w:rPr>
                <w:rFonts w:hint="eastAsia"/>
                <w:color w:val="auto"/>
                <w:kern w:val="44"/>
                <w:highlight w:val="none"/>
                <w:vertAlign w:val="subscript"/>
              </w:rPr>
              <w:t>gr</w:t>
            </w:r>
            <w:r>
              <w:rPr>
                <w:rFonts w:hint="eastAsia"/>
                <w:color w:val="auto"/>
                <w:kern w:val="44"/>
                <w:highlight w:val="none"/>
              </w:rPr>
              <w:t>＋A</w:t>
            </w:r>
            <w:r>
              <w:rPr>
                <w:rFonts w:hint="eastAsia"/>
                <w:color w:val="auto"/>
                <w:kern w:val="44"/>
                <w:highlight w:val="none"/>
                <w:vertAlign w:val="subscript"/>
              </w:rPr>
              <w:t>bar</w:t>
            </w:r>
            <w:r>
              <w:rPr>
                <w:rFonts w:hint="eastAsia"/>
                <w:color w:val="auto"/>
                <w:kern w:val="44"/>
                <w:highlight w:val="none"/>
              </w:rPr>
              <w:t>＋A</w:t>
            </w:r>
            <w:r>
              <w:rPr>
                <w:rFonts w:hint="eastAsia"/>
                <w:color w:val="auto"/>
                <w:kern w:val="44"/>
                <w:highlight w:val="none"/>
                <w:vertAlign w:val="subscript"/>
              </w:rPr>
              <w:t>misc</w:t>
            </w:r>
            <w:r>
              <w:rPr>
                <w:rFonts w:hint="eastAsia"/>
                <w:color w:val="auto"/>
                <w:kern w:val="44"/>
                <w:highlight w:val="none"/>
              </w:rPr>
              <w:t>）</w:t>
            </w:r>
          </w:p>
          <w:p w14:paraId="084C408B">
            <w:pPr>
              <w:bidi w:val="0"/>
              <w:ind w:firstLine="480" w:firstLineChars="200"/>
              <w:rPr>
                <w:color w:val="auto"/>
                <w:highlight w:val="none"/>
              </w:rPr>
            </w:pPr>
            <w:r>
              <w:rPr>
                <w:color w:val="auto"/>
                <w:highlight w:val="none"/>
              </w:rPr>
              <w:t>式中：</w:t>
            </w:r>
          </w:p>
          <w:p w14:paraId="2C6D80B3">
            <w:pPr>
              <w:bidi w:val="0"/>
              <w:ind w:firstLine="480" w:firstLineChars="200"/>
              <w:rPr>
                <w:color w:val="auto"/>
                <w:highlight w:val="none"/>
              </w:rPr>
            </w:pPr>
            <w:r>
              <w:rPr>
                <w:color w:val="auto"/>
                <w:highlight w:val="none"/>
              </w:rPr>
              <w:t>Lp(r) ——预测点处声压级，dB；</w:t>
            </w:r>
          </w:p>
          <w:p w14:paraId="2311FB62">
            <w:pPr>
              <w:bidi w:val="0"/>
              <w:ind w:firstLine="480" w:firstLineChars="200"/>
              <w:rPr>
                <w:color w:val="auto"/>
                <w:highlight w:val="none"/>
              </w:rPr>
            </w:pPr>
            <w:r>
              <w:rPr>
                <w:color w:val="auto"/>
                <w:highlight w:val="none"/>
              </w:rPr>
              <w:t>Lp(r0) ——参考位置r0处的声压级，dB；</w:t>
            </w:r>
          </w:p>
          <w:p w14:paraId="30878749">
            <w:pPr>
              <w:bidi w:val="0"/>
              <w:ind w:firstLine="480" w:firstLineChars="200"/>
              <w:rPr>
                <w:color w:val="auto"/>
                <w:highlight w:val="none"/>
              </w:rPr>
            </w:pPr>
            <w:r>
              <w:rPr>
                <w:color w:val="auto"/>
                <w:highlight w:val="none"/>
              </w:rPr>
              <w:t>DC ——指向性校正，它描述点声源的等效连续声压级与产生声功率级Lw的全向点声源在规定方向的声级的偏差程度，dB；</w:t>
            </w:r>
          </w:p>
          <w:p w14:paraId="6A601CE9">
            <w:pPr>
              <w:bidi w:val="0"/>
              <w:ind w:firstLine="480" w:firstLineChars="200"/>
              <w:rPr>
                <w:color w:val="auto"/>
                <w:highlight w:val="none"/>
              </w:rPr>
            </w:pPr>
            <w:r>
              <w:rPr>
                <w:color w:val="auto"/>
                <w:highlight w:val="none"/>
              </w:rPr>
              <w:t>Adiv ——几何发散引起的衰减，dB；</w:t>
            </w:r>
          </w:p>
          <w:p w14:paraId="65986387">
            <w:pPr>
              <w:bidi w:val="0"/>
              <w:ind w:firstLine="480" w:firstLineChars="200"/>
              <w:rPr>
                <w:color w:val="auto"/>
                <w:highlight w:val="none"/>
              </w:rPr>
            </w:pPr>
            <w:r>
              <w:rPr>
                <w:color w:val="auto"/>
                <w:highlight w:val="none"/>
              </w:rPr>
              <w:t>Aatm——大气吸收引起的衰减，dB；</w:t>
            </w:r>
          </w:p>
          <w:p w14:paraId="0E56C054">
            <w:pPr>
              <w:bidi w:val="0"/>
              <w:ind w:firstLine="480" w:firstLineChars="200"/>
              <w:rPr>
                <w:color w:val="auto"/>
                <w:highlight w:val="none"/>
              </w:rPr>
            </w:pPr>
            <w:r>
              <w:rPr>
                <w:color w:val="auto"/>
                <w:highlight w:val="none"/>
              </w:rPr>
              <w:t>Agr——地面效应引起的衰减，dB；</w:t>
            </w:r>
          </w:p>
          <w:p w14:paraId="405F0DA2">
            <w:pPr>
              <w:bidi w:val="0"/>
              <w:ind w:firstLine="480" w:firstLineChars="200"/>
              <w:rPr>
                <w:color w:val="auto"/>
                <w:highlight w:val="none"/>
              </w:rPr>
            </w:pPr>
            <w:r>
              <w:rPr>
                <w:color w:val="auto"/>
                <w:highlight w:val="none"/>
              </w:rPr>
              <w:t>Abar ——障碍物屏蔽引起的衰减，dB；</w:t>
            </w:r>
          </w:p>
          <w:p w14:paraId="377B724F">
            <w:pPr>
              <w:bidi w:val="0"/>
              <w:ind w:firstLine="480" w:firstLineChars="200"/>
              <w:rPr>
                <w:color w:val="auto"/>
                <w:highlight w:val="none"/>
              </w:rPr>
            </w:pPr>
            <w:r>
              <w:rPr>
                <w:color w:val="auto"/>
                <w:highlight w:val="none"/>
              </w:rPr>
              <w:t>Amisc——其他多方面效应引起的衰减，dB。</w:t>
            </w:r>
          </w:p>
          <w:p w14:paraId="3ECD9D28">
            <w:pPr>
              <w:bidi w:val="0"/>
              <w:ind w:firstLine="480" w:firstLineChars="200"/>
              <w:rPr>
                <w:color w:val="auto"/>
                <w:highlight w:val="none"/>
              </w:rPr>
            </w:pPr>
            <w:r>
              <w:rPr>
                <w:color w:val="auto"/>
                <w:highlight w:val="none"/>
              </w:rPr>
              <w:t>项目中噪声源都按点声源处理，无指向性点声源几何发散衰减的基本公式是：</w:t>
            </w:r>
          </w:p>
          <w:p w14:paraId="777D6ED0">
            <w:pPr>
              <w:widowControl/>
              <w:adjustRightInd w:val="0"/>
              <w:snapToGrid w:val="0"/>
              <w:spacing w:line="360" w:lineRule="auto"/>
              <w:ind w:firstLine="0" w:firstLineChars="0"/>
              <w:jc w:val="center"/>
              <w:rPr>
                <w:color w:val="auto"/>
                <w:highlight w:val="none"/>
              </w:rPr>
            </w:pPr>
            <w:r>
              <w:rPr>
                <w:rFonts w:hint="eastAsia"/>
                <w:color w:val="auto"/>
                <w:highlight w:val="none"/>
                <w:lang w:val="en-US"/>
              </w:rPr>
              <w:t>L</w:t>
            </w:r>
            <w:r>
              <w:rPr>
                <w:rFonts w:hint="eastAsia"/>
                <w:color w:val="auto"/>
                <w:highlight w:val="none"/>
                <w:vertAlign w:val="subscript"/>
                <w:lang w:val="en-US"/>
              </w:rPr>
              <w:t>P</w:t>
            </w:r>
            <w:r>
              <w:rPr>
                <w:rFonts w:hint="eastAsia"/>
                <w:color w:val="auto"/>
                <w:highlight w:val="none"/>
                <w:lang w:val="en-US"/>
              </w:rPr>
              <w:t>（r）=L</w:t>
            </w:r>
            <w:r>
              <w:rPr>
                <w:rFonts w:hint="eastAsia"/>
                <w:color w:val="auto"/>
                <w:highlight w:val="none"/>
                <w:vertAlign w:val="subscript"/>
                <w:lang w:val="en-US"/>
              </w:rPr>
              <w:t>P</w:t>
            </w:r>
            <w:r>
              <w:rPr>
                <w:rFonts w:hint="eastAsia"/>
                <w:color w:val="auto"/>
                <w:highlight w:val="none"/>
                <w:lang w:val="en-US"/>
              </w:rPr>
              <w:t>（r</w:t>
            </w:r>
            <w:r>
              <w:rPr>
                <w:rFonts w:hint="eastAsia"/>
                <w:color w:val="auto"/>
                <w:highlight w:val="none"/>
                <w:vertAlign w:val="subscript"/>
                <w:lang w:val="en-US"/>
              </w:rPr>
              <w:t>0</w:t>
            </w:r>
            <w:r>
              <w:rPr>
                <w:rFonts w:hint="eastAsia"/>
                <w:color w:val="auto"/>
                <w:highlight w:val="none"/>
                <w:lang w:val="en-US"/>
              </w:rPr>
              <w:t>）</w:t>
            </w:r>
            <w:r>
              <w:rPr>
                <w:rFonts w:hint="eastAsia"/>
                <w:color w:val="auto"/>
                <w:kern w:val="44"/>
                <w:highlight w:val="none"/>
              </w:rPr>
              <w:t>－</w:t>
            </w:r>
            <w:r>
              <w:rPr>
                <w:rFonts w:hint="eastAsia"/>
                <w:color w:val="auto"/>
                <w:highlight w:val="none"/>
                <w:lang w:val="en-US"/>
              </w:rPr>
              <w:t>20lg</w:t>
            </w:r>
            <w:sdt>
              <w:sdtPr>
                <w:rPr>
                  <w:color w:val="auto"/>
                  <w:highlight w:val="none"/>
                </w:rPr>
                <w:alias w:val="标点符号检查"/>
                <w:tag w:val="auto"/>
                <w:id w:val="2153313"/>
              </w:sdtPr>
              <w:sdtEndPr>
                <w:rPr>
                  <w:color w:val="auto"/>
                  <w:highlight w:val="none"/>
                </w:rPr>
              </w:sdtEndPr>
              <w:sdtContent>
                <w:bookmarkStart w:id="52" w:name="bkReivew2153313"/>
                <w:r>
                  <w:rPr>
                    <w:rFonts w:hint="eastAsia"/>
                    <w:color w:val="auto"/>
                    <w:highlight w:val="none"/>
                    <w:lang w:val="en-US"/>
                  </w:rPr>
                  <w:t>（</w:t>
                </w:r>
                <w:bookmarkEnd w:id="52"/>
              </w:sdtContent>
            </w:sdt>
            <w:r>
              <w:rPr>
                <w:rFonts w:hint="eastAsia"/>
                <w:color w:val="auto"/>
                <w:highlight w:val="none"/>
                <w:lang w:val="en-US"/>
              </w:rPr>
              <w:t>r/r</w:t>
            </w:r>
            <w:r>
              <w:rPr>
                <w:rFonts w:hint="eastAsia"/>
                <w:color w:val="auto"/>
                <w:highlight w:val="none"/>
                <w:vertAlign w:val="subscript"/>
                <w:lang w:val="en-US"/>
              </w:rPr>
              <w:t>0</w:t>
            </w:r>
            <w:r>
              <w:rPr>
                <w:rFonts w:hint="eastAsia"/>
                <w:color w:val="auto"/>
                <w:highlight w:val="none"/>
                <w:lang w:val="en-US"/>
              </w:rPr>
              <w:t>）</w:t>
            </w:r>
          </w:p>
          <w:p w14:paraId="01A85373">
            <w:pPr>
              <w:bidi w:val="0"/>
              <w:ind w:firstLine="480" w:firstLineChars="200"/>
              <w:rPr>
                <w:color w:val="auto"/>
                <w:highlight w:val="none"/>
              </w:rPr>
            </w:pPr>
            <w:r>
              <w:rPr>
                <w:color w:val="auto"/>
                <w:highlight w:val="none"/>
              </w:rPr>
              <w:t>式中：</w:t>
            </w:r>
          </w:p>
          <w:p w14:paraId="48C7B1D3">
            <w:pPr>
              <w:bidi w:val="0"/>
              <w:ind w:firstLine="480" w:firstLineChars="200"/>
              <w:rPr>
                <w:color w:val="auto"/>
                <w:highlight w:val="none"/>
              </w:rPr>
            </w:pPr>
            <w:r>
              <w:rPr>
                <w:color w:val="auto"/>
                <w:highlight w:val="none"/>
              </w:rPr>
              <w:t>Lp(r) ——预测点处声压级，dB；</w:t>
            </w:r>
          </w:p>
          <w:p w14:paraId="3EDB5997">
            <w:pPr>
              <w:bidi w:val="0"/>
              <w:ind w:firstLine="480" w:firstLineChars="200"/>
              <w:rPr>
                <w:color w:val="auto"/>
                <w:highlight w:val="none"/>
              </w:rPr>
            </w:pPr>
            <w:r>
              <w:rPr>
                <w:color w:val="auto"/>
                <w:highlight w:val="none"/>
              </w:rPr>
              <w:t>Lp(r0) ——参考位置r0 处的声压级，dB；</w:t>
            </w:r>
          </w:p>
          <w:p w14:paraId="435573F6">
            <w:pPr>
              <w:bidi w:val="0"/>
              <w:ind w:firstLine="480" w:firstLineChars="200"/>
              <w:rPr>
                <w:color w:val="auto"/>
                <w:highlight w:val="none"/>
              </w:rPr>
            </w:pPr>
            <w:r>
              <w:rPr>
                <w:color w:val="auto"/>
                <w:highlight w:val="none"/>
              </w:rPr>
              <w:t>r——预测点距声源的距离；</w:t>
            </w:r>
          </w:p>
          <w:p w14:paraId="367C2305">
            <w:pPr>
              <w:bidi w:val="0"/>
              <w:ind w:firstLine="480" w:firstLineChars="200"/>
              <w:rPr>
                <w:color w:val="auto"/>
                <w:highlight w:val="none"/>
              </w:rPr>
            </w:pPr>
            <w:r>
              <w:rPr>
                <w:color w:val="auto"/>
                <w:highlight w:val="none"/>
              </w:rPr>
              <w:t>r0——参考位置距声源的距离。</w:t>
            </w:r>
          </w:p>
          <w:p w14:paraId="69D09F2F">
            <w:pPr>
              <w:bidi w:val="0"/>
              <w:ind w:firstLine="480" w:firstLineChars="200"/>
              <w:rPr>
                <w:color w:val="auto"/>
                <w:highlight w:val="none"/>
              </w:rPr>
            </w:pPr>
            <w:r>
              <w:rPr>
                <w:rFonts w:hint="eastAsia"/>
                <w:color w:val="auto"/>
                <w:highlight w:val="none"/>
                <w:lang w:val="en-US" w:eastAsia="zh-CN"/>
              </w:rPr>
              <w:t>3）</w:t>
            </w:r>
            <w:r>
              <w:rPr>
                <w:color w:val="auto"/>
                <w:highlight w:val="none"/>
              </w:rPr>
              <w:t>噪声贡献值计算公式</w:t>
            </w:r>
          </w:p>
          <w:p w14:paraId="523E68A5">
            <w:pPr>
              <w:widowControl/>
              <w:adjustRightInd w:val="0"/>
              <w:snapToGrid w:val="0"/>
              <w:spacing w:line="360" w:lineRule="auto"/>
              <w:ind w:firstLine="0" w:firstLineChars="0"/>
              <w:jc w:val="center"/>
              <w:rPr>
                <w:color w:val="auto"/>
                <w:highlight w:val="none"/>
              </w:rPr>
            </w:pPr>
            <w:r>
              <w:rPr>
                <w:rFonts w:hint="eastAsia"/>
                <w:color w:val="auto"/>
                <w:kern w:val="44"/>
                <w:position w:val="-32"/>
                <w:highlight w:val="none"/>
              </w:rPr>
              <w:object>
                <v:shape id="_x0000_i1027" o:spt="75" type="#_x0000_t75" style="height:38pt;width:209.25pt;" o:ole="t" filled="f" o:preferrelative="t" stroked="f" coordsize="21600,21600">
                  <v:path/>
                  <v:fill on="f" focussize="0,0"/>
                  <v:stroke on="f"/>
                  <v:imagedata r:id="rId42" o:title=""/>
                  <o:lock v:ext="edit" aspectratio="t"/>
                  <w10:wrap type="none"/>
                  <w10:anchorlock/>
                </v:shape>
                <o:OLEObject Type="Embed" ProgID="Equation.KSEE3" ShapeID="_x0000_i1027" DrawAspect="Content" ObjectID="_1468075727" r:id="rId41">
                  <o:LockedField>false</o:LockedField>
                </o:OLEObject>
              </w:object>
            </w:r>
          </w:p>
          <w:p w14:paraId="5A7C2214">
            <w:pPr>
              <w:bidi w:val="0"/>
              <w:ind w:firstLine="480" w:firstLineChars="200"/>
              <w:rPr>
                <w:color w:val="auto"/>
                <w:highlight w:val="none"/>
              </w:rPr>
            </w:pPr>
            <w:r>
              <w:rPr>
                <w:color w:val="auto"/>
                <w:highlight w:val="none"/>
              </w:rPr>
              <w:t>式中：</w:t>
            </w:r>
          </w:p>
          <w:p w14:paraId="0A59675D">
            <w:pPr>
              <w:bidi w:val="0"/>
              <w:ind w:firstLine="480" w:firstLineChars="200"/>
              <w:rPr>
                <w:color w:val="auto"/>
                <w:highlight w:val="none"/>
              </w:rPr>
            </w:pPr>
            <w:r>
              <w:rPr>
                <w:color w:val="auto"/>
                <w:highlight w:val="none"/>
              </w:rPr>
              <w:t>Leqg——建设项目声源在预测点产生的噪声贡献值，dB；</w:t>
            </w:r>
          </w:p>
          <w:p w14:paraId="56CEED1A">
            <w:pPr>
              <w:bidi w:val="0"/>
              <w:ind w:firstLine="480" w:firstLineChars="200"/>
              <w:rPr>
                <w:color w:val="auto"/>
                <w:highlight w:val="none"/>
              </w:rPr>
            </w:pPr>
            <w:r>
              <w:rPr>
                <w:color w:val="auto"/>
                <w:highlight w:val="none"/>
              </w:rPr>
              <w:t>T ——用于计算等效声级的时间，s；</w:t>
            </w:r>
          </w:p>
          <w:p w14:paraId="3EC6BF16">
            <w:pPr>
              <w:bidi w:val="0"/>
              <w:ind w:firstLine="480" w:firstLineChars="200"/>
              <w:rPr>
                <w:color w:val="auto"/>
                <w:highlight w:val="none"/>
              </w:rPr>
            </w:pPr>
            <w:r>
              <w:rPr>
                <w:color w:val="auto"/>
                <w:highlight w:val="none"/>
              </w:rPr>
              <w:t>N ——室外声源个数；</w:t>
            </w:r>
          </w:p>
          <w:p w14:paraId="24287DB5">
            <w:pPr>
              <w:bidi w:val="0"/>
              <w:ind w:firstLine="480" w:firstLineChars="200"/>
              <w:rPr>
                <w:color w:val="auto"/>
                <w:highlight w:val="none"/>
              </w:rPr>
            </w:pPr>
            <w:r>
              <w:rPr>
                <w:color w:val="auto"/>
                <w:highlight w:val="none"/>
              </w:rPr>
              <w:t>ti ——在T时间内i声源工作时间，s；</w:t>
            </w:r>
          </w:p>
          <w:p w14:paraId="19B1DF51">
            <w:pPr>
              <w:bidi w:val="0"/>
              <w:ind w:firstLine="480" w:firstLineChars="200"/>
              <w:rPr>
                <w:color w:val="auto"/>
                <w:highlight w:val="none"/>
              </w:rPr>
            </w:pPr>
            <w:r>
              <w:rPr>
                <w:color w:val="auto"/>
                <w:highlight w:val="none"/>
              </w:rPr>
              <w:t>M ——等效室外声源</w:t>
            </w:r>
            <w:sdt>
              <w:sdtPr>
                <w:rPr>
                  <w:color w:val="auto"/>
                  <w:highlight w:val="none"/>
                </w:rPr>
                <w:alias w:val="易错词检查"/>
                <w:tag w:val="auto"/>
                <w:id w:val="21121"/>
              </w:sdtPr>
              <w:sdtEndPr>
                <w:rPr>
                  <w:color w:val="auto"/>
                  <w:highlight w:val="none"/>
                </w:rPr>
              </w:sdtEndPr>
              <w:sdtContent>
                <w:bookmarkStart w:id="53" w:name="bkReivew21121"/>
                <w:r>
                  <w:rPr>
                    <w:rFonts w:hint="eastAsia"/>
                    <w:color w:val="auto"/>
                    <w:highlight w:val="none"/>
                    <w:lang w:eastAsia="zh-CN"/>
                  </w:rPr>
                  <w:t>，</w:t>
                </w:r>
                <w:r>
                  <w:rPr>
                    <w:color w:val="auto"/>
                    <w:highlight w:val="none"/>
                  </w:rPr>
                  <w:t>个</w:t>
                </w:r>
                <w:bookmarkEnd w:id="53"/>
                <w:r>
                  <w:rPr>
                    <w:rFonts w:hint="eastAsia"/>
                    <w:color w:val="auto"/>
                    <w:highlight w:val="none"/>
                    <w:lang w:eastAsia="zh-CN"/>
                  </w:rPr>
                  <w:t>；</w:t>
                </w:r>
              </w:sdtContent>
            </w:sdt>
          </w:p>
          <w:p w14:paraId="07B1D55A">
            <w:pPr>
              <w:pStyle w:val="136"/>
              <w:keepNext w:val="0"/>
              <w:keepLines w:val="0"/>
              <w:pageBreakBefore w:val="0"/>
              <w:widowControl w:val="0"/>
              <w:kinsoku/>
              <w:wordWrap/>
              <w:overflowPunct/>
              <w:topLinePunct w:val="0"/>
              <w:bidi w:val="0"/>
              <w:spacing w:line="460" w:lineRule="exact"/>
              <w:textAlignment w:val="auto"/>
              <w:rPr>
                <w:color w:val="auto"/>
                <w:highlight w:val="none"/>
                <w:lang w:val="en-US"/>
              </w:rPr>
            </w:pPr>
            <w:r>
              <w:rPr>
                <w:color w:val="auto"/>
                <w:highlight w:val="none"/>
              </w:rPr>
              <w:t>tj ——在T时间内j声源工作时间，s</w:t>
            </w:r>
            <w:r>
              <w:rPr>
                <w:rFonts w:hint="eastAsia"/>
                <w:color w:val="auto"/>
                <w:highlight w:val="none"/>
              </w:rPr>
              <w:t>。</w:t>
            </w:r>
          </w:p>
          <w:p w14:paraId="21C16CAD">
            <w:pPr>
              <w:pStyle w:val="136"/>
              <w:keepNext w:val="0"/>
              <w:keepLines w:val="0"/>
              <w:pageBreakBefore w:val="0"/>
              <w:widowControl w:val="0"/>
              <w:kinsoku/>
              <w:wordWrap/>
              <w:overflowPunct/>
              <w:topLinePunct w:val="0"/>
              <w:bidi w:val="0"/>
              <w:spacing w:line="460" w:lineRule="exact"/>
              <w:textAlignment w:val="auto"/>
              <w:rPr>
                <w:rFonts w:hint="eastAsia"/>
                <w:color w:val="auto"/>
                <w:highlight w:val="none"/>
              </w:rPr>
            </w:pPr>
            <w:r>
              <w:rPr>
                <w:rFonts w:hint="eastAsia" w:ascii="Times New Roman" w:hAnsi="Times New Roman" w:eastAsia="宋体"/>
                <w:color w:val="auto"/>
                <w:kern w:val="2"/>
                <w:sz w:val="24"/>
                <w:szCs w:val="24"/>
                <w:highlight w:val="none"/>
              </w:rPr>
              <w:t>厂界噪声</w:t>
            </w:r>
            <w:r>
              <w:rPr>
                <w:rFonts w:hint="eastAsia"/>
                <w:color w:val="auto"/>
                <w:kern w:val="2"/>
                <w:sz w:val="24"/>
                <w:szCs w:val="24"/>
                <w:highlight w:val="none"/>
                <w:lang w:val="en-US" w:eastAsia="zh-CN"/>
              </w:rPr>
              <w:t>叠加值</w:t>
            </w:r>
            <w:r>
              <w:rPr>
                <w:rFonts w:hint="eastAsia" w:ascii="Times New Roman" w:hAnsi="Times New Roman" w:eastAsia="宋体"/>
                <w:color w:val="auto"/>
                <w:kern w:val="2"/>
                <w:sz w:val="24"/>
                <w:szCs w:val="24"/>
                <w:highlight w:val="none"/>
              </w:rPr>
              <w:t>预测数值见下表</w:t>
            </w:r>
            <w:r>
              <w:rPr>
                <w:rFonts w:ascii="Times New Roman" w:hAnsi="Times New Roman" w:eastAsia="宋体"/>
                <w:color w:val="auto"/>
                <w:kern w:val="2"/>
                <w:sz w:val="24"/>
                <w:szCs w:val="24"/>
                <w:highlight w:val="none"/>
              </w:rPr>
              <w:t>。</w:t>
            </w:r>
          </w:p>
          <w:p w14:paraId="057B63D0">
            <w:pPr>
              <w:pStyle w:val="162"/>
              <w:bidi w:val="0"/>
              <w:rPr>
                <w:color w:val="auto"/>
                <w:highlight w:val="none"/>
              </w:rPr>
            </w:pPr>
            <w:r>
              <w:rPr>
                <w:color w:val="auto"/>
                <w:highlight w:val="none"/>
              </w:rPr>
              <w:t>厂界噪声</w:t>
            </w:r>
            <w:r>
              <w:rPr>
                <w:rFonts w:hint="eastAsia"/>
                <w:color w:val="auto"/>
                <w:highlight w:val="none"/>
                <w:lang w:eastAsia="zh-CN"/>
              </w:rPr>
              <w:t>贡献值</w:t>
            </w:r>
            <w:r>
              <w:rPr>
                <w:color w:val="auto"/>
                <w:highlight w:val="none"/>
              </w:rPr>
              <w:t>预测结果（单位：dB(A)）</w:t>
            </w:r>
          </w:p>
          <w:tbl>
            <w:tblPr>
              <w:tblStyle w:val="32"/>
              <w:tblW w:w="4991"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797"/>
              <w:gridCol w:w="1575"/>
              <w:gridCol w:w="1606"/>
              <w:gridCol w:w="1217"/>
              <w:gridCol w:w="1264"/>
            </w:tblGrid>
            <w:tr w14:paraId="6156A3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blHeader/>
              </w:trPr>
              <w:tc>
                <w:tcPr>
                  <w:tcW w:w="1653" w:type="pct"/>
                  <w:vMerge w:val="restart"/>
                  <w:tcBorders>
                    <w:tl2br w:val="nil"/>
                    <w:tr2bl w:val="nil"/>
                  </w:tcBorders>
                  <w:vAlign w:val="center"/>
                </w:tcPr>
                <w:p w14:paraId="57F0AE74">
                  <w:pPr>
                    <w:pStyle w:val="41"/>
                    <w:bidi w:val="0"/>
                    <w:jc w:val="center"/>
                    <w:rPr>
                      <w:b/>
                      <w:bCs w:val="0"/>
                      <w:color w:val="auto"/>
                      <w:highlight w:val="none"/>
                    </w:rPr>
                  </w:pPr>
                  <w:r>
                    <w:rPr>
                      <w:b/>
                      <w:bCs w:val="0"/>
                      <w:color w:val="auto"/>
                      <w:highlight w:val="none"/>
                    </w:rPr>
                    <w:t>评价点位</w:t>
                  </w:r>
                </w:p>
              </w:tc>
              <w:tc>
                <w:tcPr>
                  <w:tcW w:w="3346" w:type="pct"/>
                  <w:gridSpan w:val="4"/>
                  <w:tcBorders>
                    <w:tl2br w:val="nil"/>
                    <w:tr2bl w:val="nil"/>
                  </w:tcBorders>
                  <w:vAlign w:val="center"/>
                </w:tcPr>
                <w:p w14:paraId="2658DFD1">
                  <w:pPr>
                    <w:pStyle w:val="41"/>
                    <w:bidi w:val="0"/>
                    <w:jc w:val="center"/>
                    <w:rPr>
                      <w:b/>
                      <w:bCs w:val="0"/>
                      <w:color w:val="auto"/>
                      <w:highlight w:val="none"/>
                    </w:rPr>
                  </w:pPr>
                  <w:r>
                    <w:rPr>
                      <w:b/>
                      <w:bCs w:val="0"/>
                      <w:color w:val="auto"/>
                      <w:highlight w:val="none"/>
                    </w:rPr>
                    <w:t>昼间  dB（A）</w:t>
                  </w:r>
                </w:p>
              </w:tc>
            </w:tr>
            <w:tr w14:paraId="401312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blHeader/>
              </w:trPr>
              <w:tc>
                <w:tcPr>
                  <w:tcW w:w="1653" w:type="pct"/>
                  <w:vMerge w:val="continue"/>
                  <w:tcBorders>
                    <w:tl2br w:val="nil"/>
                    <w:tr2bl w:val="nil"/>
                  </w:tcBorders>
                  <w:vAlign w:val="center"/>
                </w:tcPr>
                <w:p w14:paraId="600DCE12">
                  <w:pPr>
                    <w:pStyle w:val="41"/>
                    <w:bidi w:val="0"/>
                    <w:jc w:val="center"/>
                    <w:rPr>
                      <w:b/>
                      <w:bCs w:val="0"/>
                      <w:color w:val="auto"/>
                      <w:highlight w:val="none"/>
                    </w:rPr>
                  </w:pPr>
                </w:p>
              </w:tc>
              <w:tc>
                <w:tcPr>
                  <w:tcW w:w="930" w:type="pct"/>
                  <w:tcBorders>
                    <w:tl2br w:val="nil"/>
                    <w:tr2bl w:val="nil"/>
                  </w:tcBorders>
                  <w:vAlign w:val="center"/>
                </w:tcPr>
                <w:p w14:paraId="0F098BFD">
                  <w:pPr>
                    <w:pStyle w:val="41"/>
                    <w:bidi w:val="0"/>
                    <w:jc w:val="center"/>
                    <w:rPr>
                      <w:b/>
                      <w:bCs w:val="0"/>
                      <w:color w:val="auto"/>
                      <w:highlight w:val="none"/>
                    </w:rPr>
                  </w:pPr>
                  <w:r>
                    <w:rPr>
                      <w:b/>
                      <w:bCs w:val="0"/>
                      <w:color w:val="auto"/>
                      <w:highlight w:val="none"/>
                    </w:rPr>
                    <w:t>贡献值</w:t>
                  </w:r>
                </w:p>
              </w:tc>
              <w:tc>
                <w:tcPr>
                  <w:tcW w:w="949" w:type="pct"/>
                  <w:tcBorders>
                    <w:tl2br w:val="nil"/>
                    <w:tr2bl w:val="nil"/>
                  </w:tcBorders>
                  <w:vAlign w:val="center"/>
                </w:tcPr>
                <w:p w14:paraId="33C61180">
                  <w:pPr>
                    <w:pStyle w:val="41"/>
                    <w:bidi w:val="0"/>
                    <w:jc w:val="center"/>
                    <w:rPr>
                      <w:b/>
                      <w:bCs w:val="0"/>
                      <w:color w:val="auto"/>
                      <w:highlight w:val="none"/>
                    </w:rPr>
                  </w:pPr>
                  <w:r>
                    <w:rPr>
                      <w:b/>
                      <w:bCs w:val="0"/>
                      <w:color w:val="auto"/>
                      <w:highlight w:val="none"/>
                    </w:rPr>
                    <w:t>本底值</w:t>
                  </w:r>
                </w:p>
              </w:tc>
              <w:tc>
                <w:tcPr>
                  <w:tcW w:w="719" w:type="pct"/>
                  <w:tcBorders>
                    <w:tl2br w:val="nil"/>
                    <w:tr2bl w:val="nil"/>
                  </w:tcBorders>
                  <w:vAlign w:val="center"/>
                </w:tcPr>
                <w:p w14:paraId="705ED0C1">
                  <w:pPr>
                    <w:pStyle w:val="41"/>
                    <w:bidi w:val="0"/>
                    <w:jc w:val="center"/>
                    <w:rPr>
                      <w:b/>
                      <w:bCs w:val="0"/>
                      <w:color w:val="auto"/>
                      <w:highlight w:val="none"/>
                    </w:rPr>
                  </w:pPr>
                  <w:r>
                    <w:rPr>
                      <w:b/>
                      <w:bCs w:val="0"/>
                      <w:color w:val="auto"/>
                      <w:highlight w:val="none"/>
                    </w:rPr>
                    <w:t>叠加值</w:t>
                  </w:r>
                </w:p>
              </w:tc>
              <w:tc>
                <w:tcPr>
                  <w:tcW w:w="747" w:type="pct"/>
                  <w:tcBorders>
                    <w:tl2br w:val="nil"/>
                    <w:tr2bl w:val="nil"/>
                  </w:tcBorders>
                  <w:vAlign w:val="center"/>
                </w:tcPr>
                <w:p w14:paraId="06C42EF8">
                  <w:pPr>
                    <w:pStyle w:val="41"/>
                    <w:bidi w:val="0"/>
                    <w:jc w:val="center"/>
                    <w:rPr>
                      <w:b/>
                      <w:bCs w:val="0"/>
                      <w:color w:val="auto"/>
                      <w:highlight w:val="none"/>
                    </w:rPr>
                  </w:pPr>
                  <w:r>
                    <w:rPr>
                      <w:b/>
                      <w:bCs w:val="0"/>
                      <w:color w:val="auto"/>
                      <w:highlight w:val="none"/>
                    </w:rPr>
                    <w:t>评价结果</w:t>
                  </w:r>
                </w:p>
              </w:tc>
            </w:tr>
            <w:tr w14:paraId="7D055F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53" w:type="pct"/>
                  <w:tcBorders>
                    <w:tl2br w:val="nil"/>
                    <w:tr2bl w:val="nil"/>
                  </w:tcBorders>
                  <w:shd w:val="clear" w:color="auto" w:fill="auto"/>
                  <w:vAlign w:val="center"/>
                </w:tcPr>
                <w:p w14:paraId="5A34AFA5">
                  <w:pPr>
                    <w:spacing w:line="240" w:lineRule="auto"/>
                    <w:ind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cs="Times New Roman"/>
                      <w:color w:val="auto"/>
                      <w:sz w:val="21"/>
                      <w:highlight w:val="none"/>
                    </w:rPr>
                    <w:t>N1</w:t>
                  </w:r>
                  <w:r>
                    <w:rPr>
                      <w:rFonts w:hint="eastAsia" w:cs="Times New Roman"/>
                      <w:color w:val="auto"/>
                      <w:sz w:val="21"/>
                      <w:highlight w:val="none"/>
                      <w:lang w:eastAsia="zh-CN"/>
                    </w:rPr>
                    <w:t>东厂界外</w:t>
                  </w:r>
                </w:p>
              </w:tc>
              <w:tc>
                <w:tcPr>
                  <w:tcW w:w="930" w:type="pct"/>
                  <w:tcBorders>
                    <w:tl2br w:val="nil"/>
                    <w:tr2bl w:val="nil"/>
                  </w:tcBorders>
                  <w:shd w:val="clear" w:color="auto" w:fill="auto"/>
                  <w:vAlign w:val="center"/>
                </w:tcPr>
                <w:p w14:paraId="38D1EF65">
                  <w:pPr>
                    <w:pStyle w:val="41"/>
                    <w:jc w:val="center"/>
                    <w:rPr>
                      <w:rFonts w:hint="default" w:eastAsia="宋体"/>
                      <w:color w:val="auto"/>
                      <w:highlight w:val="none"/>
                      <w:lang w:val="en-US" w:eastAsia="zh-CN"/>
                    </w:rPr>
                  </w:pPr>
                  <w:r>
                    <w:rPr>
                      <w:rFonts w:hint="eastAsia"/>
                      <w:color w:val="auto"/>
                      <w:highlight w:val="none"/>
                      <w:lang w:val="en-US" w:eastAsia="zh-CN"/>
                    </w:rPr>
                    <w:t>27.16</w:t>
                  </w:r>
                </w:p>
              </w:tc>
              <w:tc>
                <w:tcPr>
                  <w:tcW w:w="949" w:type="pct"/>
                  <w:tcBorders>
                    <w:tl2br w:val="nil"/>
                    <w:tr2bl w:val="nil"/>
                  </w:tcBorders>
                  <w:shd w:val="clear" w:color="auto" w:fill="auto"/>
                  <w:vAlign w:val="center"/>
                </w:tcPr>
                <w:p w14:paraId="5B47AD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57</w:t>
                  </w:r>
                </w:p>
              </w:tc>
              <w:tc>
                <w:tcPr>
                  <w:tcW w:w="719" w:type="pct"/>
                  <w:tcBorders>
                    <w:tl2br w:val="nil"/>
                    <w:tr2bl w:val="nil"/>
                  </w:tcBorders>
                  <w:shd w:val="clear" w:color="auto" w:fill="auto"/>
                  <w:vAlign w:val="center"/>
                </w:tcPr>
                <w:p w14:paraId="3238D182">
                  <w:pPr>
                    <w:pStyle w:val="41"/>
                    <w:bidi w:val="0"/>
                    <w:jc w:val="center"/>
                    <w:rPr>
                      <w:rFonts w:hint="default" w:eastAsia="宋体"/>
                      <w:color w:val="auto"/>
                      <w:highlight w:val="none"/>
                      <w:lang w:val="en-US" w:eastAsia="zh-CN"/>
                    </w:rPr>
                  </w:pPr>
                  <w:r>
                    <w:rPr>
                      <w:rFonts w:hint="eastAsia"/>
                      <w:color w:val="auto"/>
                      <w:highlight w:val="none"/>
                      <w:lang w:val="en-US" w:eastAsia="zh-CN"/>
                    </w:rPr>
                    <w:t>57</w:t>
                  </w:r>
                </w:p>
              </w:tc>
              <w:tc>
                <w:tcPr>
                  <w:tcW w:w="747" w:type="pct"/>
                  <w:tcBorders>
                    <w:tl2br w:val="nil"/>
                    <w:tr2bl w:val="nil"/>
                  </w:tcBorders>
                  <w:vAlign w:val="center"/>
                </w:tcPr>
                <w:p w14:paraId="25F18D5D">
                  <w:pPr>
                    <w:pStyle w:val="41"/>
                    <w:bidi w:val="0"/>
                    <w:jc w:val="center"/>
                    <w:rPr>
                      <w:color w:val="auto"/>
                      <w:highlight w:val="none"/>
                    </w:rPr>
                  </w:pPr>
                  <w:r>
                    <w:rPr>
                      <w:color w:val="auto"/>
                      <w:highlight w:val="none"/>
                    </w:rPr>
                    <w:t>达标</w:t>
                  </w:r>
                </w:p>
              </w:tc>
            </w:tr>
            <w:tr w14:paraId="076E27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53" w:type="pct"/>
                  <w:tcBorders>
                    <w:tl2br w:val="nil"/>
                    <w:tr2bl w:val="nil"/>
                  </w:tcBorders>
                  <w:shd w:val="clear" w:color="auto" w:fill="auto"/>
                  <w:vAlign w:val="center"/>
                </w:tcPr>
                <w:p w14:paraId="02B79C84">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 w:val="21"/>
                      <w:highlight w:val="none"/>
                    </w:rPr>
                    <w:t>N2</w:t>
                  </w:r>
                  <w:r>
                    <w:rPr>
                      <w:rFonts w:hint="eastAsia" w:cs="Times New Roman"/>
                      <w:color w:val="auto"/>
                      <w:sz w:val="21"/>
                      <w:highlight w:val="none"/>
                      <w:lang w:val="en-US" w:eastAsia="zh-CN"/>
                    </w:rPr>
                    <w:t>南厂界外</w:t>
                  </w:r>
                </w:p>
              </w:tc>
              <w:tc>
                <w:tcPr>
                  <w:tcW w:w="930" w:type="pct"/>
                  <w:tcBorders>
                    <w:tl2br w:val="nil"/>
                    <w:tr2bl w:val="nil"/>
                  </w:tcBorders>
                  <w:shd w:val="clear" w:color="auto" w:fill="auto"/>
                  <w:vAlign w:val="center"/>
                </w:tcPr>
                <w:p w14:paraId="42F8157E">
                  <w:pPr>
                    <w:pStyle w:val="41"/>
                    <w:jc w:val="center"/>
                    <w:rPr>
                      <w:rFonts w:hint="default" w:eastAsia="宋体"/>
                      <w:color w:val="auto"/>
                      <w:highlight w:val="none"/>
                      <w:lang w:val="en-US" w:eastAsia="zh-CN"/>
                    </w:rPr>
                  </w:pPr>
                  <w:r>
                    <w:rPr>
                      <w:rFonts w:hint="eastAsia"/>
                      <w:color w:val="auto"/>
                      <w:highlight w:val="none"/>
                      <w:lang w:val="en-US" w:eastAsia="zh-CN"/>
                    </w:rPr>
                    <w:t>29.48</w:t>
                  </w:r>
                </w:p>
              </w:tc>
              <w:tc>
                <w:tcPr>
                  <w:tcW w:w="949" w:type="pct"/>
                  <w:tcBorders>
                    <w:tl2br w:val="nil"/>
                    <w:tr2bl w:val="nil"/>
                  </w:tcBorders>
                  <w:shd w:val="clear" w:color="auto" w:fill="auto"/>
                  <w:vAlign w:val="center"/>
                </w:tcPr>
                <w:p w14:paraId="332C8C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56</w:t>
                  </w:r>
                </w:p>
              </w:tc>
              <w:tc>
                <w:tcPr>
                  <w:tcW w:w="719" w:type="pct"/>
                  <w:tcBorders>
                    <w:tl2br w:val="nil"/>
                    <w:tr2bl w:val="nil"/>
                  </w:tcBorders>
                  <w:shd w:val="clear" w:color="auto" w:fill="auto"/>
                  <w:vAlign w:val="center"/>
                </w:tcPr>
                <w:p w14:paraId="2248C172">
                  <w:pPr>
                    <w:pStyle w:val="41"/>
                    <w:bidi w:val="0"/>
                    <w:jc w:val="center"/>
                    <w:rPr>
                      <w:rFonts w:hint="default" w:eastAsia="宋体"/>
                      <w:color w:val="auto"/>
                      <w:highlight w:val="none"/>
                      <w:lang w:val="en-US" w:eastAsia="zh-CN"/>
                    </w:rPr>
                  </w:pPr>
                  <w:r>
                    <w:rPr>
                      <w:rFonts w:hint="eastAsia"/>
                      <w:color w:val="auto"/>
                      <w:highlight w:val="none"/>
                      <w:lang w:val="en-US" w:eastAsia="zh-CN"/>
                    </w:rPr>
                    <w:t>56.01</w:t>
                  </w:r>
                </w:p>
              </w:tc>
              <w:tc>
                <w:tcPr>
                  <w:tcW w:w="747" w:type="pct"/>
                  <w:tcBorders>
                    <w:tl2br w:val="nil"/>
                    <w:tr2bl w:val="nil"/>
                  </w:tcBorders>
                  <w:vAlign w:val="center"/>
                </w:tcPr>
                <w:p w14:paraId="0B6DDA37">
                  <w:pPr>
                    <w:pStyle w:val="41"/>
                    <w:bidi w:val="0"/>
                    <w:jc w:val="center"/>
                    <w:rPr>
                      <w:color w:val="auto"/>
                      <w:highlight w:val="none"/>
                    </w:rPr>
                  </w:pPr>
                  <w:r>
                    <w:rPr>
                      <w:color w:val="auto"/>
                      <w:highlight w:val="none"/>
                    </w:rPr>
                    <w:t>达标</w:t>
                  </w:r>
                </w:p>
              </w:tc>
            </w:tr>
            <w:tr w14:paraId="6F6C56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53" w:type="pct"/>
                  <w:tcBorders>
                    <w:tl2br w:val="nil"/>
                    <w:tr2bl w:val="nil"/>
                  </w:tcBorders>
                  <w:shd w:val="clear" w:color="auto" w:fill="auto"/>
                  <w:vAlign w:val="center"/>
                </w:tcPr>
                <w:p w14:paraId="79EF9F1A">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 w:val="21"/>
                      <w:highlight w:val="none"/>
                    </w:rPr>
                    <w:t>N3</w:t>
                  </w:r>
                  <w:r>
                    <w:rPr>
                      <w:rFonts w:hint="eastAsia" w:cs="Times New Roman"/>
                      <w:color w:val="auto"/>
                      <w:sz w:val="21"/>
                      <w:highlight w:val="none"/>
                      <w:lang w:val="en-US" w:eastAsia="zh-CN"/>
                    </w:rPr>
                    <w:t>西厂界外</w:t>
                  </w:r>
                </w:p>
              </w:tc>
              <w:tc>
                <w:tcPr>
                  <w:tcW w:w="930" w:type="pct"/>
                  <w:tcBorders>
                    <w:tl2br w:val="nil"/>
                    <w:tr2bl w:val="nil"/>
                  </w:tcBorders>
                  <w:shd w:val="clear" w:color="auto" w:fill="auto"/>
                  <w:vAlign w:val="center"/>
                </w:tcPr>
                <w:p w14:paraId="15A10196">
                  <w:pPr>
                    <w:pStyle w:val="41"/>
                    <w:jc w:val="center"/>
                    <w:rPr>
                      <w:rFonts w:hint="default" w:eastAsia="宋体"/>
                      <w:color w:val="auto"/>
                      <w:highlight w:val="none"/>
                      <w:lang w:val="en-US" w:eastAsia="zh-CN"/>
                    </w:rPr>
                  </w:pPr>
                  <w:r>
                    <w:rPr>
                      <w:rFonts w:hint="eastAsia"/>
                      <w:color w:val="auto"/>
                      <w:highlight w:val="none"/>
                      <w:lang w:val="en-US" w:eastAsia="zh-CN"/>
                    </w:rPr>
                    <w:t>30.32</w:t>
                  </w:r>
                </w:p>
              </w:tc>
              <w:tc>
                <w:tcPr>
                  <w:tcW w:w="949" w:type="pct"/>
                  <w:tcBorders>
                    <w:tl2br w:val="nil"/>
                    <w:tr2bl w:val="nil"/>
                  </w:tcBorders>
                  <w:shd w:val="clear" w:color="auto" w:fill="auto"/>
                  <w:vAlign w:val="center"/>
                </w:tcPr>
                <w:p w14:paraId="256D2E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57</w:t>
                  </w:r>
                </w:p>
              </w:tc>
              <w:tc>
                <w:tcPr>
                  <w:tcW w:w="719" w:type="pct"/>
                  <w:tcBorders>
                    <w:tl2br w:val="nil"/>
                    <w:tr2bl w:val="nil"/>
                  </w:tcBorders>
                  <w:shd w:val="clear" w:color="auto" w:fill="auto"/>
                  <w:vAlign w:val="center"/>
                </w:tcPr>
                <w:p w14:paraId="061ADBF8">
                  <w:pPr>
                    <w:pStyle w:val="41"/>
                    <w:bidi w:val="0"/>
                    <w:jc w:val="center"/>
                    <w:rPr>
                      <w:rFonts w:hint="default" w:eastAsia="宋体"/>
                      <w:color w:val="auto"/>
                      <w:highlight w:val="none"/>
                      <w:lang w:val="en-US" w:eastAsia="zh-CN"/>
                    </w:rPr>
                  </w:pPr>
                  <w:r>
                    <w:rPr>
                      <w:rFonts w:hint="eastAsia"/>
                      <w:color w:val="auto"/>
                      <w:highlight w:val="none"/>
                      <w:lang w:val="en-US" w:eastAsia="zh-CN"/>
                    </w:rPr>
                    <w:t>57.01</w:t>
                  </w:r>
                </w:p>
              </w:tc>
              <w:tc>
                <w:tcPr>
                  <w:tcW w:w="747" w:type="pct"/>
                  <w:tcBorders>
                    <w:tl2br w:val="nil"/>
                    <w:tr2bl w:val="nil"/>
                  </w:tcBorders>
                  <w:vAlign w:val="center"/>
                </w:tcPr>
                <w:p w14:paraId="1A39308D">
                  <w:pPr>
                    <w:pStyle w:val="41"/>
                    <w:bidi w:val="0"/>
                    <w:jc w:val="center"/>
                    <w:rPr>
                      <w:color w:val="auto"/>
                      <w:highlight w:val="none"/>
                    </w:rPr>
                  </w:pPr>
                  <w:r>
                    <w:rPr>
                      <w:color w:val="auto"/>
                      <w:highlight w:val="none"/>
                    </w:rPr>
                    <w:t>达标</w:t>
                  </w:r>
                </w:p>
              </w:tc>
            </w:tr>
            <w:tr w14:paraId="0AEE26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53" w:type="pct"/>
                  <w:tcBorders>
                    <w:tl2br w:val="nil"/>
                    <w:tr2bl w:val="nil"/>
                  </w:tcBorders>
                  <w:shd w:val="clear" w:color="auto" w:fill="auto"/>
                  <w:vAlign w:val="center"/>
                </w:tcPr>
                <w:p w14:paraId="3889D1AB">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 w:val="21"/>
                      <w:highlight w:val="none"/>
                    </w:rPr>
                    <w:t>N4</w:t>
                  </w:r>
                  <w:r>
                    <w:rPr>
                      <w:rFonts w:hint="eastAsia" w:cs="Times New Roman"/>
                      <w:color w:val="auto"/>
                      <w:sz w:val="21"/>
                      <w:highlight w:val="none"/>
                      <w:lang w:val="en-US" w:eastAsia="zh-CN"/>
                    </w:rPr>
                    <w:t>北</w:t>
                  </w:r>
                  <w:r>
                    <w:rPr>
                      <w:rFonts w:cs="Times New Roman"/>
                      <w:color w:val="auto"/>
                      <w:sz w:val="21"/>
                      <w:highlight w:val="none"/>
                    </w:rPr>
                    <w:t>厂界外</w:t>
                  </w:r>
                </w:p>
              </w:tc>
              <w:tc>
                <w:tcPr>
                  <w:tcW w:w="930" w:type="pct"/>
                  <w:tcBorders>
                    <w:tl2br w:val="nil"/>
                    <w:tr2bl w:val="nil"/>
                  </w:tcBorders>
                  <w:shd w:val="clear" w:color="auto" w:fill="auto"/>
                  <w:vAlign w:val="center"/>
                </w:tcPr>
                <w:p w14:paraId="4803F7A7">
                  <w:pPr>
                    <w:pStyle w:val="41"/>
                    <w:jc w:val="center"/>
                    <w:rPr>
                      <w:rFonts w:hint="default" w:eastAsia="宋体"/>
                      <w:color w:val="auto"/>
                      <w:highlight w:val="none"/>
                      <w:lang w:val="en-US" w:eastAsia="zh-CN"/>
                    </w:rPr>
                  </w:pPr>
                  <w:r>
                    <w:rPr>
                      <w:rFonts w:hint="eastAsia"/>
                      <w:color w:val="auto"/>
                      <w:highlight w:val="none"/>
                      <w:lang w:val="en-US" w:eastAsia="zh-CN"/>
                    </w:rPr>
                    <w:t>34.91</w:t>
                  </w:r>
                </w:p>
              </w:tc>
              <w:tc>
                <w:tcPr>
                  <w:tcW w:w="949" w:type="pct"/>
                  <w:tcBorders>
                    <w:tl2br w:val="nil"/>
                    <w:tr2bl w:val="nil"/>
                  </w:tcBorders>
                  <w:shd w:val="clear" w:color="auto" w:fill="auto"/>
                  <w:vAlign w:val="center"/>
                </w:tcPr>
                <w:p w14:paraId="70CB22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57</w:t>
                  </w:r>
                </w:p>
              </w:tc>
              <w:tc>
                <w:tcPr>
                  <w:tcW w:w="719" w:type="pct"/>
                  <w:tcBorders>
                    <w:tl2br w:val="nil"/>
                    <w:tr2bl w:val="nil"/>
                  </w:tcBorders>
                  <w:shd w:val="clear" w:color="auto" w:fill="auto"/>
                  <w:vAlign w:val="center"/>
                </w:tcPr>
                <w:p w14:paraId="63682549">
                  <w:pPr>
                    <w:pStyle w:val="41"/>
                    <w:bidi w:val="0"/>
                    <w:jc w:val="center"/>
                    <w:rPr>
                      <w:rFonts w:hint="default" w:eastAsia="宋体"/>
                      <w:color w:val="auto"/>
                      <w:highlight w:val="none"/>
                      <w:lang w:val="en-US" w:eastAsia="zh-CN"/>
                    </w:rPr>
                  </w:pPr>
                  <w:r>
                    <w:rPr>
                      <w:rFonts w:hint="eastAsia"/>
                      <w:color w:val="auto"/>
                      <w:highlight w:val="none"/>
                      <w:lang w:val="en-US" w:eastAsia="zh-CN"/>
                    </w:rPr>
                    <w:t>57.03</w:t>
                  </w:r>
                </w:p>
              </w:tc>
              <w:tc>
                <w:tcPr>
                  <w:tcW w:w="747" w:type="pct"/>
                  <w:tcBorders>
                    <w:tl2br w:val="nil"/>
                    <w:tr2bl w:val="nil"/>
                  </w:tcBorders>
                  <w:vAlign w:val="center"/>
                </w:tcPr>
                <w:p w14:paraId="64B10755">
                  <w:pPr>
                    <w:pStyle w:val="41"/>
                    <w:bidi w:val="0"/>
                    <w:jc w:val="center"/>
                    <w:rPr>
                      <w:color w:val="auto"/>
                      <w:highlight w:val="none"/>
                    </w:rPr>
                  </w:pPr>
                  <w:r>
                    <w:rPr>
                      <w:color w:val="auto"/>
                      <w:highlight w:val="none"/>
                    </w:rPr>
                    <w:t>达标</w:t>
                  </w:r>
                </w:p>
              </w:tc>
            </w:tr>
          </w:tbl>
          <w:p w14:paraId="7C8E2A87">
            <w:pPr>
              <w:keepNext w:val="0"/>
              <w:keepLines w:val="0"/>
              <w:pageBreakBefore w:val="0"/>
              <w:widowControl w:val="0"/>
              <w:kinsoku/>
              <w:wordWrap/>
              <w:overflowPunct/>
              <w:topLinePunct w:val="0"/>
              <w:bidi w:val="0"/>
              <w:spacing w:line="460" w:lineRule="exact"/>
              <w:ind w:firstLine="480" w:firstLineChars="200"/>
              <w:rPr>
                <w:color w:val="auto"/>
                <w:sz w:val="24"/>
                <w:highlight w:val="none"/>
              </w:rPr>
            </w:pPr>
            <w:r>
              <w:rPr>
                <w:color w:val="auto"/>
                <w:sz w:val="24"/>
                <w:szCs w:val="22"/>
                <w:highlight w:val="none"/>
              </w:rPr>
              <w:t>综上所述，经距离衰减</w:t>
            </w:r>
            <w:r>
              <w:rPr>
                <w:rFonts w:hint="eastAsia"/>
                <w:color w:val="auto"/>
                <w:sz w:val="24"/>
                <w:szCs w:val="22"/>
                <w:highlight w:val="none"/>
              </w:rPr>
              <w:t>、建筑物隔声</w:t>
            </w:r>
            <w:r>
              <w:rPr>
                <w:color w:val="auto"/>
                <w:sz w:val="24"/>
                <w:szCs w:val="22"/>
                <w:highlight w:val="none"/>
              </w:rPr>
              <w:t>后各噪声源对厂界的</w:t>
            </w:r>
            <w:r>
              <w:rPr>
                <w:rFonts w:hint="eastAsia"/>
                <w:color w:val="auto"/>
                <w:sz w:val="24"/>
                <w:szCs w:val="22"/>
                <w:highlight w:val="none"/>
              </w:rPr>
              <w:t>贡献</w:t>
            </w:r>
            <w:r>
              <w:rPr>
                <w:color w:val="auto"/>
                <w:sz w:val="24"/>
                <w:szCs w:val="22"/>
                <w:highlight w:val="none"/>
              </w:rPr>
              <w:t>值较小。项目厂界噪声贡献值满足《工业企业厂界环境噪声排放标准》（GB12348-2008）</w:t>
            </w:r>
            <w:r>
              <w:rPr>
                <w:rFonts w:hint="eastAsia"/>
                <w:color w:val="auto"/>
                <w:sz w:val="24"/>
                <w:szCs w:val="22"/>
                <w:highlight w:val="none"/>
                <w:lang w:val="en-US" w:eastAsia="zh-CN"/>
              </w:rPr>
              <w:t>2</w:t>
            </w:r>
            <w:r>
              <w:rPr>
                <w:rFonts w:hint="eastAsia"/>
                <w:color w:val="auto"/>
                <w:sz w:val="24"/>
                <w:szCs w:val="22"/>
                <w:highlight w:val="none"/>
                <w:lang w:eastAsia="zh-CN"/>
              </w:rPr>
              <w:t>类</w:t>
            </w:r>
            <w:r>
              <w:rPr>
                <w:color w:val="auto"/>
                <w:sz w:val="24"/>
                <w:szCs w:val="22"/>
                <w:highlight w:val="none"/>
              </w:rPr>
              <w:t>标准要求，即昼间≤</w:t>
            </w:r>
            <w:r>
              <w:rPr>
                <w:rFonts w:hint="eastAsia"/>
                <w:color w:val="auto"/>
                <w:sz w:val="24"/>
                <w:szCs w:val="22"/>
                <w:highlight w:val="none"/>
                <w:lang w:val="en-US" w:eastAsia="zh-CN"/>
              </w:rPr>
              <w:t>60</w:t>
            </w:r>
            <w:r>
              <w:rPr>
                <w:color w:val="auto"/>
                <w:sz w:val="24"/>
                <w:szCs w:val="22"/>
                <w:highlight w:val="none"/>
              </w:rPr>
              <w:t>dB(A)。</w:t>
            </w:r>
            <w:r>
              <w:rPr>
                <w:rFonts w:hint="eastAsia"/>
                <w:color w:val="auto"/>
                <w:sz w:val="24"/>
                <w:szCs w:val="22"/>
                <w:highlight w:val="none"/>
              </w:rPr>
              <w:t>正常运营时，本项目噪声</w:t>
            </w:r>
            <w:r>
              <w:rPr>
                <w:color w:val="auto"/>
                <w:sz w:val="24"/>
                <w:highlight w:val="none"/>
              </w:rPr>
              <w:t>对周围</w:t>
            </w:r>
            <w:r>
              <w:rPr>
                <w:rFonts w:hint="eastAsia"/>
                <w:color w:val="auto"/>
                <w:sz w:val="24"/>
                <w:highlight w:val="none"/>
              </w:rPr>
              <w:t>声</w:t>
            </w:r>
            <w:r>
              <w:rPr>
                <w:color w:val="auto"/>
                <w:sz w:val="24"/>
                <w:highlight w:val="none"/>
              </w:rPr>
              <w:t>环境影响较小</w:t>
            </w:r>
            <w:r>
              <w:rPr>
                <w:rFonts w:hint="eastAsia"/>
                <w:color w:val="auto"/>
                <w:sz w:val="24"/>
                <w:highlight w:val="none"/>
              </w:rPr>
              <w:t>，</w:t>
            </w:r>
            <w:r>
              <w:rPr>
                <w:color w:val="auto"/>
                <w:sz w:val="24"/>
                <w:highlight w:val="none"/>
              </w:rPr>
              <w:t>不会改变</w:t>
            </w:r>
            <w:r>
              <w:rPr>
                <w:rFonts w:hint="eastAsia"/>
                <w:color w:val="auto"/>
                <w:sz w:val="24"/>
                <w:highlight w:val="none"/>
              </w:rPr>
              <w:t>周围声</w:t>
            </w:r>
            <w:r>
              <w:rPr>
                <w:color w:val="auto"/>
                <w:sz w:val="24"/>
                <w:highlight w:val="none"/>
              </w:rPr>
              <w:t>环境功能级别，</w:t>
            </w:r>
            <w:r>
              <w:rPr>
                <w:rFonts w:hint="eastAsia"/>
                <w:color w:val="auto"/>
                <w:sz w:val="24"/>
                <w:highlight w:val="none"/>
              </w:rPr>
              <w:t>声</w:t>
            </w:r>
            <w:r>
              <w:rPr>
                <w:color w:val="auto"/>
                <w:sz w:val="24"/>
                <w:highlight w:val="none"/>
              </w:rPr>
              <w:t>功能可维持现状。</w:t>
            </w:r>
          </w:p>
          <w:p w14:paraId="47E26EE5">
            <w:pPr>
              <w:bidi w:val="0"/>
              <w:ind w:firstLine="482" w:firstLineChars="200"/>
              <w:rPr>
                <w:b/>
                <w:bCs/>
                <w:color w:val="auto"/>
                <w:highlight w:val="none"/>
              </w:rPr>
            </w:pPr>
            <w:r>
              <w:rPr>
                <w:b/>
                <w:bCs/>
                <w:color w:val="auto"/>
                <w:highlight w:val="none"/>
              </w:rPr>
              <w:t>（</w:t>
            </w:r>
            <w:r>
              <w:rPr>
                <w:rFonts w:hint="eastAsia"/>
                <w:b/>
                <w:bCs/>
                <w:color w:val="auto"/>
                <w:highlight w:val="none"/>
                <w:lang w:val="en-US" w:eastAsia="zh-CN"/>
              </w:rPr>
              <w:t>4</w:t>
            </w:r>
            <w:r>
              <w:rPr>
                <w:b/>
                <w:bCs/>
                <w:color w:val="auto"/>
                <w:highlight w:val="none"/>
              </w:rPr>
              <w:t>）</w:t>
            </w:r>
            <w:r>
              <w:rPr>
                <w:rFonts w:hint="eastAsia"/>
                <w:b/>
                <w:bCs/>
                <w:color w:val="auto"/>
                <w:highlight w:val="none"/>
              </w:rPr>
              <w:t>监测计划</w:t>
            </w:r>
          </w:p>
          <w:p w14:paraId="0998EA32">
            <w:pPr>
              <w:bidi w:val="0"/>
              <w:ind w:firstLine="480" w:firstLineChars="200"/>
              <w:rPr>
                <w:bCs/>
                <w:color w:val="auto"/>
                <w:highlight w:val="none"/>
              </w:rPr>
            </w:pPr>
            <w:r>
              <w:rPr>
                <w:rFonts w:hint="eastAsia"/>
                <w:color w:val="auto"/>
                <w:highlight w:val="none"/>
                <w:lang w:val="en-US" w:eastAsia="zh-CN"/>
              </w:rPr>
              <w:t>对照《排污单位自行监测技术指南 总则》（HJ 819-2017），本项目噪声监测计划见下表。</w:t>
            </w:r>
          </w:p>
          <w:p w14:paraId="39D9185B">
            <w:pPr>
              <w:pStyle w:val="162"/>
              <w:bidi w:val="0"/>
              <w:rPr>
                <w:color w:val="auto"/>
                <w:highlight w:val="none"/>
              </w:rPr>
            </w:pPr>
            <w:r>
              <w:rPr>
                <w:color w:val="auto"/>
                <w:highlight w:val="none"/>
              </w:rPr>
              <w:t>噪声监测计划表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85"/>
              <w:gridCol w:w="1373"/>
              <w:gridCol w:w="2105"/>
              <w:gridCol w:w="3708"/>
            </w:tblGrid>
            <w:tr w14:paraId="0EA06F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8" w:type="pct"/>
                  <w:vAlign w:val="center"/>
                </w:tcPr>
                <w:p w14:paraId="5E148248">
                  <w:pPr>
                    <w:pStyle w:val="41"/>
                    <w:bidi w:val="0"/>
                    <w:rPr>
                      <w:b/>
                      <w:bCs/>
                      <w:color w:val="auto"/>
                      <w:highlight w:val="none"/>
                    </w:rPr>
                  </w:pPr>
                  <w:r>
                    <w:rPr>
                      <w:b/>
                      <w:bCs/>
                      <w:color w:val="auto"/>
                      <w:highlight w:val="none"/>
                    </w:rPr>
                    <w:t>监测位置</w:t>
                  </w:r>
                </w:p>
              </w:tc>
              <w:tc>
                <w:tcPr>
                  <w:tcW w:w="810" w:type="pct"/>
                  <w:vAlign w:val="center"/>
                </w:tcPr>
                <w:p w14:paraId="5B7384F5">
                  <w:pPr>
                    <w:pStyle w:val="41"/>
                    <w:bidi w:val="0"/>
                    <w:rPr>
                      <w:b/>
                      <w:bCs/>
                      <w:color w:val="auto"/>
                      <w:highlight w:val="none"/>
                    </w:rPr>
                  </w:pPr>
                  <w:r>
                    <w:rPr>
                      <w:b/>
                      <w:bCs/>
                      <w:color w:val="auto"/>
                      <w:highlight w:val="none"/>
                    </w:rPr>
                    <w:t>监测项目</w:t>
                  </w:r>
                </w:p>
              </w:tc>
              <w:tc>
                <w:tcPr>
                  <w:tcW w:w="1242" w:type="pct"/>
                  <w:vAlign w:val="center"/>
                </w:tcPr>
                <w:p w14:paraId="752FEEED">
                  <w:pPr>
                    <w:pStyle w:val="41"/>
                    <w:bidi w:val="0"/>
                    <w:rPr>
                      <w:b/>
                      <w:bCs/>
                      <w:color w:val="auto"/>
                      <w:highlight w:val="none"/>
                    </w:rPr>
                  </w:pPr>
                  <w:r>
                    <w:rPr>
                      <w:b/>
                      <w:bCs/>
                      <w:color w:val="auto"/>
                      <w:highlight w:val="none"/>
                    </w:rPr>
                    <w:t>监测频次</w:t>
                  </w:r>
                </w:p>
              </w:tc>
              <w:tc>
                <w:tcPr>
                  <w:tcW w:w="2188" w:type="pct"/>
                  <w:vAlign w:val="center"/>
                </w:tcPr>
                <w:p w14:paraId="7A72B7B0">
                  <w:pPr>
                    <w:pStyle w:val="41"/>
                    <w:bidi w:val="0"/>
                    <w:rPr>
                      <w:b/>
                      <w:bCs/>
                      <w:color w:val="auto"/>
                      <w:highlight w:val="none"/>
                    </w:rPr>
                  </w:pPr>
                  <w:r>
                    <w:rPr>
                      <w:b/>
                      <w:bCs/>
                      <w:color w:val="auto"/>
                      <w:highlight w:val="none"/>
                    </w:rPr>
                    <w:t>执行标准</w:t>
                  </w:r>
                </w:p>
              </w:tc>
            </w:tr>
            <w:tr w14:paraId="359AE4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8" w:type="pct"/>
                  <w:vAlign w:val="center"/>
                </w:tcPr>
                <w:p w14:paraId="5810394F">
                  <w:pPr>
                    <w:pStyle w:val="41"/>
                    <w:bidi w:val="0"/>
                    <w:rPr>
                      <w:color w:val="auto"/>
                      <w:highlight w:val="none"/>
                    </w:rPr>
                  </w:pPr>
                  <w:r>
                    <w:rPr>
                      <w:color w:val="auto"/>
                      <w:highlight w:val="none"/>
                    </w:rPr>
                    <w:t>厂界四周外1m</w:t>
                  </w:r>
                </w:p>
              </w:tc>
              <w:tc>
                <w:tcPr>
                  <w:tcW w:w="810" w:type="pct"/>
                  <w:vAlign w:val="center"/>
                </w:tcPr>
                <w:p w14:paraId="2236B370">
                  <w:pPr>
                    <w:pStyle w:val="41"/>
                    <w:bidi w:val="0"/>
                    <w:rPr>
                      <w:color w:val="auto"/>
                      <w:highlight w:val="none"/>
                    </w:rPr>
                  </w:pPr>
                  <w:r>
                    <w:rPr>
                      <w:rFonts w:hint="eastAsia"/>
                      <w:color w:val="auto"/>
                      <w:highlight w:val="none"/>
                    </w:rPr>
                    <w:t>昼间</w:t>
                  </w:r>
                  <w:r>
                    <w:rPr>
                      <w:color w:val="auto"/>
                      <w:highlight w:val="none"/>
                    </w:rPr>
                    <w:t>等效A声级</w:t>
                  </w:r>
                </w:p>
              </w:tc>
              <w:tc>
                <w:tcPr>
                  <w:tcW w:w="1242" w:type="pct"/>
                  <w:vAlign w:val="center"/>
                </w:tcPr>
                <w:p w14:paraId="1D07A6CA">
                  <w:pPr>
                    <w:pStyle w:val="41"/>
                    <w:bidi w:val="0"/>
                    <w:rPr>
                      <w:color w:val="auto"/>
                      <w:highlight w:val="none"/>
                    </w:rPr>
                  </w:pPr>
                  <w:r>
                    <w:rPr>
                      <w:rFonts w:hint="eastAsia"/>
                      <w:color w:val="auto"/>
                      <w:highlight w:val="none"/>
                    </w:rPr>
                    <w:t>1</w:t>
                  </w:r>
                  <w:r>
                    <w:rPr>
                      <w:color w:val="auto"/>
                      <w:highlight w:val="none"/>
                    </w:rPr>
                    <w:t>季度</w:t>
                  </w:r>
                  <w:r>
                    <w:rPr>
                      <w:rFonts w:hint="eastAsia"/>
                      <w:color w:val="auto"/>
                      <w:highlight w:val="none"/>
                    </w:rPr>
                    <w:t>/</w:t>
                  </w:r>
                  <w:r>
                    <w:rPr>
                      <w:color w:val="auto"/>
                      <w:highlight w:val="none"/>
                    </w:rPr>
                    <w:t>次</w:t>
                  </w:r>
                </w:p>
              </w:tc>
              <w:tc>
                <w:tcPr>
                  <w:tcW w:w="2188" w:type="pct"/>
                  <w:vAlign w:val="center"/>
                </w:tcPr>
                <w:p w14:paraId="62F206D1">
                  <w:pPr>
                    <w:pStyle w:val="41"/>
                    <w:bidi w:val="0"/>
                    <w:rPr>
                      <w:color w:val="auto"/>
                      <w:highlight w:val="none"/>
                    </w:rPr>
                  </w:pPr>
                  <w:r>
                    <w:rPr>
                      <w:color w:val="auto"/>
                      <w:highlight w:val="none"/>
                    </w:rPr>
                    <w:t>《工业企业厂界环境噪声排放标准》（GB12348-2008）中的</w:t>
                  </w:r>
                  <w:r>
                    <w:rPr>
                      <w:rFonts w:hint="eastAsia"/>
                      <w:color w:val="auto"/>
                      <w:highlight w:val="none"/>
                      <w:lang w:val="en-US" w:eastAsia="zh-CN"/>
                    </w:rPr>
                    <w:t>2</w:t>
                  </w:r>
                  <w:r>
                    <w:rPr>
                      <w:rFonts w:hint="eastAsia"/>
                      <w:color w:val="auto"/>
                      <w:highlight w:val="none"/>
                      <w:lang w:eastAsia="zh-CN"/>
                    </w:rPr>
                    <w:t>类</w:t>
                  </w:r>
                  <w:r>
                    <w:rPr>
                      <w:color w:val="auto"/>
                      <w:highlight w:val="none"/>
                    </w:rPr>
                    <w:t>标准</w:t>
                  </w:r>
                </w:p>
              </w:tc>
            </w:tr>
          </w:tbl>
          <w:p w14:paraId="48572560">
            <w:pPr>
              <w:pStyle w:val="41"/>
              <w:bidi w:val="0"/>
              <w:rPr>
                <w:color w:val="auto"/>
                <w:highlight w:val="none"/>
              </w:rPr>
            </w:pPr>
          </w:p>
          <w:p w14:paraId="7F9D1165">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b/>
                <w:bCs/>
              </w:rPr>
              <w:t>4、固体废物</w:t>
            </w:r>
          </w:p>
          <w:p w14:paraId="2E6299B6">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b/>
                <w:bCs/>
              </w:rPr>
              <w:t>（1）</w:t>
            </w:r>
            <w:r>
              <w:rPr>
                <w:rFonts w:hint="eastAsia"/>
                <w:b/>
                <w:bCs/>
              </w:rPr>
              <w:t>源强分析</w:t>
            </w:r>
          </w:p>
          <w:p w14:paraId="75F8B7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t>本项目产生的</w:t>
            </w:r>
            <w:r>
              <w:rPr>
                <w:rFonts w:hint="eastAsia"/>
              </w:rPr>
              <w:t>固体废物</w:t>
            </w:r>
            <w:r>
              <w:t>包括</w:t>
            </w:r>
            <w:r>
              <w:rPr>
                <w:rFonts w:hint="eastAsia"/>
              </w:rPr>
              <w:t>一般固体废物、危险废物和职工办公生活产生的生活垃圾。一般固体废物包括</w:t>
            </w:r>
            <w:r>
              <w:rPr>
                <w:rFonts w:hint="eastAsia"/>
                <w:lang w:val="en-US" w:eastAsia="zh-CN"/>
              </w:rPr>
              <w:t>纯水制备滤芯、废外包装材料、化粪池污泥</w:t>
            </w:r>
            <w:r>
              <w:rPr>
                <w:rFonts w:hint="eastAsia"/>
                <w:lang w:eastAsia="zh-CN"/>
              </w:rPr>
              <w:t>；</w:t>
            </w:r>
            <w:r>
              <w:rPr>
                <w:rFonts w:hint="eastAsia"/>
              </w:rPr>
              <w:t>危险废物包括</w:t>
            </w:r>
            <w:r>
              <w:rPr>
                <w:rFonts w:hint="eastAsia"/>
                <w:lang w:eastAsia="zh-CN"/>
              </w:rPr>
              <w:t>废液及废料、废实验用品、废过滤器、废活性炭、废试剂包装、污水站污泥。</w:t>
            </w:r>
          </w:p>
          <w:p w14:paraId="02BFFF4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val="en-US" w:eastAsia="zh-CN"/>
              </w:rPr>
              <w:t>1）</w:t>
            </w:r>
            <w:r>
              <w:rPr>
                <w:rFonts w:hint="eastAsia"/>
                <w:lang w:eastAsia="zh-CN"/>
              </w:rPr>
              <w:t>废液及废料</w:t>
            </w:r>
          </w:p>
          <w:p w14:paraId="45DA80D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实验结束后，培养基、检测样品、过滤废渣等样品作为废料处置，仪器及器皿首次清洗、未用尽化学试剂作为废液处置。废液及废料主要来源于原料、试剂配制用水、首次清洗废液，根据下表计算，本项目废液及废料产生量为106.45t/a。废液及废料收集后暂存于各实验室危废暂存点，定期委托有资质单位处置。培养基、血浆、组织等样品收集前先利用灭菌锅进行灭菌。</w:t>
            </w:r>
          </w:p>
          <w:p w14:paraId="5FC55FFD">
            <w:pPr>
              <w:pStyle w:val="162"/>
              <w:bidi w:val="0"/>
              <w:rPr>
                <w:rFonts w:hint="eastAsia"/>
                <w:lang w:val="en-US" w:eastAsia="zh-CN"/>
              </w:rPr>
            </w:pPr>
            <w:r>
              <w:rPr>
                <w:rFonts w:hint="eastAsia"/>
                <w:lang w:val="en-US" w:eastAsia="zh-CN"/>
              </w:rPr>
              <w:t>废液及废料产生量计算一览表</w:t>
            </w:r>
          </w:p>
          <w:tbl>
            <w:tblPr>
              <w:tblStyle w:val="33"/>
              <w:tblW w:w="8474" w:type="dxa"/>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556"/>
              <w:gridCol w:w="2367"/>
              <w:gridCol w:w="3551"/>
            </w:tblGrid>
            <w:tr w14:paraId="2A1DEB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56" w:type="dxa"/>
                  <w:tcBorders>
                    <w:tl2br w:val="nil"/>
                    <w:tr2bl w:val="nil"/>
                  </w:tcBorders>
                  <w:vAlign w:val="center"/>
                </w:tcPr>
                <w:p w14:paraId="6604DB7D">
                  <w:pPr>
                    <w:pStyle w:val="41"/>
                    <w:bidi w:val="0"/>
                    <w:jc w:val="center"/>
                    <w:rPr>
                      <w:rFonts w:hint="default"/>
                      <w:b/>
                      <w:bCs/>
                      <w:lang w:val="en-US" w:eastAsia="zh-CN"/>
                    </w:rPr>
                  </w:pPr>
                  <w:r>
                    <w:rPr>
                      <w:rFonts w:hint="eastAsia"/>
                      <w:b/>
                      <w:bCs/>
                      <w:lang w:val="en-US" w:eastAsia="zh-CN"/>
                    </w:rPr>
                    <w:t>废物来源</w:t>
                  </w:r>
                </w:p>
              </w:tc>
              <w:tc>
                <w:tcPr>
                  <w:tcW w:w="2367" w:type="dxa"/>
                  <w:tcBorders>
                    <w:tl2br w:val="nil"/>
                    <w:tr2bl w:val="nil"/>
                  </w:tcBorders>
                  <w:vAlign w:val="center"/>
                </w:tcPr>
                <w:p w14:paraId="31BC1882">
                  <w:pPr>
                    <w:pStyle w:val="41"/>
                    <w:bidi w:val="0"/>
                    <w:jc w:val="center"/>
                    <w:rPr>
                      <w:rFonts w:hint="default"/>
                      <w:b/>
                      <w:bCs/>
                      <w:lang w:val="en-US" w:eastAsia="zh-CN"/>
                    </w:rPr>
                  </w:pPr>
                  <w:r>
                    <w:rPr>
                      <w:rFonts w:hint="eastAsia"/>
                      <w:b/>
                      <w:bCs/>
                      <w:lang w:val="en-US" w:eastAsia="zh-CN"/>
                    </w:rPr>
                    <w:t>废液及废料产生量（t/a）</w:t>
                  </w:r>
                </w:p>
              </w:tc>
              <w:tc>
                <w:tcPr>
                  <w:tcW w:w="3551" w:type="dxa"/>
                  <w:tcBorders>
                    <w:tl2br w:val="nil"/>
                    <w:tr2bl w:val="nil"/>
                  </w:tcBorders>
                  <w:vAlign w:val="center"/>
                </w:tcPr>
                <w:p w14:paraId="0866C09D">
                  <w:pPr>
                    <w:pStyle w:val="41"/>
                    <w:bidi w:val="0"/>
                    <w:jc w:val="center"/>
                    <w:rPr>
                      <w:rFonts w:hint="default"/>
                      <w:b/>
                      <w:bCs/>
                      <w:lang w:val="en-US" w:eastAsia="zh-CN"/>
                    </w:rPr>
                  </w:pPr>
                  <w:r>
                    <w:rPr>
                      <w:rFonts w:hint="eastAsia"/>
                      <w:b/>
                      <w:bCs/>
                      <w:lang w:val="en-US" w:eastAsia="zh-CN"/>
                    </w:rPr>
                    <w:t>备注</w:t>
                  </w:r>
                </w:p>
              </w:tc>
            </w:tr>
            <w:tr w14:paraId="334BD0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56" w:type="dxa"/>
                  <w:tcBorders>
                    <w:tl2br w:val="nil"/>
                    <w:tr2bl w:val="nil"/>
                  </w:tcBorders>
                  <w:vAlign w:val="center"/>
                </w:tcPr>
                <w:p w14:paraId="7032C7E0">
                  <w:pPr>
                    <w:pStyle w:val="41"/>
                    <w:bidi w:val="0"/>
                    <w:jc w:val="center"/>
                    <w:rPr>
                      <w:rFonts w:hint="default"/>
                      <w:lang w:val="en-US" w:eastAsia="zh-CN"/>
                    </w:rPr>
                  </w:pPr>
                  <w:r>
                    <w:rPr>
                      <w:rFonts w:hint="eastAsia"/>
                      <w:lang w:val="en-US" w:eastAsia="zh-CN"/>
                    </w:rPr>
                    <w:t>试剂、培养基、药物、血浆、组织等（除实验室用品之外的原料）</w:t>
                  </w:r>
                </w:p>
              </w:tc>
              <w:tc>
                <w:tcPr>
                  <w:tcW w:w="2367" w:type="dxa"/>
                  <w:tcBorders>
                    <w:tl2br w:val="nil"/>
                    <w:tr2bl w:val="nil"/>
                  </w:tcBorders>
                  <w:vAlign w:val="center"/>
                </w:tcPr>
                <w:p w14:paraId="2F909597">
                  <w:pPr>
                    <w:pStyle w:val="41"/>
                    <w:bidi w:val="0"/>
                    <w:jc w:val="center"/>
                    <w:rPr>
                      <w:rFonts w:hint="default"/>
                      <w:lang w:val="en-US" w:eastAsia="zh-CN"/>
                    </w:rPr>
                  </w:pPr>
                  <w:r>
                    <w:rPr>
                      <w:rFonts w:hint="eastAsia"/>
                      <w:lang w:val="en-US" w:eastAsia="zh-CN"/>
                    </w:rPr>
                    <w:t>13.804</w:t>
                  </w:r>
                </w:p>
              </w:tc>
              <w:tc>
                <w:tcPr>
                  <w:tcW w:w="3551" w:type="dxa"/>
                  <w:tcBorders>
                    <w:tl2br w:val="nil"/>
                    <w:tr2bl w:val="nil"/>
                  </w:tcBorders>
                  <w:vAlign w:val="center"/>
                </w:tcPr>
                <w:p w14:paraId="221647E6">
                  <w:pPr>
                    <w:pStyle w:val="41"/>
                    <w:bidi w:val="0"/>
                    <w:jc w:val="center"/>
                    <w:rPr>
                      <w:rFonts w:hint="default"/>
                      <w:lang w:val="en-US" w:eastAsia="zh-CN"/>
                    </w:rPr>
                  </w:pPr>
                  <w:r>
                    <w:rPr>
                      <w:rFonts w:hint="eastAsia"/>
                      <w:lang w:val="en-US" w:eastAsia="zh-CN"/>
                    </w:rPr>
                    <w:t>原料用量共15.044t/a，废气挥发量1.24t/a，产生废液及废料约13.804t/a</w:t>
                  </w:r>
                </w:p>
              </w:tc>
            </w:tr>
            <w:tr w14:paraId="58A2F1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56" w:type="dxa"/>
                  <w:tcBorders>
                    <w:tl2br w:val="nil"/>
                    <w:tr2bl w:val="nil"/>
                  </w:tcBorders>
                  <w:vAlign w:val="center"/>
                </w:tcPr>
                <w:p w14:paraId="4899ACA2">
                  <w:pPr>
                    <w:pStyle w:val="41"/>
                    <w:bidi w:val="0"/>
                    <w:jc w:val="center"/>
                    <w:rPr>
                      <w:rFonts w:hint="eastAsia"/>
                      <w:lang w:val="en-US" w:eastAsia="zh-CN"/>
                    </w:rPr>
                  </w:pPr>
                  <w:r>
                    <w:rPr>
                      <w:rFonts w:hint="eastAsia"/>
                      <w:lang w:val="en-US" w:eastAsia="zh-CN"/>
                    </w:rPr>
                    <w:t>试剂配制用水</w:t>
                  </w:r>
                </w:p>
              </w:tc>
              <w:tc>
                <w:tcPr>
                  <w:tcW w:w="2367" w:type="dxa"/>
                  <w:tcBorders>
                    <w:tl2br w:val="nil"/>
                    <w:tr2bl w:val="nil"/>
                  </w:tcBorders>
                  <w:vAlign w:val="center"/>
                </w:tcPr>
                <w:p w14:paraId="20734541">
                  <w:pPr>
                    <w:pStyle w:val="41"/>
                    <w:bidi w:val="0"/>
                    <w:jc w:val="center"/>
                    <w:rPr>
                      <w:rFonts w:hint="default"/>
                      <w:lang w:val="en-US" w:eastAsia="zh-CN"/>
                    </w:rPr>
                  </w:pPr>
                  <w:r>
                    <w:rPr>
                      <w:rFonts w:hint="eastAsia"/>
                      <w:lang w:val="en-US" w:eastAsia="zh-CN"/>
                    </w:rPr>
                    <w:t>50</w:t>
                  </w:r>
                </w:p>
              </w:tc>
              <w:tc>
                <w:tcPr>
                  <w:tcW w:w="3551" w:type="dxa"/>
                  <w:tcBorders>
                    <w:tl2br w:val="nil"/>
                    <w:tr2bl w:val="nil"/>
                  </w:tcBorders>
                  <w:vAlign w:val="center"/>
                </w:tcPr>
                <w:p w14:paraId="05293C14">
                  <w:pPr>
                    <w:pStyle w:val="41"/>
                    <w:bidi w:val="0"/>
                    <w:jc w:val="center"/>
                    <w:rPr>
                      <w:rFonts w:hint="default"/>
                      <w:lang w:val="en-US" w:eastAsia="zh-CN"/>
                    </w:rPr>
                  </w:pPr>
                  <w:r>
                    <w:rPr>
                      <w:rFonts w:hint="eastAsia"/>
                      <w:lang w:val="en-US" w:eastAsia="zh-CN"/>
                    </w:rPr>
                    <w:t>/</w:t>
                  </w:r>
                </w:p>
              </w:tc>
            </w:tr>
            <w:tr w14:paraId="0E0778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56" w:type="dxa"/>
                  <w:tcBorders>
                    <w:tl2br w:val="nil"/>
                    <w:tr2bl w:val="nil"/>
                  </w:tcBorders>
                  <w:vAlign w:val="center"/>
                </w:tcPr>
                <w:p w14:paraId="2BCE46AB">
                  <w:pPr>
                    <w:pStyle w:val="41"/>
                    <w:bidi w:val="0"/>
                    <w:jc w:val="center"/>
                    <w:rPr>
                      <w:rFonts w:hint="eastAsia"/>
                      <w:lang w:val="en-US" w:eastAsia="zh-CN"/>
                    </w:rPr>
                  </w:pPr>
                  <w:r>
                    <w:rPr>
                      <w:rFonts w:hint="eastAsia"/>
                      <w:lang w:val="en-US" w:eastAsia="zh-CN"/>
                    </w:rPr>
                    <w:t>首次清洗废液</w:t>
                  </w:r>
                </w:p>
              </w:tc>
              <w:tc>
                <w:tcPr>
                  <w:tcW w:w="2367" w:type="dxa"/>
                  <w:tcBorders>
                    <w:tl2br w:val="nil"/>
                    <w:tr2bl w:val="nil"/>
                  </w:tcBorders>
                  <w:vAlign w:val="center"/>
                </w:tcPr>
                <w:p w14:paraId="15EA30E2">
                  <w:pPr>
                    <w:pStyle w:val="41"/>
                    <w:bidi w:val="0"/>
                    <w:jc w:val="center"/>
                    <w:rPr>
                      <w:rFonts w:hint="default"/>
                      <w:lang w:val="en-US" w:eastAsia="zh-CN"/>
                    </w:rPr>
                  </w:pPr>
                  <w:r>
                    <w:rPr>
                      <w:rFonts w:hint="eastAsia"/>
                      <w:lang w:val="en-US" w:eastAsia="zh-CN"/>
                    </w:rPr>
                    <w:t>50</w:t>
                  </w:r>
                </w:p>
              </w:tc>
              <w:tc>
                <w:tcPr>
                  <w:tcW w:w="3551" w:type="dxa"/>
                  <w:tcBorders>
                    <w:tl2br w:val="nil"/>
                    <w:tr2bl w:val="nil"/>
                  </w:tcBorders>
                  <w:vAlign w:val="center"/>
                </w:tcPr>
                <w:p w14:paraId="327AC85D">
                  <w:pPr>
                    <w:pStyle w:val="41"/>
                    <w:bidi w:val="0"/>
                    <w:jc w:val="center"/>
                    <w:rPr>
                      <w:rFonts w:hint="default"/>
                      <w:lang w:val="en-US" w:eastAsia="zh-CN"/>
                    </w:rPr>
                  </w:pPr>
                  <w:r>
                    <w:rPr>
                      <w:rFonts w:hint="eastAsia"/>
                      <w:lang w:val="en-US" w:eastAsia="zh-CN"/>
                    </w:rPr>
                    <w:t>/</w:t>
                  </w:r>
                </w:p>
              </w:tc>
            </w:tr>
            <w:tr w14:paraId="4A84DE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56" w:type="dxa"/>
                  <w:tcBorders>
                    <w:tl2br w:val="nil"/>
                    <w:tr2bl w:val="nil"/>
                  </w:tcBorders>
                  <w:vAlign w:val="center"/>
                </w:tcPr>
                <w:p w14:paraId="452B82AF">
                  <w:pPr>
                    <w:pStyle w:val="41"/>
                    <w:bidi w:val="0"/>
                    <w:jc w:val="center"/>
                    <w:rPr>
                      <w:rFonts w:hint="default"/>
                      <w:lang w:val="en-US" w:eastAsia="zh-CN"/>
                    </w:rPr>
                  </w:pPr>
                  <w:r>
                    <w:rPr>
                      <w:rFonts w:hint="eastAsia"/>
                      <w:lang w:val="en-US" w:eastAsia="zh-CN"/>
                    </w:rPr>
                    <w:t>合计</w:t>
                  </w:r>
                </w:p>
              </w:tc>
              <w:tc>
                <w:tcPr>
                  <w:tcW w:w="2367" w:type="dxa"/>
                  <w:tcBorders>
                    <w:tl2br w:val="nil"/>
                    <w:tr2bl w:val="nil"/>
                  </w:tcBorders>
                  <w:vAlign w:val="center"/>
                </w:tcPr>
                <w:p w14:paraId="11B51A3B">
                  <w:pPr>
                    <w:pStyle w:val="41"/>
                    <w:bidi w:val="0"/>
                    <w:jc w:val="center"/>
                    <w:rPr>
                      <w:rFonts w:hint="default"/>
                      <w:lang w:val="en-US" w:eastAsia="zh-CN"/>
                    </w:rPr>
                  </w:pPr>
                  <w:r>
                    <w:rPr>
                      <w:rFonts w:hint="eastAsia"/>
                      <w:lang w:val="en-US" w:eastAsia="zh-CN"/>
                    </w:rPr>
                    <w:t>113.804</w:t>
                  </w:r>
                </w:p>
              </w:tc>
              <w:tc>
                <w:tcPr>
                  <w:tcW w:w="3551" w:type="dxa"/>
                  <w:tcBorders>
                    <w:tl2br w:val="nil"/>
                    <w:tr2bl w:val="nil"/>
                  </w:tcBorders>
                  <w:vAlign w:val="center"/>
                </w:tcPr>
                <w:p w14:paraId="41EBB83F">
                  <w:pPr>
                    <w:pStyle w:val="41"/>
                    <w:bidi w:val="0"/>
                    <w:jc w:val="center"/>
                    <w:rPr>
                      <w:rFonts w:hint="default"/>
                      <w:lang w:val="en-US" w:eastAsia="zh-CN"/>
                    </w:rPr>
                  </w:pPr>
                  <w:r>
                    <w:rPr>
                      <w:rFonts w:hint="eastAsia"/>
                      <w:lang w:val="en-US" w:eastAsia="zh-CN"/>
                    </w:rPr>
                    <w:t>/</w:t>
                  </w:r>
                </w:p>
              </w:tc>
            </w:tr>
          </w:tbl>
          <w:p w14:paraId="1CFB5202">
            <w:pPr>
              <w:pStyle w:val="41"/>
              <w:bidi w:val="0"/>
              <w:rPr>
                <w:rFonts w:hint="eastAsia"/>
                <w:lang w:val="en-US" w:eastAsia="zh-CN"/>
              </w:rPr>
            </w:pPr>
          </w:p>
          <w:p w14:paraId="5D4E76D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2）废实验用品</w:t>
            </w:r>
          </w:p>
          <w:p w14:paraId="7D2D12B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实验过程中需要使用试剂盒、EP管、口罩、手套等消耗物品，参照现有项目，根据</w:t>
            </w:r>
            <w:r>
              <w:t>企业经验</w:t>
            </w:r>
            <w:r>
              <w:rPr>
                <w:rFonts w:hint="eastAsia"/>
                <w:lang w:val="en-US" w:eastAsia="zh-CN"/>
              </w:rPr>
              <w:t>，此部分废实验用品产生量约4t/a，收集后暂存于各实验室危废暂存点，定期委托有资质单位处置。</w:t>
            </w:r>
          </w:p>
          <w:p w14:paraId="356EDAD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3）废过滤器</w:t>
            </w:r>
          </w:p>
          <w:p w14:paraId="758A4E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生物安全柜ULPA过滤器约1年更换一次，本项目共使用7台生物安全柜，废过滤器产生量为0.07t/a，收集后暂存于危险废物暂存区，定期委托有资质单位处置。</w:t>
            </w:r>
          </w:p>
          <w:p w14:paraId="4C556B4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4）废活性炭</w:t>
            </w:r>
          </w:p>
          <w:p w14:paraId="67E660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装置TA005、TA006活性炭填充量为1.5t，装置TA005、TA006活性炭填充量为0.1t，每年更换4次，活性炭年填充量为12.4t/a。根据废气源强计算，装置TA005、TA006吸附有机废气量1.0022t/a，废活性炭产生量约13.4t/a。</w:t>
            </w:r>
          </w:p>
          <w:p w14:paraId="1EB8E3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5）废试剂包装</w:t>
            </w:r>
          </w:p>
          <w:p w14:paraId="268C91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color w:val="auto"/>
                <w:highlight w:val="none"/>
              </w:rPr>
              <w:t>各种试剂用尽后包装物会沾染残留试剂</w:t>
            </w:r>
            <w:r>
              <w:rPr>
                <w:rFonts w:hint="eastAsia"/>
                <w:color w:val="auto"/>
                <w:sz w:val="24"/>
                <w:highlight w:val="none"/>
              </w:rPr>
              <w:t>，</w:t>
            </w:r>
            <w:r>
              <w:rPr>
                <w:rFonts w:hint="eastAsia"/>
                <w:color w:val="auto"/>
                <w:sz w:val="24"/>
                <w:highlight w:val="none"/>
                <w:lang w:val="en-US" w:eastAsia="zh-CN"/>
              </w:rPr>
              <w:t>废试剂包装主要为塑料桶、玻璃瓶等，</w:t>
            </w:r>
            <w:r>
              <w:rPr>
                <w:rFonts w:hint="eastAsia"/>
                <w:color w:val="auto"/>
                <w:highlight w:val="none"/>
                <w:lang w:val="en-US" w:eastAsia="zh-CN"/>
              </w:rPr>
              <w:t>废试剂包装</w:t>
            </w:r>
            <w:r>
              <w:rPr>
                <w:rFonts w:hint="eastAsia"/>
                <w:color w:val="auto"/>
                <w:sz w:val="24"/>
                <w:highlight w:val="none"/>
              </w:rPr>
              <w:t>产生量</w:t>
            </w:r>
            <w:r>
              <w:rPr>
                <w:rFonts w:hint="eastAsia"/>
                <w:color w:val="auto"/>
                <w:sz w:val="24"/>
                <w:highlight w:val="none"/>
                <w:lang w:val="en-US" w:eastAsia="zh-CN"/>
              </w:rPr>
              <w:t>约1</w:t>
            </w:r>
            <w:r>
              <w:rPr>
                <w:rFonts w:hint="eastAsia"/>
                <w:color w:val="auto"/>
                <w:sz w:val="24"/>
                <w:highlight w:val="none"/>
              </w:rPr>
              <w:t>t/a，</w:t>
            </w:r>
            <w:r>
              <w:rPr>
                <w:rFonts w:hint="eastAsia"/>
                <w:lang w:val="en-US" w:eastAsia="zh-CN"/>
              </w:rPr>
              <w:t>收集后暂存于危险废物暂存区，定期委托有资质单位处置</w:t>
            </w:r>
            <w:r>
              <w:rPr>
                <w:rFonts w:hint="eastAsia"/>
                <w:color w:val="auto"/>
                <w:sz w:val="24"/>
                <w:highlight w:val="none"/>
              </w:rPr>
              <w:t>。</w:t>
            </w:r>
          </w:p>
          <w:p w14:paraId="05044EC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6）污水站污泥</w:t>
            </w:r>
          </w:p>
          <w:p w14:paraId="035BBF9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根据上文表4-1计算，本项目污水处理站去除各类废水污染物约1.17t/a，污水站污泥含水率约80%，则污水站污泥产生量为5.85t/a，清理时委托有资质单位处置</w:t>
            </w:r>
            <w:r>
              <w:rPr>
                <w:rFonts w:hint="eastAsia"/>
                <w:color w:val="auto"/>
                <w:sz w:val="24"/>
                <w:highlight w:val="none"/>
              </w:rPr>
              <w:t>。</w:t>
            </w:r>
          </w:p>
          <w:p w14:paraId="5D3B70C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7）化粪池污泥</w:t>
            </w:r>
          </w:p>
          <w:p w14:paraId="3BF09C4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根据上文表4-1计算，本项目化粪池去除各类废水污染物约0.8t/a，化粪池污泥含水率约80%，则化粪池污泥产生量为4t/a，清理时委托专业单位处理</w:t>
            </w:r>
            <w:r>
              <w:rPr>
                <w:rFonts w:hint="eastAsia"/>
                <w:color w:val="auto"/>
                <w:sz w:val="24"/>
                <w:highlight w:val="none"/>
              </w:rPr>
              <w:t>。</w:t>
            </w:r>
          </w:p>
          <w:p w14:paraId="7F9BDE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8）纯水制备滤芯</w:t>
            </w:r>
          </w:p>
          <w:p w14:paraId="09E0D98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本项目建成后1号楼共5台纯水仪，滤芯一年更换一次，纯水制备滤芯产生量为0.1t/a，收集后外售。</w:t>
            </w:r>
          </w:p>
          <w:p w14:paraId="49EE45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9）废外包装材料</w:t>
            </w:r>
          </w:p>
          <w:p w14:paraId="5D99773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color w:val="auto"/>
                <w:sz w:val="24"/>
                <w:highlight w:val="none"/>
              </w:rPr>
              <w:t>本项目</w:t>
            </w:r>
            <w:r>
              <w:rPr>
                <w:rFonts w:hint="eastAsia"/>
                <w:color w:val="auto"/>
                <w:sz w:val="24"/>
                <w:highlight w:val="none"/>
                <w:lang w:val="en-US" w:eastAsia="zh-CN"/>
              </w:rPr>
              <w:t>原辅料</w:t>
            </w:r>
            <w:r>
              <w:rPr>
                <w:rFonts w:hint="eastAsia"/>
                <w:color w:val="auto"/>
                <w:sz w:val="24"/>
                <w:highlight w:val="none"/>
              </w:rPr>
              <w:t>在使用过程中需要拆除内外包装，</w:t>
            </w:r>
            <w:r>
              <w:rPr>
                <w:rFonts w:hint="eastAsia"/>
                <w:color w:val="auto"/>
                <w:sz w:val="24"/>
                <w:highlight w:val="none"/>
                <w:lang w:val="en-US" w:eastAsia="zh-CN"/>
              </w:rPr>
              <w:t>主要为纸箱、塑料袋等，</w:t>
            </w:r>
            <w:r>
              <w:rPr>
                <w:rFonts w:hint="eastAsia"/>
                <w:color w:val="auto"/>
                <w:sz w:val="24"/>
                <w:highlight w:val="none"/>
              </w:rPr>
              <w:t>废</w:t>
            </w:r>
            <w:r>
              <w:rPr>
                <w:rFonts w:hint="eastAsia"/>
                <w:color w:val="auto"/>
                <w:sz w:val="24"/>
                <w:highlight w:val="none"/>
                <w:lang w:val="en-US" w:eastAsia="zh-CN"/>
              </w:rPr>
              <w:t>外</w:t>
            </w:r>
            <w:r>
              <w:rPr>
                <w:rFonts w:hint="eastAsia"/>
                <w:color w:val="auto"/>
                <w:sz w:val="24"/>
                <w:highlight w:val="none"/>
              </w:rPr>
              <w:t>包装材料产生量</w:t>
            </w:r>
            <w:r>
              <w:rPr>
                <w:rFonts w:hint="eastAsia"/>
                <w:color w:val="auto"/>
                <w:sz w:val="24"/>
                <w:highlight w:val="none"/>
                <w:lang w:val="en-US" w:eastAsia="zh-CN"/>
              </w:rPr>
              <w:t>约1</w:t>
            </w:r>
            <w:r>
              <w:rPr>
                <w:rFonts w:hint="eastAsia"/>
                <w:color w:val="auto"/>
                <w:sz w:val="24"/>
                <w:highlight w:val="none"/>
              </w:rPr>
              <w:t>t/a，收集后外售。</w:t>
            </w:r>
          </w:p>
          <w:p w14:paraId="089FCC8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10）生活垃圾</w:t>
            </w:r>
          </w:p>
          <w:p w14:paraId="62FC92D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lang w:val="en-US" w:eastAsia="zh-CN"/>
              </w:rPr>
              <w:t>本项目建成后1号楼共有</w:t>
            </w:r>
            <w:r>
              <w:rPr>
                <w:rFonts w:hint="eastAsia"/>
                <w:lang w:eastAsia="zh-CN"/>
              </w:rPr>
              <w:t>职工</w:t>
            </w:r>
            <w:r>
              <w:rPr>
                <w:rFonts w:hint="eastAsia"/>
                <w:lang w:val="en-US" w:eastAsia="zh-CN"/>
              </w:rPr>
              <w:t>250</w:t>
            </w:r>
            <w:r>
              <w:rPr>
                <w:rFonts w:hint="eastAsia"/>
              </w:rPr>
              <w:t>人，生活垃圾产生量按0.5kg/人•d计，以</w:t>
            </w:r>
            <w:r>
              <w:rPr>
                <w:rFonts w:hint="eastAsia"/>
                <w:lang w:val="en-US" w:eastAsia="zh-CN"/>
              </w:rPr>
              <w:t>250</w:t>
            </w:r>
            <w:r>
              <w:rPr>
                <w:rFonts w:hint="eastAsia"/>
              </w:rPr>
              <w:t>d/a计，则生活垃圾产生量为</w:t>
            </w:r>
            <w:r>
              <w:rPr>
                <w:rFonts w:hint="eastAsia"/>
                <w:lang w:val="en-US" w:eastAsia="zh-CN"/>
              </w:rPr>
              <w:t>31.25</w:t>
            </w:r>
            <w:r>
              <w:rPr>
                <w:rFonts w:hint="eastAsia"/>
              </w:rPr>
              <w:t>t/a，收集后交由环卫清运。</w:t>
            </w:r>
          </w:p>
          <w:p w14:paraId="0FD8F369">
            <w:pPr>
              <w:bidi w:val="0"/>
              <w:ind w:firstLine="482" w:firstLineChars="200"/>
              <w:rPr>
                <w:b/>
                <w:bCs/>
                <w:color w:val="auto"/>
                <w:highlight w:val="none"/>
              </w:rPr>
            </w:pPr>
            <w:r>
              <w:rPr>
                <w:rFonts w:hint="eastAsia"/>
                <w:b/>
                <w:bCs/>
                <w:lang w:eastAsia="zh-CN"/>
              </w:rPr>
              <w:t>（</w:t>
            </w:r>
            <w:r>
              <w:rPr>
                <w:rFonts w:hint="eastAsia"/>
                <w:b/>
                <w:bCs/>
                <w:lang w:val="en-US" w:eastAsia="zh-CN"/>
              </w:rPr>
              <w:t>2</w:t>
            </w:r>
            <w:r>
              <w:rPr>
                <w:rFonts w:hint="eastAsia"/>
                <w:b/>
                <w:bCs/>
                <w:lang w:eastAsia="zh-CN"/>
              </w:rPr>
              <w:t>）</w:t>
            </w:r>
            <w:r>
              <w:rPr>
                <w:b/>
                <w:bCs/>
                <w:color w:val="auto"/>
                <w:highlight w:val="none"/>
              </w:rPr>
              <w:t>固体废物鉴别</w:t>
            </w:r>
          </w:p>
          <w:p w14:paraId="51B7CF32">
            <w:pPr>
              <w:bidi w:val="0"/>
              <w:ind w:firstLine="480" w:firstLineChars="200"/>
              <w:rPr>
                <w:color w:val="auto"/>
                <w:highlight w:val="none"/>
              </w:rPr>
            </w:pPr>
            <w:r>
              <w:rPr>
                <w:color w:val="auto"/>
                <w:highlight w:val="none"/>
              </w:rPr>
              <w:t>根据《中华人民共和国固体废物污染环境防治法》（2020年9月1日实施）、《固体废物鉴别标准</w:t>
            </w:r>
            <w:r>
              <w:rPr>
                <w:rFonts w:hint="eastAsia"/>
                <w:color w:val="auto"/>
                <w:highlight w:val="none"/>
              </w:rPr>
              <w:t xml:space="preserve"> </w:t>
            </w:r>
            <w:r>
              <w:rPr>
                <w:color w:val="auto"/>
                <w:highlight w:val="none"/>
              </w:rPr>
              <w:t>通则》（GB34330-2017）的规定、《固体废物分类与代码</w:t>
            </w:r>
            <w:r>
              <w:rPr>
                <w:rFonts w:hint="eastAsia"/>
                <w:color w:val="auto"/>
                <w:highlight w:val="none"/>
                <w:lang w:val="en-US" w:eastAsia="zh-CN"/>
              </w:rPr>
              <w:t>目录</w:t>
            </w:r>
            <w:r>
              <w:rPr>
                <w:color w:val="auto"/>
                <w:highlight w:val="none"/>
              </w:rPr>
              <w:t>》（</w:t>
            </w:r>
            <w:r>
              <w:rPr>
                <w:rFonts w:hint="eastAsia"/>
                <w:color w:val="auto"/>
                <w:highlight w:val="none"/>
              </w:rPr>
              <w:t>生态环境部</w:t>
            </w:r>
            <w:r>
              <w:rPr>
                <w:rFonts w:hint="eastAsia"/>
                <w:color w:val="auto"/>
                <w:highlight w:val="none"/>
                <w:lang w:eastAsia="zh-CN"/>
              </w:rPr>
              <w:t>，</w:t>
            </w:r>
            <w:r>
              <w:rPr>
                <w:rFonts w:hint="eastAsia"/>
                <w:color w:val="auto"/>
                <w:highlight w:val="none"/>
              </w:rPr>
              <w:t>公告2024年第4号</w:t>
            </w:r>
            <w:r>
              <w:rPr>
                <w:color w:val="auto"/>
                <w:highlight w:val="none"/>
              </w:rPr>
              <w:t>）以及按照《建设项目危险废物环境影响评价指南》（</w:t>
            </w:r>
            <w:sdt>
              <w:sdtPr>
                <w:rPr>
                  <w:color w:val="auto"/>
                  <w:highlight w:val="none"/>
                </w:rPr>
                <w:alias w:val="敏感词检查"/>
                <w:tag w:val="auto"/>
                <w:id w:val="1031653"/>
              </w:sdtPr>
              <w:sdtEndPr>
                <w:rPr>
                  <w:color w:val="auto"/>
                  <w:highlight w:val="none"/>
                </w:rPr>
              </w:sdtEndPr>
              <w:sdtContent>
                <w:bookmarkStart w:id="54" w:name="bkPolitics1031653"/>
                <w:r>
                  <w:rPr>
                    <w:color w:val="auto"/>
                    <w:highlight w:val="none"/>
                  </w:rPr>
                  <w:t>环境保护部</w:t>
                </w:r>
                <w:bookmarkEnd w:id="54"/>
              </w:sdtContent>
            </w:sdt>
            <w:r>
              <w:rPr>
                <w:color w:val="auto"/>
                <w:highlight w:val="none"/>
              </w:rPr>
              <w:t>公告2017年第43号）</w:t>
            </w:r>
            <w:sdt>
              <w:sdtPr>
                <w:rPr>
                  <w:color w:val="auto"/>
                  <w:highlight w:val="none"/>
                </w:rPr>
                <w:alias w:val="易错词检查"/>
                <w:tag w:val="auto"/>
                <w:id w:val="1182710"/>
              </w:sdtPr>
              <w:sdtEndPr>
                <w:rPr>
                  <w:color w:val="auto"/>
                  <w:highlight w:val="none"/>
                </w:rPr>
              </w:sdtEndPr>
              <w:sdtContent>
                <w:bookmarkStart w:id="55" w:name="bkReivew1182710"/>
                <w:r>
                  <w:rPr>
                    <w:color w:val="auto"/>
                    <w:highlight w:val="none"/>
                  </w:rPr>
                  <w:t>中</w:t>
                </w:r>
                <w:bookmarkEnd w:id="55"/>
              </w:sdtContent>
            </w:sdt>
            <w:r>
              <w:rPr>
                <w:color w:val="auto"/>
                <w:highlight w:val="none"/>
              </w:rPr>
              <w:t>相关编制要求，</w:t>
            </w:r>
            <w:r>
              <w:rPr>
                <w:rFonts w:hint="eastAsia"/>
                <w:color w:val="auto"/>
                <w:highlight w:val="none"/>
              </w:rPr>
              <w:t>本项目固体废物鉴别情况见</w:t>
            </w:r>
            <w:r>
              <w:rPr>
                <w:rFonts w:hint="eastAsia"/>
                <w:color w:val="auto"/>
                <w:highlight w:val="none"/>
                <w:lang w:val="en-US" w:eastAsia="zh-CN"/>
              </w:rPr>
              <w:t>下表</w:t>
            </w:r>
            <w:r>
              <w:rPr>
                <w:color w:val="auto"/>
                <w:highlight w:val="none"/>
              </w:rPr>
              <w:t>。</w:t>
            </w:r>
          </w:p>
          <w:p w14:paraId="5148AA3E">
            <w:pPr>
              <w:pStyle w:val="162"/>
              <w:bidi w:val="0"/>
              <w:rPr>
                <w:color w:val="auto"/>
                <w:highlight w:val="none"/>
              </w:rPr>
            </w:pPr>
            <w:r>
              <w:rPr>
                <w:color w:val="auto"/>
                <w:highlight w:val="none"/>
              </w:rPr>
              <w:t>本项目固体废物属性判定结果</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0"/>
              <w:gridCol w:w="1535"/>
              <w:gridCol w:w="1587"/>
              <w:gridCol w:w="769"/>
              <w:gridCol w:w="1130"/>
              <w:gridCol w:w="951"/>
              <w:gridCol w:w="1089"/>
              <w:gridCol w:w="770"/>
            </w:tblGrid>
            <w:tr w14:paraId="52DA0B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377" w:type="pct"/>
                  <w:vMerge w:val="restart"/>
                  <w:vAlign w:val="center"/>
                </w:tcPr>
                <w:p w14:paraId="28A6629C">
                  <w:pPr>
                    <w:pStyle w:val="41"/>
                    <w:bidi w:val="0"/>
                    <w:jc w:val="center"/>
                    <w:rPr>
                      <w:b/>
                      <w:bCs/>
                      <w:color w:val="auto"/>
                      <w:highlight w:val="none"/>
                    </w:rPr>
                  </w:pPr>
                  <w:r>
                    <w:rPr>
                      <w:b/>
                      <w:bCs/>
                      <w:color w:val="auto"/>
                      <w:highlight w:val="none"/>
                    </w:rPr>
                    <w:t>序号</w:t>
                  </w:r>
                </w:p>
              </w:tc>
              <w:tc>
                <w:tcPr>
                  <w:tcW w:w="906" w:type="pct"/>
                  <w:vMerge w:val="restart"/>
                  <w:vAlign w:val="center"/>
                </w:tcPr>
                <w:p w14:paraId="53D194C7">
                  <w:pPr>
                    <w:pStyle w:val="41"/>
                    <w:bidi w:val="0"/>
                    <w:jc w:val="center"/>
                    <w:rPr>
                      <w:b/>
                      <w:bCs/>
                      <w:color w:val="auto"/>
                      <w:highlight w:val="none"/>
                    </w:rPr>
                  </w:pPr>
                  <w:r>
                    <w:rPr>
                      <w:b/>
                      <w:bCs/>
                      <w:color w:val="auto"/>
                      <w:highlight w:val="none"/>
                    </w:rPr>
                    <w:t>固废名称</w:t>
                  </w:r>
                </w:p>
              </w:tc>
              <w:tc>
                <w:tcPr>
                  <w:tcW w:w="936" w:type="pct"/>
                  <w:vMerge w:val="restart"/>
                  <w:vAlign w:val="center"/>
                </w:tcPr>
                <w:p w14:paraId="2CB88BC7">
                  <w:pPr>
                    <w:pStyle w:val="41"/>
                    <w:bidi w:val="0"/>
                    <w:jc w:val="center"/>
                    <w:rPr>
                      <w:b/>
                      <w:bCs/>
                      <w:color w:val="auto"/>
                      <w:highlight w:val="none"/>
                    </w:rPr>
                  </w:pPr>
                  <w:r>
                    <w:rPr>
                      <w:b/>
                      <w:bCs/>
                      <w:color w:val="auto"/>
                      <w:highlight w:val="none"/>
                    </w:rPr>
                    <w:t>产生工序</w:t>
                  </w:r>
                </w:p>
              </w:tc>
              <w:tc>
                <w:tcPr>
                  <w:tcW w:w="453" w:type="pct"/>
                  <w:vMerge w:val="restart"/>
                  <w:vAlign w:val="center"/>
                </w:tcPr>
                <w:p w14:paraId="7348CF43">
                  <w:pPr>
                    <w:pStyle w:val="41"/>
                    <w:bidi w:val="0"/>
                    <w:jc w:val="center"/>
                    <w:rPr>
                      <w:b/>
                      <w:bCs/>
                      <w:color w:val="auto"/>
                      <w:highlight w:val="none"/>
                    </w:rPr>
                  </w:pPr>
                  <w:r>
                    <w:rPr>
                      <w:b/>
                      <w:bCs/>
                      <w:color w:val="auto"/>
                      <w:highlight w:val="none"/>
                    </w:rPr>
                    <w:t>形态</w:t>
                  </w:r>
                </w:p>
              </w:tc>
              <w:tc>
                <w:tcPr>
                  <w:tcW w:w="666" w:type="pct"/>
                  <w:vMerge w:val="restart"/>
                  <w:vAlign w:val="center"/>
                </w:tcPr>
                <w:p w14:paraId="4E1AE0AB">
                  <w:pPr>
                    <w:pStyle w:val="41"/>
                    <w:bidi w:val="0"/>
                    <w:jc w:val="center"/>
                    <w:rPr>
                      <w:b/>
                      <w:bCs/>
                      <w:color w:val="auto"/>
                      <w:highlight w:val="none"/>
                    </w:rPr>
                  </w:pPr>
                  <w:r>
                    <w:rPr>
                      <w:b/>
                      <w:bCs/>
                      <w:color w:val="auto"/>
                      <w:highlight w:val="none"/>
                    </w:rPr>
                    <w:t>主要成分</w:t>
                  </w:r>
                </w:p>
              </w:tc>
              <w:tc>
                <w:tcPr>
                  <w:tcW w:w="561" w:type="pct"/>
                  <w:vMerge w:val="restart"/>
                  <w:vAlign w:val="center"/>
                </w:tcPr>
                <w:p w14:paraId="40915464">
                  <w:pPr>
                    <w:pStyle w:val="41"/>
                    <w:bidi w:val="0"/>
                    <w:jc w:val="center"/>
                    <w:rPr>
                      <w:rFonts w:hint="eastAsia"/>
                      <w:b/>
                      <w:bCs/>
                      <w:color w:val="auto"/>
                      <w:highlight w:val="none"/>
                      <w:lang w:eastAsia="zh-CN"/>
                    </w:rPr>
                  </w:pPr>
                  <w:r>
                    <w:rPr>
                      <w:b/>
                      <w:bCs/>
                      <w:color w:val="auto"/>
                      <w:highlight w:val="none"/>
                    </w:rPr>
                    <w:t>预测产生量</w:t>
                  </w:r>
                  <w:r>
                    <w:rPr>
                      <w:rFonts w:hint="eastAsia"/>
                      <w:b/>
                      <w:bCs/>
                      <w:color w:val="auto"/>
                      <w:highlight w:val="none"/>
                      <w:lang w:eastAsia="zh-CN"/>
                    </w:rPr>
                    <w:t>（</w:t>
                  </w:r>
                  <w:r>
                    <w:rPr>
                      <w:rFonts w:hint="eastAsia"/>
                      <w:b/>
                      <w:bCs/>
                      <w:color w:val="auto"/>
                      <w:highlight w:val="none"/>
                      <w:lang w:val="en-US" w:eastAsia="zh-CN"/>
                    </w:rPr>
                    <w:t>t/a</w:t>
                  </w:r>
                  <w:r>
                    <w:rPr>
                      <w:rFonts w:hint="eastAsia"/>
                      <w:b/>
                      <w:bCs/>
                      <w:color w:val="auto"/>
                      <w:highlight w:val="none"/>
                      <w:lang w:eastAsia="zh-CN"/>
                    </w:rPr>
                    <w:t>）</w:t>
                  </w:r>
                </w:p>
              </w:tc>
              <w:tc>
                <w:tcPr>
                  <w:tcW w:w="1097" w:type="pct"/>
                  <w:gridSpan w:val="2"/>
                  <w:vAlign w:val="center"/>
                </w:tcPr>
                <w:p w14:paraId="1F2E9453">
                  <w:pPr>
                    <w:pStyle w:val="41"/>
                    <w:bidi w:val="0"/>
                    <w:jc w:val="center"/>
                    <w:rPr>
                      <w:b/>
                      <w:bCs/>
                      <w:color w:val="auto"/>
                      <w:highlight w:val="none"/>
                    </w:rPr>
                  </w:pPr>
                  <w:r>
                    <w:rPr>
                      <w:b/>
                      <w:bCs/>
                      <w:color w:val="auto"/>
                      <w:highlight w:val="none"/>
                    </w:rPr>
                    <w:t>种类判断</w:t>
                  </w:r>
                </w:p>
              </w:tc>
            </w:tr>
            <w:tr w14:paraId="79DDE9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377" w:type="pct"/>
                  <w:vMerge w:val="continue"/>
                  <w:vAlign w:val="center"/>
                </w:tcPr>
                <w:p w14:paraId="38DCAC68">
                  <w:pPr>
                    <w:pStyle w:val="41"/>
                    <w:bidi w:val="0"/>
                    <w:jc w:val="center"/>
                    <w:rPr>
                      <w:b/>
                      <w:bCs/>
                      <w:color w:val="auto"/>
                      <w:highlight w:val="none"/>
                    </w:rPr>
                  </w:pPr>
                </w:p>
              </w:tc>
              <w:tc>
                <w:tcPr>
                  <w:tcW w:w="906" w:type="pct"/>
                  <w:vMerge w:val="continue"/>
                  <w:vAlign w:val="center"/>
                </w:tcPr>
                <w:p w14:paraId="277F799C">
                  <w:pPr>
                    <w:pStyle w:val="41"/>
                    <w:bidi w:val="0"/>
                    <w:jc w:val="center"/>
                    <w:rPr>
                      <w:b/>
                      <w:bCs/>
                      <w:color w:val="auto"/>
                      <w:highlight w:val="none"/>
                    </w:rPr>
                  </w:pPr>
                </w:p>
              </w:tc>
              <w:tc>
                <w:tcPr>
                  <w:tcW w:w="936" w:type="pct"/>
                  <w:vMerge w:val="continue"/>
                  <w:vAlign w:val="center"/>
                </w:tcPr>
                <w:p w14:paraId="1DD96053">
                  <w:pPr>
                    <w:pStyle w:val="41"/>
                    <w:bidi w:val="0"/>
                    <w:jc w:val="center"/>
                    <w:rPr>
                      <w:b/>
                      <w:bCs/>
                      <w:color w:val="auto"/>
                      <w:highlight w:val="none"/>
                    </w:rPr>
                  </w:pPr>
                </w:p>
              </w:tc>
              <w:tc>
                <w:tcPr>
                  <w:tcW w:w="453" w:type="pct"/>
                  <w:vMerge w:val="continue"/>
                  <w:vAlign w:val="center"/>
                </w:tcPr>
                <w:p w14:paraId="1B2FE0B4">
                  <w:pPr>
                    <w:pStyle w:val="41"/>
                    <w:bidi w:val="0"/>
                    <w:jc w:val="center"/>
                    <w:rPr>
                      <w:b/>
                      <w:bCs/>
                      <w:color w:val="auto"/>
                      <w:highlight w:val="none"/>
                    </w:rPr>
                  </w:pPr>
                </w:p>
              </w:tc>
              <w:tc>
                <w:tcPr>
                  <w:tcW w:w="666" w:type="pct"/>
                  <w:vMerge w:val="continue"/>
                  <w:vAlign w:val="center"/>
                </w:tcPr>
                <w:p w14:paraId="7545CD6E">
                  <w:pPr>
                    <w:pStyle w:val="41"/>
                    <w:bidi w:val="0"/>
                    <w:jc w:val="center"/>
                    <w:rPr>
                      <w:b/>
                      <w:bCs/>
                      <w:color w:val="auto"/>
                      <w:highlight w:val="none"/>
                    </w:rPr>
                  </w:pPr>
                </w:p>
              </w:tc>
              <w:tc>
                <w:tcPr>
                  <w:tcW w:w="561" w:type="pct"/>
                  <w:vMerge w:val="continue"/>
                  <w:vAlign w:val="center"/>
                </w:tcPr>
                <w:p w14:paraId="3C07F7A9">
                  <w:pPr>
                    <w:pStyle w:val="41"/>
                    <w:bidi w:val="0"/>
                    <w:jc w:val="center"/>
                    <w:rPr>
                      <w:b/>
                      <w:bCs/>
                      <w:color w:val="auto"/>
                      <w:highlight w:val="none"/>
                    </w:rPr>
                  </w:pPr>
                </w:p>
              </w:tc>
              <w:tc>
                <w:tcPr>
                  <w:tcW w:w="642" w:type="pct"/>
                  <w:vAlign w:val="center"/>
                </w:tcPr>
                <w:p w14:paraId="420527B5">
                  <w:pPr>
                    <w:pStyle w:val="41"/>
                    <w:bidi w:val="0"/>
                    <w:jc w:val="center"/>
                    <w:rPr>
                      <w:b/>
                      <w:bCs/>
                      <w:color w:val="auto"/>
                      <w:highlight w:val="none"/>
                    </w:rPr>
                  </w:pPr>
                  <w:r>
                    <w:rPr>
                      <w:b/>
                      <w:bCs/>
                      <w:color w:val="auto"/>
                      <w:highlight w:val="none"/>
                    </w:rPr>
                    <w:t>是否属于固体废物</w:t>
                  </w:r>
                </w:p>
              </w:tc>
              <w:tc>
                <w:tcPr>
                  <w:tcW w:w="454" w:type="pct"/>
                  <w:vAlign w:val="center"/>
                </w:tcPr>
                <w:p w14:paraId="2538FC19">
                  <w:pPr>
                    <w:pStyle w:val="41"/>
                    <w:bidi w:val="0"/>
                    <w:jc w:val="center"/>
                    <w:rPr>
                      <w:b/>
                      <w:bCs/>
                      <w:color w:val="auto"/>
                      <w:highlight w:val="none"/>
                    </w:rPr>
                  </w:pPr>
                  <w:r>
                    <w:rPr>
                      <w:b/>
                      <w:bCs/>
                      <w:color w:val="auto"/>
                      <w:highlight w:val="none"/>
                    </w:rPr>
                    <w:t>判定依据</w:t>
                  </w:r>
                </w:p>
              </w:tc>
            </w:tr>
            <w:tr w14:paraId="33CE5B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vAlign w:val="center"/>
                </w:tcPr>
                <w:p w14:paraId="6CA2010E">
                  <w:pPr>
                    <w:pStyle w:val="41"/>
                    <w:numPr>
                      <w:ilvl w:val="0"/>
                      <w:numId w:val="17"/>
                    </w:numPr>
                    <w:tabs>
                      <w:tab w:val="clear" w:pos="397"/>
                    </w:tabs>
                    <w:bidi w:val="0"/>
                    <w:ind w:left="454" w:hanging="454"/>
                    <w:jc w:val="center"/>
                    <w:rPr>
                      <w:color w:val="auto"/>
                      <w:highlight w:val="none"/>
                    </w:rPr>
                  </w:pPr>
                </w:p>
              </w:tc>
              <w:tc>
                <w:tcPr>
                  <w:tcW w:w="906" w:type="pct"/>
                  <w:shd w:val="clear" w:color="auto" w:fill="auto"/>
                  <w:vAlign w:val="center"/>
                </w:tcPr>
                <w:p w14:paraId="2DE3E4C8">
                  <w:pPr>
                    <w:pStyle w:val="41"/>
                    <w:bidi w:val="0"/>
                    <w:rPr>
                      <w:rFonts w:hint="eastAsia" w:ascii="Times New Roman" w:hAnsi="Times New Roman" w:eastAsia="宋体" w:cs="Times New Roman"/>
                      <w:kern w:val="0"/>
                      <w:sz w:val="21"/>
                      <w:szCs w:val="24"/>
                      <w:lang w:val="en-US" w:eastAsia="zh-CN" w:bidi="ar-SA"/>
                    </w:rPr>
                  </w:pPr>
                  <w:r>
                    <w:rPr>
                      <w:rFonts w:hint="eastAsia"/>
                      <w:lang w:eastAsia="zh-CN"/>
                    </w:rPr>
                    <w:t>废液及废料</w:t>
                  </w:r>
                </w:p>
              </w:tc>
              <w:tc>
                <w:tcPr>
                  <w:tcW w:w="936" w:type="pct"/>
                  <w:shd w:val="clear" w:color="auto" w:fill="auto"/>
                  <w:vAlign w:val="center"/>
                </w:tcPr>
                <w:p w14:paraId="3987C2C2">
                  <w:pPr>
                    <w:pStyle w:val="41"/>
                    <w:bidi w:val="0"/>
                    <w:jc w:val="center"/>
                    <w:rPr>
                      <w:rFonts w:hint="default" w:eastAsia="宋体"/>
                      <w:color w:val="auto"/>
                      <w:highlight w:val="none"/>
                      <w:lang w:val="en-US" w:eastAsia="zh-CN"/>
                    </w:rPr>
                  </w:pPr>
                  <w:r>
                    <w:rPr>
                      <w:rFonts w:hint="eastAsia"/>
                      <w:color w:val="auto"/>
                      <w:highlight w:val="none"/>
                      <w:lang w:val="en-US" w:eastAsia="zh-CN"/>
                    </w:rPr>
                    <w:t>实验研发</w:t>
                  </w:r>
                </w:p>
              </w:tc>
              <w:tc>
                <w:tcPr>
                  <w:tcW w:w="453" w:type="pct"/>
                  <w:shd w:val="clear" w:color="auto" w:fill="auto"/>
                  <w:vAlign w:val="center"/>
                </w:tcPr>
                <w:p w14:paraId="49549943">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固/液</w:t>
                  </w:r>
                </w:p>
              </w:tc>
              <w:tc>
                <w:tcPr>
                  <w:tcW w:w="666" w:type="pct"/>
                  <w:shd w:val="clear" w:color="auto" w:fill="auto"/>
                  <w:vAlign w:val="center"/>
                </w:tcPr>
                <w:p w14:paraId="3CEFD69E">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废液</w:t>
                  </w:r>
                </w:p>
              </w:tc>
              <w:tc>
                <w:tcPr>
                  <w:tcW w:w="561" w:type="pct"/>
                  <w:shd w:val="clear" w:color="auto" w:fill="auto"/>
                  <w:vAlign w:val="center"/>
                </w:tcPr>
                <w:p w14:paraId="33EBB2CF">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113.804</w:t>
                  </w:r>
                </w:p>
              </w:tc>
              <w:tc>
                <w:tcPr>
                  <w:tcW w:w="642" w:type="pct"/>
                  <w:vAlign w:val="center"/>
                </w:tcPr>
                <w:p w14:paraId="71B483D0">
                  <w:pPr>
                    <w:pStyle w:val="41"/>
                    <w:bidi w:val="0"/>
                    <w:jc w:val="center"/>
                    <w:rPr>
                      <w:rFonts w:hint="eastAsia" w:eastAsia="宋体"/>
                      <w:color w:val="auto"/>
                      <w:highlight w:val="none"/>
                      <w:lang w:val="en-US" w:eastAsia="zh-CN"/>
                    </w:rPr>
                  </w:pPr>
                  <w:r>
                    <w:rPr>
                      <w:rFonts w:hint="eastAsia"/>
                      <w:color w:val="auto"/>
                      <w:highlight w:val="none"/>
                      <w:lang w:val="en-US" w:eastAsia="zh-CN"/>
                    </w:rPr>
                    <w:t>是</w:t>
                  </w:r>
                </w:p>
              </w:tc>
              <w:tc>
                <w:tcPr>
                  <w:tcW w:w="454" w:type="pct"/>
                  <w:vMerge w:val="restart"/>
                  <w:vAlign w:val="center"/>
                </w:tcPr>
                <w:p w14:paraId="7C5E7909">
                  <w:pPr>
                    <w:pStyle w:val="41"/>
                    <w:bidi w:val="0"/>
                    <w:jc w:val="center"/>
                    <w:rPr>
                      <w:color w:val="auto"/>
                      <w:highlight w:val="none"/>
                    </w:rPr>
                  </w:pPr>
                  <w:r>
                    <w:rPr>
                      <w:color w:val="auto"/>
                      <w:highlight w:val="none"/>
                    </w:rPr>
                    <w:t>《固体废物鉴别标准 通则》</w:t>
                  </w:r>
                </w:p>
              </w:tc>
            </w:tr>
            <w:tr w14:paraId="13ABF7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vAlign w:val="center"/>
                </w:tcPr>
                <w:p w14:paraId="101CBE43">
                  <w:pPr>
                    <w:pStyle w:val="41"/>
                    <w:numPr>
                      <w:ilvl w:val="0"/>
                      <w:numId w:val="17"/>
                    </w:numPr>
                    <w:tabs>
                      <w:tab w:val="clear" w:pos="397"/>
                    </w:tabs>
                    <w:bidi w:val="0"/>
                    <w:ind w:left="454" w:hanging="454"/>
                    <w:jc w:val="center"/>
                    <w:rPr>
                      <w:color w:val="auto"/>
                      <w:highlight w:val="none"/>
                    </w:rPr>
                  </w:pPr>
                </w:p>
              </w:tc>
              <w:tc>
                <w:tcPr>
                  <w:tcW w:w="906" w:type="pct"/>
                  <w:shd w:val="clear" w:color="auto" w:fill="auto"/>
                  <w:vAlign w:val="center"/>
                </w:tcPr>
                <w:p w14:paraId="148D78D3">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废实验用品</w:t>
                  </w:r>
                </w:p>
              </w:tc>
              <w:tc>
                <w:tcPr>
                  <w:tcW w:w="936" w:type="pct"/>
                  <w:shd w:val="clear" w:color="auto" w:fill="auto"/>
                  <w:vAlign w:val="center"/>
                </w:tcPr>
                <w:p w14:paraId="60C8230A">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实验研发</w:t>
                  </w:r>
                </w:p>
              </w:tc>
              <w:tc>
                <w:tcPr>
                  <w:tcW w:w="453" w:type="pct"/>
                  <w:shd w:val="clear" w:color="auto" w:fill="auto"/>
                  <w:vAlign w:val="center"/>
                </w:tcPr>
                <w:p w14:paraId="466F4D9A">
                  <w:pPr>
                    <w:pStyle w:val="41"/>
                    <w:bidi w:val="0"/>
                    <w:rPr>
                      <w:rFonts w:hint="eastAsia" w:ascii="Times New Roman" w:hAnsi="Times New Roman" w:eastAsia="宋体" w:cs="Times New Roman"/>
                      <w:kern w:val="0"/>
                      <w:sz w:val="21"/>
                      <w:szCs w:val="24"/>
                      <w:lang w:val="en-US" w:eastAsia="zh-CN" w:bidi="ar-SA"/>
                    </w:rPr>
                  </w:pPr>
                  <w:r>
                    <w:rPr>
                      <w:rFonts w:hint="eastAsia"/>
                      <w:lang w:eastAsia="zh-CN"/>
                    </w:rPr>
                    <w:t>固</w:t>
                  </w:r>
                </w:p>
              </w:tc>
              <w:tc>
                <w:tcPr>
                  <w:tcW w:w="666" w:type="pct"/>
                  <w:shd w:val="clear" w:color="auto" w:fill="auto"/>
                  <w:vAlign w:val="center"/>
                </w:tcPr>
                <w:p w14:paraId="68E35F3C">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塑料</w:t>
                  </w:r>
                </w:p>
              </w:tc>
              <w:tc>
                <w:tcPr>
                  <w:tcW w:w="561" w:type="pct"/>
                  <w:shd w:val="clear" w:color="auto" w:fill="auto"/>
                  <w:vAlign w:val="center"/>
                </w:tcPr>
                <w:p w14:paraId="3F1E7136">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4</w:t>
                  </w:r>
                </w:p>
              </w:tc>
              <w:tc>
                <w:tcPr>
                  <w:tcW w:w="642" w:type="pct"/>
                  <w:shd w:val="clear" w:color="auto" w:fill="auto"/>
                  <w:vAlign w:val="center"/>
                </w:tcPr>
                <w:p w14:paraId="5980F1B8">
                  <w:pPr>
                    <w:pStyle w:val="41"/>
                    <w:bidi w:val="0"/>
                    <w:jc w:val="center"/>
                    <w:rPr>
                      <w:rFonts w:ascii="Times New Roman" w:hAnsi="Times New Roman" w:eastAsia="宋体" w:cs="Times New Roman"/>
                      <w:color w:val="auto"/>
                      <w:kern w:val="0"/>
                      <w:sz w:val="21"/>
                      <w:szCs w:val="24"/>
                      <w:highlight w:val="none"/>
                      <w:lang w:val="en-US" w:eastAsia="zh-CN" w:bidi="ar-SA"/>
                    </w:rPr>
                  </w:pPr>
                  <w:r>
                    <w:rPr>
                      <w:color w:val="auto"/>
                      <w:highlight w:val="none"/>
                    </w:rPr>
                    <w:t>是</w:t>
                  </w:r>
                </w:p>
              </w:tc>
              <w:tc>
                <w:tcPr>
                  <w:tcW w:w="454" w:type="pct"/>
                  <w:vMerge w:val="continue"/>
                  <w:vAlign w:val="center"/>
                </w:tcPr>
                <w:p w14:paraId="01BB3D7C">
                  <w:pPr>
                    <w:pStyle w:val="41"/>
                    <w:bidi w:val="0"/>
                    <w:jc w:val="center"/>
                    <w:rPr>
                      <w:color w:val="auto"/>
                      <w:highlight w:val="none"/>
                    </w:rPr>
                  </w:pPr>
                </w:p>
              </w:tc>
            </w:tr>
            <w:tr w14:paraId="240CA5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vAlign w:val="center"/>
                </w:tcPr>
                <w:p w14:paraId="5EFB4118">
                  <w:pPr>
                    <w:pStyle w:val="41"/>
                    <w:numPr>
                      <w:ilvl w:val="0"/>
                      <w:numId w:val="17"/>
                    </w:numPr>
                    <w:tabs>
                      <w:tab w:val="clear" w:pos="397"/>
                    </w:tabs>
                    <w:bidi w:val="0"/>
                    <w:ind w:left="454" w:hanging="454"/>
                    <w:jc w:val="center"/>
                    <w:rPr>
                      <w:color w:val="auto"/>
                      <w:highlight w:val="none"/>
                    </w:rPr>
                  </w:pPr>
                </w:p>
              </w:tc>
              <w:tc>
                <w:tcPr>
                  <w:tcW w:w="906" w:type="pct"/>
                  <w:shd w:val="clear" w:color="auto" w:fill="auto"/>
                  <w:vAlign w:val="center"/>
                </w:tcPr>
                <w:p w14:paraId="5B961047">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废过滤器</w:t>
                  </w:r>
                </w:p>
              </w:tc>
              <w:tc>
                <w:tcPr>
                  <w:tcW w:w="936" w:type="pct"/>
                  <w:shd w:val="clear" w:color="auto" w:fill="auto"/>
                  <w:vAlign w:val="center"/>
                </w:tcPr>
                <w:p w14:paraId="235AE5A9">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生物安全柜</w:t>
                  </w:r>
                </w:p>
              </w:tc>
              <w:tc>
                <w:tcPr>
                  <w:tcW w:w="453" w:type="pct"/>
                  <w:shd w:val="clear" w:color="auto" w:fill="auto"/>
                  <w:vAlign w:val="center"/>
                </w:tcPr>
                <w:p w14:paraId="5CB27E4C">
                  <w:pPr>
                    <w:pStyle w:val="41"/>
                    <w:bidi w:val="0"/>
                    <w:rPr>
                      <w:rFonts w:hint="eastAsia" w:ascii="Times New Roman" w:hAnsi="Times New Roman" w:eastAsia="宋体" w:cs="Times New Roman"/>
                      <w:kern w:val="0"/>
                      <w:sz w:val="21"/>
                      <w:szCs w:val="24"/>
                      <w:lang w:val="en-US" w:eastAsia="zh-CN" w:bidi="ar-SA"/>
                    </w:rPr>
                  </w:pPr>
                  <w:r>
                    <w:rPr>
                      <w:rFonts w:hint="eastAsia"/>
                      <w:lang w:eastAsia="zh-CN"/>
                    </w:rPr>
                    <w:t>固</w:t>
                  </w:r>
                </w:p>
              </w:tc>
              <w:tc>
                <w:tcPr>
                  <w:tcW w:w="666" w:type="pct"/>
                  <w:shd w:val="clear" w:color="auto" w:fill="auto"/>
                  <w:vAlign w:val="center"/>
                </w:tcPr>
                <w:p w14:paraId="224E72BC">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滤芯</w:t>
                  </w:r>
                </w:p>
              </w:tc>
              <w:tc>
                <w:tcPr>
                  <w:tcW w:w="561" w:type="pct"/>
                  <w:shd w:val="clear" w:color="auto" w:fill="auto"/>
                  <w:vAlign w:val="center"/>
                </w:tcPr>
                <w:p w14:paraId="11DC5D3E">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0.07</w:t>
                  </w:r>
                </w:p>
              </w:tc>
              <w:tc>
                <w:tcPr>
                  <w:tcW w:w="642" w:type="pct"/>
                  <w:vAlign w:val="center"/>
                </w:tcPr>
                <w:p w14:paraId="0E87AFF4">
                  <w:pPr>
                    <w:pStyle w:val="41"/>
                    <w:bidi w:val="0"/>
                    <w:jc w:val="center"/>
                    <w:rPr>
                      <w:rFonts w:hint="eastAsia" w:eastAsia="宋体"/>
                      <w:color w:val="auto"/>
                      <w:highlight w:val="none"/>
                      <w:lang w:val="en-US" w:eastAsia="zh-CN"/>
                    </w:rPr>
                  </w:pPr>
                  <w:r>
                    <w:rPr>
                      <w:rFonts w:hint="eastAsia"/>
                      <w:color w:val="auto"/>
                      <w:highlight w:val="none"/>
                      <w:lang w:val="en-US" w:eastAsia="zh-CN"/>
                    </w:rPr>
                    <w:t>是</w:t>
                  </w:r>
                </w:p>
              </w:tc>
              <w:tc>
                <w:tcPr>
                  <w:tcW w:w="454" w:type="pct"/>
                  <w:vMerge w:val="continue"/>
                  <w:vAlign w:val="center"/>
                </w:tcPr>
                <w:p w14:paraId="3D5EC671">
                  <w:pPr>
                    <w:pStyle w:val="41"/>
                    <w:bidi w:val="0"/>
                    <w:jc w:val="center"/>
                    <w:rPr>
                      <w:color w:val="auto"/>
                      <w:highlight w:val="none"/>
                    </w:rPr>
                  </w:pPr>
                </w:p>
              </w:tc>
            </w:tr>
            <w:tr w14:paraId="2BD599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vAlign w:val="center"/>
                </w:tcPr>
                <w:p w14:paraId="3CAF88C7">
                  <w:pPr>
                    <w:pStyle w:val="41"/>
                    <w:numPr>
                      <w:ilvl w:val="0"/>
                      <w:numId w:val="17"/>
                    </w:numPr>
                    <w:tabs>
                      <w:tab w:val="clear" w:pos="397"/>
                    </w:tabs>
                    <w:bidi w:val="0"/>
                    <w:ind w:left="454" w:hanging="454"/>
                    <w:jc w:val="center"/>
                    <w:rPr>
                      <w:color w:val="auto"/>
                      <w:highlight w:val="none"/>
                    </w:rPr>
                  </w:pPr>
                </w:p>
              </w:tc>
              <w:tc>
                <w:tcPr>
                  <w:tcW w:w="906" w:type="pct"/>
                  <w:shd w:val="clear" w:color="auto" w:fill="auto"/>
                  <w:vAlign w:val="center"/>
                </w:tcPr>
                <w:p w14:paraId="26D81704">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废活性炭</w:t>
                  </w:r>
                </w:p>
              </w:tc>
              <w:tc>
                <w:tcPr>
                  <w:tcW w:w="936" w:type="pct"/>
                  <w:shd w:val="clear" w:color="auto" w:fill="auto"/>
                  <w:vAlign w:val="center"/>
                </w:tcPr>
                <w:p w14:paraId="67268F56">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废气处理</w:t>
                  </w:r>
                </w:p>
              </w:tc>
              <w:tc>
                <w:tcPr>
                  <w:tcW w:w="453" w:type="pct"/>
                  <w:shd w:val="clear" w:color="auto" w:fill="auto"/>
                  <w:vAlign w:val="center"/>
                </w:tcPr>
                <w:p w14:paraId="54010215">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固</w:t>
                  </w:r>
                </w:p>
              </w:tc>
              <w:tc>
                <w:tcPr>
                  <w:tcW w:w="666" w:type="pct"/>
                  <w:shd w:val="clear" w:color="auto" w:fill="auto"/>
                  <w:vAlign w:val="center"/>
                </w:tcPr>
                <w:p w14:paraId="0E538502">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活性炭</w:t>
                  </w:r>
                </w:p>
              </w:tc>
              <w:tc>
                <w:tcPr>
                  <w:tcW w:w="561" w:type="pct"/>
                  <w:shd w:val="clear" w:color="auto" w:fill="auto"/>
                  <w:vAlign w:val="center"/>
                </w:tcPr>
                <w:p w14:paraId="0AC342F3">
                  <w:pPr>
                    <w:pStyle w:val="41"/>
                    <w:bidi w:val="0"/>
                    <w:rPr>
                      <w:rFonts w:hint="default" w:ascii="Times New Roman" w:hAnsi="Times New Roman" w:eastAsia="宋体" w:cs="Times New Roman"/>
                      <w:kern w:val="0"/>
                      <w:sz w:val="21"/>
                      <w:szCs w:val="24"/>
                      <w:lang w:val="en-US" w:eastAsia="zh-CN" w:bidi="ar-SA"/>
                    </w:rPr>
                  </w:pPr>
                  <w:r>
                    <w:rPr>
                      <w:rFonts w:hint="eastAsia" w:cs="Times New Roman"/>
                      <w:kern w:val="0"/>
                      <w:sz w:val="21"/>
                      <w:szCs w:val="24"/>
                      <w:lang w:val="en-US" w:eastAsia="zh-CN" w:bidi="ar-SA"/>
                    </w:rPr>
                    <w:t>13.4</w:t>
                  </w:r>
                </w:p>
              </w:tc>
              <w:tc>
                <w:tcPr>
                  <w:tcW w:w="642" w:type="pct"/>
                  <w:shd w:val="clear" w:color="auto" w:fill="auto"/>
                  <w:vAlign w:val="center"/>
                </w:tcPr>
                <w:p w14:paraId="355EE174">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是</w:t>
                  </w:r>
                </w:p>
              </w:tc>
              <w:tc>
                <w:tcPr>
                  <w:tcW w:w="454" w:type="pct"/>
                  <w:vMerge w:val="continue"/>
                  <w:vAlign w:val="center"/>
                </w:tcPr>
                <w:p w14:paraId="76473E68">
                  <w:pPr>
                    <w:pStyle w:val="41"/>
                    <w:bidi w:val="0"/>
                    <w:jc w:val="center"/>
                    <w:rPr>
                      <w:color w:val="auto"/>
                      <w:highlight w:val="none"/>
                    </w:rPr>
                  </w:pPr>
                </w:p>
              </w:tc>
            </w:tr>
            <w:tr w14:paraId="3E3D44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vAlign w:val="center"/>
                </w:tcPr>
                <w:p w14:paraId="485F25B0">
                  <w:pPr>
                    <w:pStyle w:val="41"/>
                    <w:numPr>
                      <w:ilvl w:val="0"/>
                      <w:numId w:val="17"/>
                    </w:numPr>
                    <w:tabs>
                      <w:tab w:val="clear" w:pos="397"/>
                    </w:tabs>
                    <w:bidi w:val="0"/>
                    <w:ind w:left="454" w:hanging="454"/>
                    <w:jc w:val="center"/>
                    <w:rPr>
                      <w:color w:val="auto"/>
                      <w:highlight w:val="none"/>
                    </w:rPr>
                  </w:pPr>
                </w:p>
              </w:tc>
              <w:tc>
                <w:tcPr>
                  <w:tcW w:w="906" w:type="pct"/>
                  <w:shd w:val="clear" w:color="auto" w:fill="auto"/>
                  <w:vAlign w:val="center"/>
                </w:tcPr>
                <w:p w14:paraId="5B4DBEA2">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废试剂包装</w:t>
                  </w:r>
                </w:p>
              </w:tc>
              <w:tc>
                <w:tcPr>
                  <w:tcW w:w="936" w:type="pct"/>
                  <w:shd w:val="clear" w:color="auto" w:fill="auto"/>
                  <w:vAlign w:val="center"/>
                </w:tcPr>
                <w:p w14:paraId="35A762C3">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eastAsia="宋体"/>
                      <w:color w:val="auto"/>
                      <w:highlight w:val="none"/>
                      <w:lang w:val="en-US" w:eastAsia="zh-CN"/>
                    </w:rPr>
                    <w:t>原料使用</w:t>
                  </w:r>
                </w:p>
              </w:tc>
              <w:tc>
                <w:tcPr>
                  <w:tcW w:w="453" w:type="pct"/>
                  <w:shd w:val="clear" w:color="auto" w:fill="auto"/>
                  <w:vAlign w:val="center"/>
                </w:tcPr>
                <w:p w14:paraId="655238D9">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固</w:t>
                  </w:r>
                </w:p>
              </w:tc>
              <w:tc>
                <w:tcPr>
                  <w:tcW w:w="666" w:type="pct"/>
                  <w:shd w:val="clear" w:color="auto" w:fill="auto"/>
                  <w:vAlign w:val="center"/>
                </w:tcPr>
                <w:p w14:paraId="2968C069">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塑料/玻璃</w:t>
                  </w:r>
                </w:p>
              </w:tc>
              <w:tc>
                <w:tcPr>
                  <w:tcW w:w="561" w:type="pct"/>
                  <w:shd w:val="clear" w:color="auto" w:fill="auto"/>
                  <w:vAlign w:val="center"/>
                </w:tcPr>
                <w:p w14:paraId="1383CE77">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1</w:t>
                  </w:r>
                </w:p>
              </w:tc>
              <w:tc>
                <w:tcPr>
                  <w:tcW w:w="642" w:type="pct"/>
                  <w:vAlign w:val="center"/>
                </w:tcPr>
                <w:p w14:paraId="03896540">
                  <w:pPr>
                    <w:pStyle w:val="41"/>
                    <w:bidi w:val="0"/>
                    <w:jc w:val="center"/>
                    <w:rPr>
                      <w:color w:val="auto"/>
                      <w:highlight w:val="none"/>
                    </w:rPr>
                  </w:pPr>
                  <w:r>
                    <w:rPr>
                      <w:color w:val="auto"/>
                      <w:highlight w:val="none"/>
                    </w:rPr>
                    <w:t>是</w:t>
                  </w:r>
                </w:p>
              </w:tc>
              <w:tc>
                <w:tcPr>
                  <w:tcW w:w="454" w:type="pct"/>
                  <w:vMerge w:val="continue"/>
                  <w:vAlign w:val="center"/>
                </w:tcPr>
                <w:p w14:paraId="4A4B7C80">
                  <w:pPr>
                    <w:pStyle w:val="41"/>
                    <w:bidi w:val="0"/>
                    <w:jc w:val="center"/>
                    <w:rPr>
                      <w:color w:val="auto"/>
                      <w:highlight w:val="none"/>
                    </w:rPr>
                  </w:pPr>
                </w:p>
              </w:tc>
            </w:tr>
            <w:tr w14:paraId="2E66F2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shd w:val="clear" w:color="auto" w:fill="auto"/>
                  <w:vAlign w:val="center"/>
                </w:tcPr>
                <w:p w14:paraId="1F28D71B">
                  <w:pPr>
                    <w:pStyle w:val="41"/>
                    <w:numPr>
                      <w:ilvl w:val="0"/>
                      <w:numId w:val="17"/>
                    </w:numPr>
                    <w:tabs>
                      <w:tab w:val="clear" w:pos="397"/>
                    </w:tabs>
                    <w:bidi w:val="0"/>
                    <w:ind w:left="454" w:hanging="454" w:firstLineChars="0"/>
                    <w:jc w:val="center"/>
                    <w:rPr>
                      <w:rFonts w:ascii="Times New Roman" w:hAnsi="Times New Roman" w:eastAsia="宋体" w:cs="Times New Roman"/>
                      <w:color w:val="auto"/>
                      <w:kern w:val="0"/>
                      <w:sz w:val="21"/>
                      <w:szCs w:val="24"/>
                      <w:highlight w:val="none"/>
                      <w:lang w:val="en-US" w:eastAsia="zh-CN" w:bidi="ar-SA"/>
                    </w:rPr>
                  </w:pPr>
                </w:p>
              </w:tc>
              <w:tc>
                <w:tcPr>
                  <w:tcW w:w="906" w:type="pct"/>
                  <w:shd w:val="clear" w:color="auto" w:fill="auto"/>
                  <w:vAlign w:val="center"/>
                </w:tcPr>
                <w:p w14:paraId="2ADF228E">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污水站污泥</w:t>
                  </w:r>
                </w:p>
              </w:tc>
              <w:tc>
                <w:tcPr>
                  <w:tcW w:w="936" w:type="pct"/>
                  <w:shd w:val="clear" w:color="auto" w:fill="auto"/>
                  <w:vAlign w:val="center"/>
                </w:tcPr>
                <w:p w14:paraId="1C1891E4">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废水处理</w:t>
                  </w:r>
                </w:p>
              </w:tc>
              <w:tc>
                <w:tcPr>
                  <w:tcW w:w="453" w:type="pct"/>
                  <w:shd w:val="clear" w:color="auto" w:fill="auto"/>
                  <w:vAlign w:val="center"/>
                </w:tcPr>
                <w:p w14:paraId="4312A65B">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固</w:t>
                  </w:r>
                </w:p>
              </w:tc>
              <w:tc>
                <w:tcPr>
                  <w:tcW w:w="666" w:type="pct"/>
                  <w:shd w:val="clear" w:color="auto" w:fill="auto"/>
                  <w:vAlign w:val="center"/>
                </w:tcPr>
                <w:p w14:paraId="05313BEC">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污泥</w:t>
                  </w:r>
                </w:p>
              </w:tc>
              <w:tc>
                <w:tcPr>
                  <w:tcW w:w="561" w:type="pct"/>
                  <w:shd w:val="clear" w:color="auto" w:fill="auto"/>
                  <w:vAlign w:val="center"/>
                </w:tcPr>
                <w:p w14:paraId="7D634D27">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5.85</w:t>
                  </w:r>
                </w:p>
              </w:tc>
              <w:tc>
                <w:tcPr>
                  <w:tcW w:w="642" w:type="pct"/>
                  <w:vAlign w:val="center"/>
                </w:tcPr>
                <w:p w14:paraId="1888ACF0">
                  <w:pPr>
                    <w:pStyle w:val="41"/>
                    <w:bidi w:val="0"/>
                    <w:jc w:val="center"/>
                    <w:rPr>
                      <w:rFonts w:hint="eastAsia" w:eastAsia="宋体"/>
                      <w:color w:val="auto"/>
                      <w:highlight w:val="none"/>
                      <w:lang w:val="en-US" w:eastAsia="zh-CN"/>
                    </w:rPr>
                  </w:pPr>
                  <w:r>
                    <w:rPr>
                      <w:rFonts w:hint="eastAsia"/>
                      <w:color w:val="auto"/>
                      <w:highlight w:val="none"/>
                      <w:lang w:val="en-US" w:eastAsia="zh-CN"/>
                    </w:rPr>
                    <w:t>是</w:t>
                  </w:r>
                </w:p>
              </w:tc>
              <w:tc>
                <w:tcPr>
                  <w:tcW w:w="454" w:type="pct"/>
                  <w:vMerge w:val="continue"/>
                  <w:vAlign w:val="center"/>
                </w:tcPr>
                <w:p w14:paraId="1E81F3AA">
                  <w:pPr>
                    <w:pStyle w:val="41"/>
                    <w:bidi w:val="0"/>
                    <w:jc w:val="center"/>
                    <w:rPr>
                      <w:color w:val="auto"/>
                      <w:highlight w:val="none"/>
                    </w:rPr>
                  </w:pPr>
                </w:p>
              </w:tc>
            </w:tr>
            <w:tr w14:paraId="424D3C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shd w:val="clear" w:color="auto" w:fill="auto"/>
                  <w:vAlign w:val="center"/>
                </w:tcPr>
                <w:p w14:paraId="25E2EEFE">
                  <w:pPr>
                    <w:pStyle w:val="41"/>
                    <w:numPr>
                      <w:ilvl w:val="0"/>
                      <w:numId w:val="17"/>
                    </w:numPr>
                    <w:tabs>
                      <w:tab w:val="clear" w:pos="397"/>
                    </w:tabs>
                    <w:bidi w:val="0"/>
                    <w:ind w:left="454" w:hanging="454" w:firstLineChars="0"/>
                    <w:jc w:val="center"/>
                    <w:rPr>
                      <w:rFonts w:hint="eastAsia" w:ascii="Times New Roman" w:hAnsi="Times New Roman" w:eastAsia="宋体" w:cs="Times New Roman"/>
                      <w:color w:val="auto"/>
                      <w:kern w:val="0"/>
                      <w:sz w:val="21"/>
                      <w:szCs w:val="24"/>
                      <w:highlight w:val="none"/>
                      <w:lang w:val="en-US" w:eastAsia="zh-CN" w:bidi="ar-SA"/>
                    </w:rPr>
                  </w:pPr>
                </w:p>
              </w:tc>
              <w:tc>
                <w:tcPr>
                  <w:tcW w:w="906" w:type="pct"/>
                  <w:shd w:val="clear" w:color="auto" w:fill="auto"/>
                  <w:vAlign w:val="center"/>
                </w:tcPr>
                <w:p w14:paraId="321D2DFD">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化粪池污泥</w:t>
                  </w:r>
                </w:p>
              </w:tc>
              <w:tc>
                <w:tcPr>
                  <w:tcW w:w="936" w:type="pct"/>
                  <w:shd w:val="clear" w:color="auto" w:fill="auto"/>
                  <w:vAlign w:val="center"/>
                </w:tcPr>
                <w:p w14:paraId="5A222E8B">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废水处理</w:t>
                  </w:r>
                </w:p>
              </w:tc>
              <w:tc>
                <w:tcPr>
                  <w:tcW w:w="453" w:type="pct"/>
                  <w:shd w:val="clear" w:color="auto" w:fill="auto"/>
                  <w:vAlign w:val="center"/>
                </w:tcPr>
                <w:p w14:paraId="22C63DF0">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固</w:t>
                  </w:r>
                </w:p>
              </w:tc>
              <w:tc>
                <w:tcPr>
                  <w:tcW w:w="666" w:type="pct"/>
                  <w:shd w:val="clear" w:color="auto" w:fill="auto"/>
                  <w:vAlign w:val="center"/>
                </w:tcPr>
                <w:p w14:paraId="2640395A">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污泥</w:t>
                  </w:r>
                </w:p>
              </w:tc>
              <w:tc>
                <w:tcPr>
                  <w:tcW w:w="561" w:type="pct"/>
                  <w:shd w:val="clear" w:color="auto" w:fill="auto"/>
                  <w:vAlign w:val="center"/>
                </w:tcPr>
                <w:p w14:paraId="09A8C66E">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4</w:t>
                  </w:r>
                </w:p>
              </w:tc>
              <w:tc>
                <w:tcPr>
                  <w:tcW w:w="642" w:type="pct"/>
                  <w:vAlign w:val="center"/>
                </w:tcPr>
                <w:p w14:paraId="3BA0C3EB">
                  <w:pPr>
                    <w:pStyle w:val="41"/>
                    <w:bidi w:val="0"/>
                    <w:jc w:val="center"/>
                    <w:rPr>
                      <w:color w:val="auto"/>
                      <w:highlight w:val="none"/>
                    </w:rPr>
                  </w:pPr>
                  <w:r>
                    <w:rPr>
                      <w:color w:val="auto"/>
                      <w:highlight w:val="none"/>
                    </w:rPr>
                    <w:t>是</w:t>
                  </w:r>
                </w:p>
              </w:tc>
              <w:tc>
                <w:tcPr>
                  <w:tcW w:w="454" w:type="pct"/>
                  <w:vMerge w:val="continue"/>
                  <w:vAlign w:val="center"/>
                </w:tcPr>
                <w:p w14:paraId="49773468">
                  <w:pPr>
                    <w:pStyle w:val="41"/>
                    <w:bidi w:val="0"/>
                    <w:jc w:val="center"/>
                    <w:rPr>
                      <w:color w:val="auto"/>
                      <w:highlight w:val="none"/>
                    </w:rPr>
                  </w:pPr>
                </w:p>
              </w:tc>
            </w:tr>
            <w:tr w14:paraId="2D87F9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vAlign w:val="center"/>
                </w:tcPr>
                <w:p w14:paraId="7DA7C62C">
                  <w:pPr>
                    <w:pStyle w:val="41"/>
                    <w:numPr>
                      <w:ilvl w:val="0"/>
                      <w:numId w:val="17"/>
                    </w:numPr>
                    <w:tabs>
                      <w:tab w:val="clear" w:pos="397"/>
                    </w:tabs>
                    <w:bidi w:val="0"/>
                    <w:ind w:left="454" w:hanging="454"/>
                    <w:jc w:val="center"/>
                    <w:rPr>
                      <w:rFonts w:hint="default"/>
                      <w:color w:val="auto"/>
                      <w:highlight w:val="none"/>
                      <w:lang w:val="en-US" w:eastAsia="zh-CN"/>
                    </w:rPr>
                  </w:pPr>
                </w:p>
              </w:tc>
              <w:tc>
                <w:tcPr>
                  <w:tcW w:w="906" w:type="pct"/>
                  <w:shd w:val="clear" w:color="auto" w:fill="auto"/>
                  <w:vAlign w:val="center"/>
                </w:tcPr>
                <w:p w14:paraId="77F62DEC">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纯水制备滤芯</w:t>
                  </w:r>
                </w:p>
              </w:tc>
              <w:tc>
                <w:tcPr>
                  <w:tcW w:w="936" w:type="pct"/>
                  <w:shd w:val="clear" w:color="auto" w:fill="auto"/>
                  <w:vAlign w:val="center"/>
                </w:tcPr>
                <w:p w14:paraId="54CBA27F">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纯水制备</w:t>
                  </w:r>
                </w:p>
              </w:tc>
              <w:tc>
                <w:tcPr>
                  <w:tcW w:w="453" w:type="pct"/>
                  <w:shd w:val="clear" w:color="auto" w:fill="auto"/>
                  <w:vAlign w:val="center"/>
                </w:tcPr>
                <w:p w14:paraId="65317C89">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固</w:t>
                  </w:r>
                </w:p>
              </w:tc>
              <w:tc>
                <w:tcPr>
                  <w:tcW w:w="666" w:type="pct"/>
                  <w:shd w:val="clear" w:color="auto" w:fill="auto"/>
                  <w:vAlign w:val="center"/>
                </w:tcPr>
                <w:p w14:paraId="612B4647">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滤芯</w:t>
                  </w:r>
                </w:p>
              </w:tc>
              <w:tc>
                <w:tcPr>
                  <w:tcW w:w="561" w:type="pct"/>
                  <w:shd w:val="clear" w:color="auto" w:fill="auto"/>
                  <w:vAlign w:val="center"/>
                </w:tcPr>
                <w:p w14:paraId="5BC25FE0">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0.1</w:t>
                  </w:r>
                </w:p>
              </w:tc>
              <w:tc>
                <w:tcPr>
                  <w:tcW w:w="642" w:type="pct"/>
                  <w:vAlign w:val="center"/>
                </w:tcPr>
                <w:p w14:paraId="1625D7C8">
                  <w:pPr>
                    <w:pStyle w:val="41"/>
                    <w:bidi w:val="0"/>
                    <w:jc w:val="center"/>
                    <w:rPr>
                      <w:color w:val="auto"/>
                      <w:highlight w:val="none"/>
                      <w:lang w:val="en-US" w:eastAsia="zh-CN"/>
                    </w:rPr>
                  </w:pPr>
                  <w:r>
                    <w:rPr>
                      <w:color w:val="auto"/>
                      <w:highlight w:val="none"/>
                    </w:rPr>
                    <w:t>是</w:t>
                  </w:r>
                </w:p>
              </w:tc>
              <w:tc>
                <w:tcPr>
                  <w:tcW w:w="454" w:type="pct"/>
                  <w:vMerge w:val="continue"/>
                  <w:vAlign w:val="center"/>
                </w:tcPr>
                <w:p w14:paraId="2B85CB36">
                  <w:pPr>
                    <w:pStyle w:val="41"/>
                    <w:bidi w:val="0"/>
                    <w:jc w:val="center"/>
                    <w:rPr>
                      <w:color w:val="auto"/>
                      <w:highlight w:val="none"/>
                    </w:rPr>
                  </w:pPr>
                </w:p>
              </w:tc>
            </w:tr>
            <w:tr w14:paraId="42A025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vAlign w:val="center"/>
                </w:tcPr>
                <w:p w14:paraId="16DF423A">
                  <w:pPr>
                    <w:pStyle w:val="41"/>
                    <w:numPr>
                      <w:ilvl w:val="0"/>
                      <w:numId w:val="17"/>
                    </w:numPr>
                    <w:tabs>
                      <w:tab w:val="clear" w:pos="397"/>
                    </w:tabs>
                    <w:bidi w:val="0"/>
                    <w:ind w:left="454" w:hanging="454"/>
                    <w:jc w:val="center"/>
                    <w:rPr>
                      <w:rFonts w:hint="default"/>
                      <w:color w:val="auto"/>
                      <w:highlight w:val="none"/>
                      <w:lang w:val="en-US" w:eastAsia="zh-CN"/>
                    </w:rPr>
                  </w:pPr>
                </w:p>
              </w:tc>
              <w:tc>
                <w:tcPr>
                  <w:tcW w:w="906" w:type="pct"/>
                  <w:shd w:val="clear" w:color="auto" w:fill="auto"/>
                  <w:vAlign w:val="center"/>
                </w:tcPr>
                <w:p w14:paraId="6D4315CE">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废外包装材料</w:t>
                  </w:r>
                </w:p>
              </w:tc>
              <w:tc>
                <w:tcPr>
                  <w:tcW w:w="936" w:type="pct"/>
                  <w:shd w:val="clear" w:color="auto" w:fill="auto"/>
                  <w:vAlign w:val="center"/>
                </w:tcPr>
                <w:p w14:paraId="46753135">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原料拆包</w:t>
                  </w:r>
                </w:p>
              </w:tc>
              <w:tc>
                <w:tcPr>
                  <w:tcW w:w="453" w:type="pct"/>
                  <w:shd w:val="clear" w:color="auto" w:fill="auto"/>
                  <w:vAlign w:val="center"/>
                </w:tcPr>
                <w:p w14:paraId="100C7BA0">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固</w:t>
                  </w:r>
                </w:p>
              </w:tc>
              <w:tc>
                <w:tcPr>
                  <w:tcW w:w="666" w:type="pct"/>
                  <w:shd w:val="clear" w:color="auto" w:fill="auto"/>
                  <w:vAlign w:val="center"/>
                </w:tcPr>
                <w:p w14:paraId="1964D713">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塑料/纸箱</w:t>
                  </w:r>
                </w:p>
              </w:tc>
              <w:tc>
                <w:tcPr>
                  <w:tcW w:w="561" w:type="pct"/>
                  <w:shd w:val="clear" w:color="auto" w:fill="auto"/>
                  <w:vAlign w:val="center"/>
                </w:tcPr>
                <w:p w14:paraId="0C5E6844">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1</w:t>
                  </w:r>
                </w:p>
              </w:tc>
              <w:tc>
                <w:tcPr>
                  <w:tcW w:w="642" w:type="pct"/>
                  <w:shd w:val="clear" w:color="auto" w:fill="auto"/>
                  <w:vAlign w:val="center"/>
                </w:tcPr>
                <w:p w14:paraId="75DC675C">
                  <w:pPr>
                    <w:pStyle w:val="41"/>
                    <w:bidi w:val="0"/>
                    <w:jc w:val="center"/>
                    <w:rPr>
                      <w:rFonts w:ascii="Times New Roman" w:hAnsi="Times New Roman" w:eastAsia="宋体" w:cs="Times New Roman"/>
                      <w:color w:val="auto"/>
                      <w:kern w:val="0"/>
                      <w:sz w:val="21"/>
                      <w:szCs w:val="24"/>
                      <w:highlight w:val="none"/>
                      <w:lang w:val="en-US" w:eastAsia="zh-CN" w:bidi="ar-SA"/>
                    </w:rPr>
                  </w:pPr>
                  <w:r>
                    <w:rPr>
                      <w:color w:val="auto"/>
                      <w:highlight w:val="none"/>
                    </w:rPr>
                    <w:t>是</w:t>
                  </w:r>
                </w:p>
              </w:tc>
              <w:tc>
                <w:tcPr>
                  <w:tcW w:w="454" w:type="pct"/>
                  <w:vMerge w:val="continue"/>
                  <w:vAlign w:val="center"/>
                </w:tcPr>
                <w:p w14:paraId="6AB827E0">
                  <w:pPr>
                    <w:pStyle w:val="41"/>
                    <w:bidi w:val="0"/>
                    <w:jc w:val="center"/>
                    <w:rPr>
                      <w:color w:val="auto"/>
                      <w:highlight w:val="none"/>
                    </w:rPr>
                  </w:pPr>
                </w:p>
              </w:tc>
            </w:tr>
            <w:tr w14:paraId="200A76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77" w:type="pct"/>
                  <w:vAlign w:val="center"/>
                </w:tcPr>
                <w:p w14:paraId="79FD38F7">
                  <w:pPr>
                    <w:pStyle w:val="41"/>
                    <w:numPr>
                      <w:ilvl w:val="0"/>
                      <w:numId w:val="17"/>
                    </w:numPr>
                    <w:tabs>
                      <w:tab w:val="clear" w:pos="397"/>
                    </w:tabs>
                    <w:bidi w:val="0"/>
                    <w:ind w:left="454" w:hanging="454"/>
                    <w:jc w:val="center"/>
                    <w:rPr>
                      <w:rFonts w:hint="default"/>
                      <w:color w:val="auto"/>
                      <w:highlight w:val="none"/>
                      <w:lang w:val="en-US" w:eastAsia="zh-CN"/>
                    </w:rPr>
                  </w:pPr>
                </w:p>
              </w:tc>
              <w:tc>
                <w:tcPr>
                  <w:tcW w:w="906" w:type="pct"/>
                  <w:shd w:val="clear" w:color="auto" w:fill="auto"/>
                  <w:vAlign w:val="center"/>
                </w:tcPr>
                <w:p w14:paraId="7B256A69">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生活垃圾</w:t>
                  </w:r>
                </w:p>
              </w:tc>
              <w:tc>
                <w:tcPr>
                  <w:tcW w:w="936" w:type="pct"/>
                  <w:shd w:val="clear" w:color="auto" w:fill="auto"/>
                  <w:vAlign w:val="center"/>
                </w:tcPr>
                <w:p w14:paraId="43D02422">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职工办公</w:t>
                  </w:r>
                </w:p>
              </w:tc>
              <w:tc>
                <w:tcPr>
                  <w:tcW w:w="453" w:type="pct"/>
                  <w:shd w:val="clear" w:color="auto" w:fill="auto"/>
                  <w:vAlign w:val="center"/>
                </w:tcPr>
                <w:p w14:paraId="4E91FB7E">
                  <w:pPr>
                    <w:pStyle w:val="41"/>
                    <w:bidi w:val="0"/>
                    <w:rPr>
                      <w:rFonts w:hint="eastAsia" w:ascii="Times New Roman" w:hAnsi="Times New Roman" w:eastAsia="宋体" w:cs="Times New Roman"/>
                      <w:kern w:val="0"/>
                      <w:sz w:val="21"/>
                      <w:szCs w:val="24"/>
                      <w:lang w:val="en-US" w:eastAsia="zh-CN" w:bidi="ar-SA"/>
                    </w:rPr>
                  </w:pPr>
                  <w:r>
                    <w:t>固</w:t>
                  </w:r>
                </w:p>
              </w:tc>
              <w:tc>
                <w:tcPr>
                  <w:tcW w:w="666" w:type="pct"/>
                  <w:shd w:val="clear" w:color="auto" w:fill="auto"/>
                  <w:vAlign w:val="center"/>
                </w:tcPr>
                <w:p w14:paraId="32E046CB">
                  <w:pPr>
                    <w:pStyle w:val="41"/>
                    <w:bidi w:val="0"/>
                    <w:rPr>
                      <w:rFonts w:hint="default" w:ascii="Times New Roman" w:hAnsi="Times New Roman" w:eastAsia="宋体" w:cs="Times New Roman"/>
                      <w:kern w:val="0"/>
                      <w:sz w:val="21"/>
                      <w:szCs w:val="24"/>
                      <w:lang w:val="en-US" w:eastAsia="zh-CN" w:bidi="ar-SA"/>
                    </w:rPr>
                  </w:pPr>
                  <w:r>
                    <w:rPr>
                      <w:rFonts w:hint="eastAsia"/>
                    </w:rPr>
                    <w:t>塑料、纸</w:t>
                  </w:r>
                </w:p>
              </w:tc>
              <w:tc>
                <w:tcPr>
                  <w:tcW w:w="561" w:type="pct"/>
                  <w:shd w:val="clear" w:color="auto" w:fill="auto"/>
                  <w:vAlign w:val="center"/>
                </w:tcPr>
                <w:p w14:paraId="1396F8AA">
                  <w:pPr>
                    <w:pStyle w:val="41"/>
                    <w:bidi w:val="0"/>
                    <w:rPr>
                      <w:rFonts w:hint="default" w:ascii="Times New Roman" w:hAnsi="Times New Roman" w:eastAsia="宋体" w:cs="Times New Roman"/>
                      <w:kern w:val="0"/>
                      <w:sz w:val="21"/>
                      <w:szCs w:val="24"/>
                      <w:lang w:val="en-US" w:eastAsia="zh-CN" w:bidi="ar-SA"/>
                    </w:rPr>
                  </w:pPr>
                  <w:r>
                    <w:rPr>
                      <w:rFonts w:hint="eastAsia"/>
                      <w:lang w:val="en-US" w:eastAsia="zh-CN"/>
                    </w:rPr>
                    <w:t>31.25</w:t>
                  </w:r>
                </w:p>
              </w:tc>
              <w:tc>
                <w:tcPr>
                  <w:tcW w:w="642" w:type="pct"/>
                  <w:shd w:val="clear" w:color="auto" w:fill="auto"/>
                  <w:vAlign w:val="center"/>
                </w:tcPr>
                <w:p w14:paraId="378D3953">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是</w:t>
                  </w:r>
                </w:p>
              </w:tc>
              <w:tc>
                <w:tcPr>
                  <w:tcW w:w="454" w:type="pct"/>
                  <w:vMerge w:val="continue"/>
                  <w:vAlign w:val="center"/>
                </w:tcPr>
                <w:p w14:paraId="61000E41">
                  <w:pPr>
                    <w:pStyle w:val="41"/>
                    <w:bidi w:val="0"/>
                    <w:jc w:val="center"/>
                    <w:rPr>
                      <w:color w:val="auto"/>
                      <w:highlight w:val="none"/>
                    </w:rPr>
                  </w:pPr>
                </w:p>
              </w:tc>
            </w:tr>
          </w:tbl>
          <w:p w14:paraId="5799CCA5">
            <w:pPr>
              <w:pStyle w:val="41"/>
              <w:bidi w:val="0"/>
              <w:rPr>
                <w:color w:val="auto"/>
                <w:highlight w:val="none"/>
              </w:rPr>
            </w:pPr>
          </w:p>
          <w:p w14:paraId="1C6D1314">
            <w:pPr>
              <w:ind w:firstLine="482"/>
              <w:rPr>
                <w:b/>
                <w:bCs/>
                <w:color w:val="auto"/>
                <w:highlight w:val="none"/>
              </w:rPr>
            </w:pPr>
            <w:r>
              <w:rPr>
                <w:b/>
                <w:bCs/>
                <w:color w:val="auto"/>
                <w:highlight w:val="none"/>
              </w:rPr>
              <w:t>（3）固体废物属性判定及危险废物汇总</w:t>
            </w:r>
          </w:p>
          <w:p w14:paraId="637AB10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b/>
                <w:bCs/>
                <w:lang w:eastAsia="zh-CN"/>
              </w:rPr>
            </w:pPr>
            <w:r>
              <w:rPr>
                <w:color w:val="auto"/>
                <w:highlight w:val="none"/>
              </w:rPr>
              <w:t>本项目产生的固体废物属性判定情况见</w:t>
            </w:r>
            <w:r>
              <w:rPr>
                <w:rFonts w:hint="eastAsia"/>
                <w:color w:val="auto"/>
                <w:highlight w:val="none"/>
                <w:lang w:val="en-US" w:eastAsia="zh-CN"/>
              </w:rPr>
              <w:t>下表</w:t>
            </w:r>
            <w:bookmarkStart w:id="56" w:name="OLE_LINK73"/>
            <w:r>
              <w:rPr>
                <w:color w:val="auto"/>
                <w:highlight w:val="none"/>
              </w:rPr>
              <w:t>。</w:t>
            </w:r>
            <w:bookmarkEnd w:id="56"/>
          </w:p>
          <w:p w14:paraId="0990DEC3">
            <w:pPr>
              <w:pStyle w:val="162"/>
              <w:bidi w:val="0"/>
            </w:pPr>
            <w:r>
              <w:t>本项目固体废物</w:t>
            </w:r>
            <w:r>
              <w:rPr>
                <w:rFonts w:hint="eastAsia"/>
              </w:rPr>
              <w:t>产生及处理、处置一览表</w:t>
            </w:r>
          </w:p>
          <w:tbl>
            <w:tblPr>
              <w:tblStyle w:val="32"/>
              <w:tblW w:w="849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198"/>
              <w:gridCol w:w="496"/>
              <w:gridCol w:w="446"/>
              <w:gridCol w:w="967"/>
              <w:gridCol w:w="756"/>
              <w:gridCol w:w="632"/>
              <w:gridCol w:w="645"/>
              <w:gridCol w:w="682"/>
              <w:gridCol w:w="1168"/>
              <w:gridCol w:w="628"/>
              <w:gridCol w:w="876"/>
            </w:tblGrid>
            <w:tr w14:paraId="4C26E7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05" w:type="pct"/>
                  <w:tcBorders>
                    <w:right w:val="single" w:color="auto" w:sz="6" w:space="0"/>
                  </w:tcBorders>
                  <w:noWrap w:val="0"/>
                  <w:vAlign w:val="center"/>
                </w:tcPr>
                <w:p w14:paraId="4989507B">
                  <w:pPr>
                    <w:pStyle w:val="41"/>
                    <w:bidi w:val="0"/>
                    <w:rPr>
                      <w:b/>
                      <w:bCs/>
                    </w:rPr>
                  </w:pPr>
                  <w:r>
                    <w:rPr>
                      <w:b/>
                      <w:bCs/>
                    </w:rPr>
                    <w:t>固废名称</w:t>
                  </w:r>
                </w:p>
              </w:tc>
              <w:tc>
                <w:tcPr>
                  <w:tcW w:w="291" w:type="pct"/>
                  <w:tcBorders>
                    <w:left w:val="single" w:color="auto" w:sz="6" w:space="0"/>
                    <w:right w:val="single" w:color="auto" w:sz="6" w:space="0"/>
                  </w:tcBorders>
                  <w:noWrap w:val="0"/>
                  <w:vAlign w:val="center"/>
                </w:tcPr>
                <w:p w14:paraId="17171253">
                  <w:pPr>
                    <w:pStyle w:val="41"/>
                    <w:bidi w:val="0"/>
                    <w:rPr>
                      <w:b/>
                      <w:bCs/>
                    </w:rPr>
                  </w:pPr>
                  <w:r>
                    <w:rPr>
                      <w:b/>
                      <w:bCs/>
                    </w:rPr>
                    <w:t>属性</w:t>
                  </w:r>
                </w:p>
              </w:tc>
              <w:tc>
                <w:tcPr>
                  <w:tcW w:w="262" w:type="pct"/>
                  <w:tcBorders>
                    <w:left w:val="single" w:color="auto" w:sz="6" w:space="0"/>
                    <w:right w:val="single" w:color="auto" w:sz="6" w:space="0"/>
                  </w:tcBorders>
                  <w:noWrap w:val="0"/>
                  <w:vAlign w:val="center"/>
                </w:tcPr>
                <w:p w14:paraId="1A123BDC">
                  <w:pPr>
                    <w:pStyle w:val="41"/>
                    <w:bidi w:val="0"/>
                    <w:rPr>
                      <w:b/>
                      <w:bCs/>
                    </w:rPr>
                  </w:pPr>
                  <w:r>
                    <w:rPr>
                      <w:b/>
                      <w:bCs/>
                    </w:rPr>
                    <w:t>形态</w:t>
                  </w:r>
                </w:p>
              </w:tc>
              <w:tc>
                <w:tcPr>
                  <w:tcW w:w="569" w:type="pct"/>
                  <w:tcBorders>
                    <w:left w:val="single" w:color="auto" w:sz="6" w:space="0"/>
                    <w:right w:val="single" w:color="auto" w:sz="6" w:space="0"/>
                  </w:tcBorders>
                  <w:noWrap w:val="0"/>
                  <w:vAlign w:val="center"/>
                </w:tcPr>
                <w:p w14:paraId="104BFF0B">
                  <w:pPr>
                    <w:pStyle w:val="41"/>
                    <w:bidi w:val="0"/>
                    <w:rPr>
                      <w:rFonts w:hint="default" w:eastAsia="宋体"/>
                      <w:b/>
                      <w:bCs/>
                      <w:lang w:val="en-US" w:eastAsia="zh-CN"/>
                    </w:rPr>
                  </w:pPr>
                  <w:r>
                    <w:rPr>
                      <w:rFonts w:hint="eastAsia"/>
                      <w:b/>
                      <w:bCs/>
                      <w:lang w:val="en-US" w:eastAsia="zh-CN"/>
                    </w:rPr>
                    <w:t>产生工序</w:t>
                  </w:r>
                </w:p>
              </w:tc>
              <w:tc>
                <w:tcPr>
                  <w:tcW w:w="445" w:type="pct"/>
                  <w:tcBorders>
                    <w:left w:val="single" w:color="auto" w:sz="6" w:space="0"/>
                    <w:right w:val="single" w:color="auto" w:sz="6" w:space="0"/>
                  </w:tcBorders>
                  <w:noWrap w:val="0"/>
                  <w:vAlign w:val="center"/>
                </w:tcPr>
                <w:p w14:paraId="5249DE03">
                  <w:pPr>
                    <w:pStyle w:val="41"/>
                    <w:bidi w:val="0"/>
                    <w:rPr>
                      <w:b/>
                      <w:bCs/>
                    </w:rPr>
                  </w:pPr>
                  <w:r>
                    <w:rPr>
                      <w:b/>
                      <w:bCs/>
                    </w:rPr>
                    <w:t>主要成分</w:t>
                  </w:r>
                </w:p>
              </w:tc>
              <w:tc>
                <w:tcPr>
                  <w:tcW w:w="372" w:type="pct"/>
                  <w:tcBorders>
                    <w:left w:val="single" w:color="auto" w:sz="6" w:space="0"/>
                    <w:right w:val="single" w:color="auto" w:sz="6" w:space="0"/>
                  </w:tcBorders>
                  <w:noWrap w:val="0"/>
                  <w:vAlign w:val="center"/>
                </w:tcPr>
                <w:p w14:paraId="3D37B894">
                  <w:pPr>
                    <w:pStyle w:val="41"/>
                    <w:bidi w:val="0"/>
                    <w:rPr>
                      <w:b/>
                      <w:bCs/>
                    </w:rPr>
                  </w:pPr>
                  <w:r>
                    <w:rPr>
                      <w:b/>
                      <w:bCs/>
                    </w:rPr>
                    <w:t>危险特性鉴别方法</w:t>
                  </w:r>
                </w:p>
              </w:tc>
              <w:tc>
                <w:tcPr>
                  <w:tcW w:w="379" w:type="pct"/>
                  <w:tcBorders>
                    <w:left w:val="single" w:color="auto" w:sz="6" w:space="0"/>
                    <w:right w:val="single" w:color="auto" w:sz="6" w:space="0"/>
                  </w:tcBorders>
                  <w:noWrap w:val="0"/>
                  <w:vAlign w:val="center"/>
                </w:tcPr>
                <w:p w14:paraId="43A0C338">
                  <w:pPr>
                    <w:pStyle w:val="41"/>
                    <w:bidi w:val="0"/>
                    <w:rPr>
                      <w:b/>
                      <w:bCs/>
                    </w:rPr>
                  </w:pPr>
                  <w:r>
                    <w:rPr>
                      <w:b/>
                      <w:bCs/>
                    </w:rPr>
                    <w:t>危险特性</w:t>
                  </w:r>
                </w:p>
              </w:tc>
              <w:tc>
                <w:tcPr>
                  <w:tcW w:w="401" w:type="pct"/>
                  <w:tcBorders>
                    <w:left w:val="single" w:color="auto" w:sz="6" w:space="0"/>
                    <w:right w:val="single" w:color="auto" w:sz="6" w:space="0"/>
                  </w:tcBorders>
                  <w:noWrap w:val="0"/>
                  <w:vAlign w:val="center"/>
                </w:tcPr>
                <w:p w14:paraId="782B0F0A">
                  <w:pPr>
                    <w:pStyle w:val="41"/>
                    <w:bidi w:val="0"/>
                    <w:rPr>
                      <w:b/>
                      <w:bCs/>
                    </w:rPr>
                  </w:pPr>
                  <w:r>
                    <w:rPr>
                      <w:b/>
                      <w:bCs/>
                    </w:rPr>
                    <w:t>废物类别</w:t>
                  </w:r>
                </w:p>
              </w:tc>
              <w:tc>
                <w:tcPr>
                  <w:tcW w:w="687" w:type="pct"/>
                  <w:tcBorders>
                    <w:left w:val="single" w:color="auto" w:sz="6" w:space="0"/>
                    <w:right w:val="single" w:color="auto" w:sz="6" w:space="0"/>
                  </w:tcBorders>
                  <w:noWrap w:val="0"/>
                  <w:vAlign w:val="center"/>
                </w:tcPr>
                <w:p w14:paraId="725F66AF">
                  <w:pPr>
                    <w:pStyle w:val="41"/>
                    <w:bidi w:val="0"/>
                    <w:rPr>
                      <w:b/>
                      <w:bCs/>
                    </w:rPr>
                  </w:pPr>
                  <w:r>
                    <w:rPr>
                      <w:b/>
                      <w:bCs/>
                    </w:rPr>
                    <w:t>废物代码</w:t>
                  </w:r>
                </w:p>
              </w:tc>
              <w:tc>
                <w:tcPr>
                  <w:tcW w:w="369" w:type="pct"/>
                  <w:tcBorders>
                    <w:left w:val="single" w:color="auto" w:sz="6" w:space="0"/>
                    <w:right w:val="single" w:color="auto" w:sz="6" w:space="0"/>
                  </w:tcBorders>
                  <w:noWrap w:val="0"/>
                  <w:vAlign w:val="center"/>
                </w:tcPr>
                <w:p w14:paraId="65B1753E">
                  <w:pPr>
                    <w:pStyle w:val="41"/>
                    <w:bidi w:val="0"/>
                    <w:rPr>
                      <w:b/>
                      <w:bCs/>
                    </w:rPr>
                  </w:pPr>
                  <w:r>
                    <w:rPr>
                      <w:b/>
                      <w:bCs/>
                    </w:rPr>
                    <w:t>产生量</w:t>
                  </w:r>
                </w:p>
                <w:p w14:paraId="56896524">
                  <w:pPr>
                    <w:pStyle w:val="41"/>
                    <w:bidi w:val="0"/>
                    <w:rPr>
                      <w:b/>
                      <w:bCs/>
                    </w:rPr>
                  </w:pPr>
                  <w:r>
                    <w:rPr>
                      <w:b/>
                      <w:bCs/>
                    </w:rPr>
                    <w:t>（t/a）</w:t>
                  </w:r>
                </w:p>
              </w:tc>
              <w:tc>
                <w:tcPr>
                  <w:tcW w:w="515" w:type="pct"/>
                  <w:tcBorders>
                    <w:left w:val="single" w:color="auto" w:sz="6" w:space="0"/>
                  </w:tcBorders>
                  <w:noWrap w:val="0"/>
                  <w:vAlign w:val="center"/>
                </w:tcPr>
                <w:p w14:paraId="43039BF7">
                  <w:pPr>
                    <w:pStyle w:val="41"/>
                    <w:bidi w:val="0"/>
                    <w:rPr>
                      <w:b/>
                      <w:bCs/>
                    </w:rPr>
                  </w:pPr>
                  <w:r>
                    <w:rPr>
                      <w:b/>
                      <w:bCs/>
                    </w:rPr>
                    <w:t>处理处置方式</w:t>
                  </w:r>
                </w:p>
              </w:tc>
            </w:tr>
            <w:tr w14:paraId="0C2318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05" w:type="pct"/>
                  <w:tcBorders>
                    <w:right w:val="single" w:color="auto" w:sz="6" w:space="0"/>
                  </w:tcBorders>
                  <w:noWrap w:val="0"/>
                  <w:vAlign w:val="center"/>
                </w:tcPr>
                <w:p w14:paraId="39235405">
                  <w:pPr>
                    <w:pStyle w:val="41"/>
                    <w:bidi w:val="0"/>
                    <w:rPr>
                      <w:rFonts w:hint="eastAsia"/>
                      <w:lang w:val="en-US" w:eastAsia="zh-CN"/>
                    </w:rPr>
                  </w:pPr>
                  <w:r>
                    <w:rPr>
                      <w:rFonts w:hint="eastAsia"/>
                      <w:lang w:eastAsia="zh-CN"/>
                    </w:rPr>
                    <w:t>废液及废料</w:t>
                  </w:r>
                </w:p>
              </w:tc>
              <w:tc>
                <w:tcPr>
                  <w:tcW w:w="291" w:type="pct"/>
                  <w:vMerge w:val="restart"/>
                  <w:tcBorders>
                    <w:left w:val="single" w:color="auto" w:sz="6" w:space="0"/>
                    <w:right w:val="single" w:color="auto" w:sz="6" w:space="0"/>
                  </w:tcBorders>
                  <w:noWrap w:val="0"/>
                  <w:vAlign w:val="center"/>
                </w:tcPr>
                <w:p w14:paraId="39512530">
                  <w:pPr>
                    <w:pStyle w:val="41"/>
                    <w:bidi w:val="0"/>
                    <w:rPr>
                      <w:rFonts w:hint="eastAsia"/>
                      <w:lang w:val="en-US" w:eastAsia="zh-CN"/>
                    </w:rPr>
                  </w:pPr>
                  <w:r>
                    <w:rPr>
                      <w:rFonts w:hint="eastAsia"/>
                    </w:rPr>
                    <w:t>危险废物</w:t>
                  </w:r>
                </w:p>
              </w:tc>
              <w:tc>
                <w:tcPr>
                  <w:tcW w:w="262" w:type="pct"/>
                  <w:tcBorders>
                    <w:left w:val="single" w:color="auto" w:sz="6" w:space="0"/>
                    <w:right w:val="single" w:color="auto" w:sz="6" w:space="0"/>
                  </w:tcBorders>
                  <w:noWrap w:val="0"/>
                  <w:vAlign w:val="center"/>
                </w:tcPr>
                <w:p w14:paraId="4EB47C9D">
                  <w:pPr>
                    <w:pStyle w:val="41"/>
                    <w:bidi w:val="0"/>
                    <w:rPr>
                      <w:rFonts w:hint="default"/>
                      <w:lang w:val="en-US" w:eastAsia="zh-CN"/>
                    </w:rPr>
                  </w:pPr>
                  <w:r>
                    <w:rPr>
                      <w:rFonts w:hint="eastAsia"/>
                      <w:lang w:val="en-US" w:eastAsia="zh-CN"/>
                    </w:rPr>
                    <w:t>固/液</w:t>
                  </w:r>
                </w:p>
              </w:tc>
              <w:tc>
                <w:tcPr>
                  <w:tcW w:w="569" w:type="pct"/>
                  <w:tcBorders>
                    <w:left w:val="single" w:color="auto" w:sz="6" w:space="0"/>
                    <w:right w:val="single" w:color="auto" w:sz="6" w:space="0"/>
                  </w:tcBorders>
                  <w:shd w:val="clear" w:color="auto" w:fill="auto"/>
                  <w:noWrap w:val="0"/>
                  <w:vAlign w:val="center"/>
                </w:tcPr>
                <w:p w14:paraId="6F5D7823">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实验研发</w:t>
                  </w:r>
                </w:p>
              </w:tc>
              <w:tc>
                <w:tcPr>
                  <w:tcW w:w="445" w:type="pct"/>
                  <w:tcBorders>
                    <w:left w:val="single" w:color="auto" w:sz="6" w:space="0"/>
                    <w:right w:val="single" w:color="auto" w:sz="6" w:space="0"/>
                  </w:tcBorders>
                  <w:noWrap w:val="0"/>
                  <w:vAlign w:val="center"/>
                </w:tcPr>
                <w:p w14:paraId="759B88A5">
                  <w:pPr>
                    <w:pStyle w:val="41"/>
                    <w:bidi w:val="0"/>
                    <w:rPr>
                      <w:rFonts w:hint="eastAsia"/>
                      <w:lang w:eastAsia="zh-CN"/>
                    </w:rPr>
                  </w:pPr>
                  <w:r>
                    <w:rPr>
                      <w:rFonts w:hint="eastAsia"/>
                      <w:lang w:val="en-US" w:eastAsia="zh-CN"/>
                    </w:rPr>
                    <w:t>废液</w:t>
                  </w:r>
                </w:p>
              </w:tc>
              <w:tc>
                <w:tcPr>
                  <w:tcW w:w="372" w:type="pct"/>
                  <w:vMerge w:val="restart"/>
                  <w:tcBorders>
                    <w:left w:val="single" w:color="auto" w:sz="6" w:space="0"/>
                    <w:right w:val="single" w:color="auto" w:sz="6" w:space="0"/>
                  </w:tcBorders>
                  <w:noWrap w:val="0"/>
                  <w:vAlign w:val="center"/>
                </w:tcPr>
                <w:p w14:paraId="6F79AAC9">
                  <w:pPr>
                    <w:pStyle w:val="41"/>
                    <w:bidi w:val="0"/>
                  </w:pPr>
                  <w:r>
                    <w:t>《国家危险废物名录》202</w:t>
                  </w:r>
                  <w:r>
                    <w:rPr>
                      <w:rFonts w:hint="eastAsia"/>
                      <w:lang w:val="en-US" w:eastAsia="zh-CN"/>
                    </w:rPr>
                    <w:t>5年</w:t>
                  </w:r>
                  <w:r>
                    <w:t>版</w:t>
                  </w:r>
                </w:p>
              </w:tc>
              <w:tc>
                <w:tcPr>
                  <w:tcW w:w="379" w:type="pct"/>
                  <w:tcBorders>
                    <w:left w:val="single" w:color="auto" w:sz="6" w:space="0"/>
                    <w:right w:val="single" w:color="auto" w:sz="6" w:space="0"/>
                  </w:tcBorders>
                  <w:noWrap w:val="0"/>
                  <w:vAlign w:val="center"/>
                </w:tcPr>
                <w:p w14:paraId="28C1EBDB">
                  <w:pPr>
                    <w:pStyle w:val="41"/>
                    <w:bidi w:val="0"/>
                    <w:rPr>
                      <w:lang w:val="en-US" w:eastAsia="zh-CN"/>
                    </w:rPr>
                  </w:pPr>
                  <w:r>
                    <w:rPr>
                      <w:rFonts w:hint="eastAsia"/>
                    </w:rPr>
                    <w:t>T/C/I/R</w:t>
                  </w:r>
                </w:p>
              </w:tc>
              <w:tc>
                <w:tcPr>
                  <w:tcW w:w="401" w:type="pct"/>
                  <w:tcBorders>
                    <w:left w:val="single" w:color="auto" w:sz="6" w:space="0"/>
                    <w:right w:val="single" w:color="auto" w:sz="6" w:space="0"/>
                  </w:tcBorders>
                  <w:noWrap w:val="0"/>
                  <w:vAlign w:val="center"/>
                </w:tcPr>
                <w:p w14:paraId="6683CE17">
                  <w:pPr>
                    <w:pStyle w:val="41"/>
                    <w:bidi w:val="0"/>
                    <w:rPr>
                      <w:rFonts w:hint="eastAsia"/>
                      <w:lang w:val="en-US" w:eastAsia="zh-CN"/>
                    </w:rPr>
                  </w:pPr>
                  <w:r>
                    <w:rPr>
                      <w:rFonts w:hint="eastAsia"/>
                    </w:rPr>
                    <w:t>HW49</w:t>
                  </w:r>
                </w:p>
              </w:tc>
              <w:tc>
                <w:tcPr>
                  <w:tcW w:w="687" w:type="pct"/>
                  <w:tcBorders>
                    <w:left w:val="single" w:color="auto" w:sz="6" w:space="0"/>
                    <w:right w:val="single" w:color="auto" w:sz="6" w:space="0"/>
                  </w:tcBorders>
                  <w:noWrap w:val="0"/>
                  <w:vAlign w:val="center"/>
                </w:tcPr>
                <w:p w14:paraId="06037EFD">
                  <w:pPr>
                    <w:pStyle w:val="41"/>
                    <w:bidi w:val="0"/>
                    <w:rPr>
                      <w:rFonts w:hint="eastAsia"/>
                      <w:lang w:val="en-US" w:eastAsia="zh-CN"/>
                    </w:rPr>
                  </w:pPr>
                  <w:r>
                    <w:rPr>
                      <w:rFonts w:hint="eastAsia"/>
                    </w:rPr>
                    <w:t>900-047-49</w:t>
                  </w:r>
                </w:p>
              </w:tc>
              <w:tc>
                <w:tcPr>
                  <w:tcW w:w="369" w:type="pct"/>
                  <w:tcBorders>
                    <w:left w:val="single" w:color="auto" w:sz="6" w:space="0"/>
                    <w:right w:val="single" w:color="auto" w:sz="6" w:space="0"/>
                  </w:tcBorders>
                  <w:noWrap w:val="0"/>
                  <w:vAlign w:val="center"/>
                </w:tcPr>
                <w:p w14:paraId="23E42116">
                  <w:pPr>
                    <w:pStyle w:val="41"/>
                    <w:bidi w:val="0"/>
                    <w:rPr>
                      <w:rFonts w:hint="default"/>
                      <w:lang w:val="en-US" w:eastAsia="zh-CN"/>
                    </w:rPr>
                  </w:pPr>
                  <w:r>
                    <w:rPr>
                      <w:rFonts w:hint="eastAsia"/>
                      <w:lang w:val="en-US" w:eastAsia="zh-CN"/>
                    </w:rPr>
                    <w:t>113.804</w:t>
                  </w:r>
                </w:p>
              </w:tc>
              <w:tc>
                <w:tcPr>
                  <w:tcW w:w="515" w:type="pct"/>
                  <w:vMerge w:val="restart"/>
                  <w:tcBorders>
                    <w:left w:val="single" w:color="auto" w:sz="6" w:space="0"/>
                  </w:tcBorders>
                  <w:noWrap w:val="0"/>
                  <w:vAlign w:val="center"/>
                </w:tcPr>
                <w:p w14:paraId="690B00E8">
                  <w:pPr>
                    <w:pStyle w:val="41"/>
                    <w:bidi w:val="0"/>
                    <w:rPr>
                      <w:rFonts w:hint="eastAsia"/>
                    </w:rPr>
                  </w:pPr>
                  <w:r>
                    <w:rPr>
                      <w:rFonts w:hint="eastAsia"/>
                    </w:rPr>
                    <w:t>收集后暂存于</w:t>
                  </w:r>
                  <w:r>
                    <w:rPr>
                      <w:rFonts w:hint="eastAsia"/>
                      <w:lang w:val="en-US" w:eastAsia="zh-CN"/>
                    </w:rPr>
                    <w:t>危废暂存点</w:t>
                  </w:r>
                  <w:r>
                    <w:rPr>
                      <w:rFonts w:hint="eastAsia"/>
                    </w:rPr>
                    <w:t>，定期委托有资质单位处置</w:t>
                  </w:r>
                </w:p>
              </w:tc>
            </w:tr>
            <w:tr w14:paraId="46A06C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05" w:type="pct"/>
                  <w:tcBorders>
                    <w:right w:val="single" w:color="auto" w:sz="6" w:space="0"/>
                  </w:tcBorders>
                  <w:noWrap w:val="0"/>
                  <w:vAlign w:val="center"/>
                </w:tcPr>
                <w:p w14:paraId="31A8E467">
                  <w:pPr>
                    <w:pStyle w:val="41"/>
                    <w:bidi w:val="0"/>
                    <w:rPr>
                      <w:rFonts w:hint="eastAsia"/>
                      <w:lang w:val="en-US" w:eastAsia="zh-CN"/>
                    </w:rPr>
                  </w:pPr>
                  <w:r>
                    <w:rPr>
                      <w:rFonts w:hint="eastAsia"/>
                      <w:lang w:val="en-US" w:eastAsia="zh-CN"/>
                    </w:rPr>
                    <w:t>废实验用品</w:t>
                  </w:r>
                </w:p>
              </w:tc>
              <w:tc>
                <w:tcPr>
                  <w:tcW w:w="291" w:type="pct"/>
                  <w:vMerge w:val="continue"/>
                  <w:tcBorders>
                    <w:left w:val="single" w:color="auto" w:sz="6" w:space="0"/>
                    <w:right w:val="single" w:color="auto" w:sz="6" w:space="0"/>
                  </w:tcBorders>
                  <w:noWrap w:val="0"/>
                  <w:vAlign w:val="center"/>
                </w:tcPr>
                <w:p w14:paraId="5DA0DDEC">
                  <w:pPr>
                    <w:pStyle w:val="41"/>
                    <w:bidi w:val="0"/>
                    <w:rPr>
                      <w:rFonts w:hint="eastAsia"/>
                      <w:lang w:val="en-US" w:eastAsia="zh-CN"/>
                    </w:rPr>
                  </w:pPr>
                </w:p>
              </w:tc>
              <w:tc>
                <w:tcPr>
                  <w:tcW w:w="262" w:type="pct"/>
                  <w:tcBorders>
                    <w:left w:val="single" w:color="auto" w:sz="6" w:space="0"/>
                    <w:right w:val="single" w:color="auto" w:sz="6" w:space="0"/>
                  </w:tcBorders>
                  <w:noWrap w:val="0"/>
                  <w:vAlign w:val="center"/>
                </w:tcPr>
                <w:p w14:paraId="0681675C">
                  <w:pPr>
                    <w:pStyle w:val="41"/>
                    <w:bidi w:val="0"/>
                    <w:rPr>
                      <w:rFonts w:hint="eastAsia"/>
                      <w:lang w:val="en-US" w:eastAsia="zh-CN"/>
                    </w:rPr>
                  </w:pPr>
                  <w:r>
                    <w:rPr>
                      <w:rFonts w:hint="eastAsia"/>
                      <w:lang w:eastAsia="zh-CN"/>
                    </w:rPr>
                    <w:t>固</w:t>
                  </w:r>
                </w:p>
              </w:tc>
              <w:tc>
                <w:tcPr>
                  <w:tcW w:w="569" w:type="pct"/>
                  <w:tcBorders>
                    <w:left w:val="single" w:color="auto" w:sz="6" w:space="0"/>
                    <w:right w:val="single" w:color="auto" w:sz="6" w:space="0"/>
                  </w:tcBorders>
                  <w:shd w:val="clear" w:color="auto" w:fill="auto"/>
                  <w:noWrap w:val="0"/>
                  <w:vAlign w:val="center"/>
                </w:tcPr>
                <w:p w14:paraId="054502D7">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实验研发</w:t>
                  </w:r>
                </w:p>
              </w:tc>
              <w:tc>
                <w:tcPr>
                  <w:tcW w:w="445" w:type="pct"/>
                  <w:tcBorders>
                    <w:left w:val="single" w:color="auto" w:sz="6" w:space="0"/>
                    <w:right w:val="single" w:color="auto" w:sz="6" w:space="0"/>
                  </w:tcBorders>
                  <w:noWrap w:val="0"/>
                  <w:vAlign w:val="center"/>
                </w:tcPr>
                <w:p w14:paraId="561026FA">
                  <w:pPr>
                    <w:pStyle w:val="41"/>
                    <w:bidi w:val="0"/>
                    <w:rPr>
                      <w:rFonts w:hint="default"/>
                      <w:lang w:val="en-US" w:eastAsia="zh-CN"/>
                    </w:rPr>
                  </w:pPr>
                  <w:r>
                    <w:rPr>
                      <w:rFonts w:hint="eastAsia"/>
                      <w:lang w:val="en-US" w:eastAsia="zh-CN"/>
                    </w:rPr>
                    <w:t>塑料</w:t>
                  </w:r>
                </w:p>
              </w:tc>
              <w:tc>
                <w:tcPr>
                  <w:tcW w:w="372" w:type="pct"/>
                  <w:vMerge w:val="continue"/>
                  <w:tcBorders>
                    <w:left w:val="single" w:color="auto" w:sz="6" w:space="0"/>
                    <w:right w:val="single" w:color="auto" w:sz="6" w:space="0"/>
                  </w:tcBorders>
                  <w:noWrap w:val="0"/>
                  <w:vAlign w:val="center"/>
                </w:tcPr>
                <w:p w14:paraId="692416DF">
                  <w:pPr>
                    <w:pStyle w:val="41"/>
                    <w:bidi w:val="0"/>
                    <w:rPr>
                      <w:lang w:val="en-US" w:eastAsia="zh-CN"/>
                    </w:rPr>
                  </w:pPr>
                </w:p>
              </w:tc>
              <w:tc>
                <w:tcPr>
                  <w:tcW w:w="379" w:type="pct"/>
                  <w:tcBorders>
                    <w:left w:val="single" w:color="auto" w:sz="6" w:space="0"/>
                    <w:right w:val="single" w:color="auto" w:sz="6" w:space="0"/>
                  </w:tcBorders>
                  <w:noWrap w:val="0"/>
                  <w:vAlign w:val="center"/>
                </w:tcPr>
                <w:p w14:paraId="47FB8E9E">
                  <w:pPr>
                    <w:pStyle w:val="41"/>
                    <w:bidi w:val="0"/>
                    <w:rPr>
                      <w:lang w:val="en-US" w:eastAsia="zh-CN"/>
                    </w:rPr>
                  </w:pPr>
                  <w:r>
                    <w:rPr>
                      <w:rFonts w:hint="eastAsia"/>
                    </w:rPr>
                    <w:t>T/C/I/R</w:t>
                  </w:r>
                </w:p>
              </w:tc>
              <w:tc>
                <w:tcPr>
                  <w:tcW w:w="401" w:type="pct"/>
                  <w:tcBorders>
                    <w:left w:val="single" w:color="auto" w:sz="6" w:space="0"/>
                    <w:right w:val="single" w:color="auto" w:sz="6" w:space="0"/>
                  </w:tcBorders>
                  <w:noWrap w:val="0"/>
                  <w:vAlign w:val="center"/>
                </w:tcPr>
                <w:p w14:paraId="04F780CA">
                  <w:pPr>
                    <w:pStyle w:val="41"/>
                    <w:bidi w:val="0"/>
                    <w:rPr>
                      <w:rFonts w:hint="eastAsia"/>
                      <w:lang w:val="en-US" w:eastAsia="zh-CN"/>
                    </w:rPr>
                  </w:pPr>
                  <w:r>
                    <w:rPr>
                      <w:rFonts w:hint="eastAsia"/>
                    </w:rPr>
                    <w:t>HW49</w:t>
                  </w:r>
                </w:p>
              </w:tc>
              <w:tc>
                <w:tcPr>
                  <w:tcW w:w="687" w:type="pct"/>
                  <w:tcBorders>
                    <w:left w:val="single" w:color="auto" w:sz="6" w:space="0"/>
                    <w:right w:val="single" w:color="auto" w:sz="6" w:space="0"/>
                  </w:tcBorders>
                  <w:noWrap w:val="0"/>
                  <w:vAlign w:val="center"/>
                </w:tcPr>
                <w:p w14:paraId="292A94B2">
                  <w:pPr>
                    <w:pStyle w:val="41"/>
                    <w:bidi w:val="0"/>
                    <w:rPr>
                      <w:rFonts w:hint="eastAsia"/>
                      <w:lang w:val="en-US" w:eastAsia="zh-CN"/>
                    </w:rPr>
                  </w:pPr>
                  <w:r>
                    <w:rPr>
                      <w:rFonts w:hint="eastAsia"/>
                    </w:rPr>
                    <w:t>900-047-49</w:t>
                  </w:r>
                </w:p>
              </w:tc>
              <w:tc>
                <w:tcPr>
                  <w:tcW w:w="369" w:type="pct"/>
                  <w:tcBorders>
                    <w:left w:val="single" w:color="auto" w:sz="6" w:space="0"/>
                    <w:right w:val="single" w:color="auto" w:sz="6" w:space="0"/>
                  </w:tcBorders>
                  <w:noWrap w:val="0"/>
                  <w:vAlign w:val="center"/>
                </w:tcPr>
                <w:p w14:paraId="364F53C1">
                  <w:pPr>
                    <w:pStyle w:val="41"/>
                    <w:bidi w:val="0"/>
                    <w:rPr>
                      <w:rFonts w:hint="default"/>
                      <w:lang w:val="en-US" w:eastAsia="zh-CN"/>
                    </w:rPr>
                  </w:pPr>
                  <w:r>
                    <w:rPr>
                      <w:rFonts w:hint="eastAsia"/>
                      <w:lang w:val="en-US" w:eastAsia="zh-CN"/>
                    </w:rPr>
                    <w:t>4</w:t>
                  </w:r>
                </w:p>
              </w:tc>
              <w:tc>
                <w:tcPr>
                  <w:tcW w:w="515" w:type="pct"/>
                  <w:vMerge w:val="continue"/>
                  <w:tcBorders>
                    <w:left w:val="single" w:color="auto" w:sz="6" w:space="0"/>
                  </w:tcBorders>
                  <w:noWrap w:val="0"/>
                  <w:vAlign w:val="center"/>
                </w:tcPr>
                <w:p w14:paraId="40C0F93E">
                  <w:pPr>
                    <w:pStyle w:val="41"/>
                    <w:bidi w:val="0"/>
                    <w:rPr>
                      <w:rFonts w:hint="eastAsia"/>
                    </w:rPr>
                  </w:pPr>
                </w:p>
              </w:tc>
            </w:tr>
            <w:tr w14:paraId="434DCA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05" w:type="pct"/>
                  <w:tcBorders>
                    <w:right w:val="single" w:color="auto" w:sz="6" w:space="0"/>
                  </w:tcBorders>
                  <w:noWrap w:val="0"/>
                  <w:vAlign w:val="center"/>
                </w:tcPr>
                <w:p w14:paraId="71FF013F">
                  <w:pPr>
                    <w:pStyle w:val="41"/>
                    <w:bidi w:val="0"/>
                    <w:rPr>
                      <w:rFonts w:hint="default"/>
                      <w:lang w:val="en-US" w:eastAsia="zh-CN"/>
                    </w:rPr>
                  </w:pPr>
                  <w:r>
                    <w:rPr>
                      <w:rFonts w:hint="eastAsia"/>
                      <w:lang w:val="en-US" w:eastAsia="zh-CN"/>
                    </w:rPr>
                    <w:t>废过滤器</w:t>
                  </w:r>
                </w:p>
              </w:tc>
              <w:tc>
                <w:tcPr>
                  <w:tcW w:w="291" w:type="pct"/>
                  <w:vMerge w:val="continue"/>
                  <w:tcBorders>
                    <w:left w:val="single" w:color="auto" w:sz="6" w:space="0"/>
                    <w:right w:val="single" w:color="auto" w:sz="6" w:space="0"/>
                  </w:tcBorders>
                  <w:noWrap w:val="0"/>
                  <w:vAlign w:val="center"/>
                </w:tcPr>
                <w:p w14:paraId="41079B65">
                  <w:pPr>
                    <w:pStyle w:val="41"/>
                    <w:bidi w:val="0"/>
                    <w:rPr>
                      <w:rFonts w:hint="eastAsia"/>
                      <w:lang w:val="en-US" w:eastAsia="zh-CN"/>
                    </w:rPr>
                  </w:pPr>
                </w:p>
              </w:tc>
              <w:tc>
                <w:tcPr>
                  <w:tcW w:w="262" w:type="pct"/>
                  <w:tcBorders>
                    <w:left w:val="single" w:color="auto" w:sz="6" w:space="0"/>
                    <w:right w:val="single" w:color="auto" w:sz="6" w:space="0"/>
                  </w:tcBorders>
                  <w:noWrap w:val="0"/>
                  <w:vAlign w:val="center"/>
                </w:tcPr>
                <w:p w14:paraId="41D1A112">
                  <w:pPr>
                    <w:pStyle w:val="41"/>
                    <w:bidi w:val="0"/>
                    <w:rPr>
                      <w:rFonts w:hint="eastAsia"/>
                      <w:lang w:eastAsia="zh-CN"/>
                    </w:rPr>
                  </w:pPr>
                  <w:r>
                    <w:rPr>
                      <w:rFonts w:hint="eastAsia"/>
                      <w:lang w:eastAsia="zh-CN"/>
                    </w:rPr>
                    <w:t>固</w:t>
                  </w:r>
                </w:p>
              </w:tc>
              <w:tc>
                <w:tcPr>
                  <w:tcW w:w="569" w:type="pct"/>
                  <w:tcBorders>
                    <w:left w:val="single" w:color="auto" w:sz="6" w:space="0"/>
                    <w:right w:val="single" w:color="auto" w:sz="6" w:space="0"/>
                  </w:tcBorders>
                  <w:shd w:val="clear" w:color="auto" w:fill="auto"/>
                  <w:noWrap w:val="0"/>
                  <w:vAlign w:val="center"/>
                </w:tcPr>
                <w:p w14:paraId="1987EBBC">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生物安全柜</w:t>
                  </w:r>
                </w:p>
              </w:tc>
              <w:tc>
                <w:tcPr>
                  <w:tcW w:w="445" w:type="pct"/>
                  <w:tcBorders>
                    <w:left w:val="single" w:color="auto" w:sz="6" w:space="0"/>
                    <w:right w:val="single" w:color="auto" w:sz="6" w:space="0"/>
                  </w:tcBorders>
                  <w:noWrap w:val="0"/>
                  <w:vAlign w:val="center"/>
                </w:tcPr>
                <w:p w14:paraId="2FBED45E">
                  <w:pPr>
                    <w:pStyle w:val="41"/>
                    <w:bidi w:val="0"/>
                    <w:rPr>
                      <w:rFonts w:hint="default"/>
                      <w:lang w:val="en-US" w:eastAsia="zh-CN"/>
                    </w:rPr>
                  </w:pPr>
                  <w:r>
                    <w:rPr>
                      <w:rFonts w:hint="eastAsia"/>
                      <w:lang w:val="en-US" w:eastAsia="zh-CN"/>
                    </w:rPr>
                    <w:t>滤芯</w:t>
                  </w:r>
                </w:p>
              </w:tc>
              <w:tc>
                <w:tcPr>
                  <w:tcW w:w="372" w:type="pct"/>
                  <w:vMerge w:val="continue"/>
                  <w:tcBorders>
                    <w:left w:val="single" w:color="auto" w:sz="6" w:space="0"/>
                    <w:right w:val="single" w:color="auto" w:sz="6" w:space="0"/>
                  </w:tcBorders>
                  <w:noWrap w:val="0"/>
                  <w:vAlign w:val="center"/>
                </w:tcPr>
                <w:p w14:paraId="144539A0">
                  <w:pPr>
                    <w:pStyle w:val="41"/>
                    <w:bidi w:val="0"/>
                    <w:rPr>
                      <w:lang w:val="en-US" w:eastAsia="zh-CN"/>
                    </w:rPr>
                  </w:pPr>
                </w:p>
              </w:tc>
              <w:tc>
                <w:tcPr>
                  <w:tcW w:w="379" w:type="pct"/>
                  <w:tcBorders>
                    <w:left w:val="single" w:color="auto" w:sz="6" w:space="0"/>
                    <w:right w:val="single" w:color="auto" w:sz="6" w:space="0"/>
                  </w:tcBorders>
                  <w:noWrap w:val="0"/>
                  <w:vAlign w:val="center"/>
                </w:tcPr>
                <w:p w14:paraId="24BD3045">
                  <w:pPr>
                    <w:pStyle w:val="41"/>
                    <w:bidi w:val="0"/>
                    <w:rPr>
                      <w:rFonts w:hint="default"/>
                      <w:lang w:val="en-US" w:eastAsia="zh-CN"/>
                    </w:rPr>
                  </w:pPr>
                  <w:r>
                    <w:rPr>
                      <w:rFonts w:hint="eastAsia"/>
                      <w:lang w:val="en-US" w:eastAsia="zh-CN"/>
                    </w:rPr>
                    <w:t>T/In</w:t>
                  </w:r>
                </w:p>
              </w:tc>
              <w:tc>
                <w:tcPr>
                  <w:tcW w:w="401" w:type="pct"/>
                  <w:tcBorders>
                    <w:left w:val="single" w:color="auto" w:sz="6" w:space="0"/>
                    <w:right w:val="single" w:color="auto" w:sz="6" w:space="0"/>
                  </w:tcBorders>
                  <w:noWrap w:val="0"/>
                  <w:vAlign w:val="center"/>
                </w:tcPr>
                <w:p w14:paraId="5C9AD00A">
                  <w:pPr>
                    <w:pStyle w:val="41"/>
                    <w:bidi w:val="0"/>
                    <w:rPr>
                      <w:rFonts w:hint="default"/>
                      <w:lang w:val="en-US" w:eastAsia="zh-CN"/>
                    </w:rPr>
                  </w:pPr>
                  <w:r>
                    <w:rPr>
                      <w:rFonts w:hint="eastAsia"/>
                      <w:lang w:val="en-US" w:eastAsia="zh-CN"/>
                    </w:rPr>
                    <w:t>HW49</w:t>
                  </w:r>
                </w:p>
              </w:tc>
              <w:tc>
                <w:tcPr>
                  <w:tcW w:w="687" w:type="pct"/>
                  <w:tcBorders>
                    <w:left w:val="single" w:color="auto" w:sz="6" w:space="0"/>
                    <w:right w:val="single" w:color="auto" w:sz="6" w:space="0"/>
                  </w:tcBorders>
                  <w:noWrap w:val="0"/>
                  <w:vAlign w:val="center"/>
                </w:tcPr>
                <w:p w14:paraId="2FED4A46">
                  <w:pPr>
                    <w:pStyle w:val="41"/>
                    <w:bidi w:val="0"/>
                    <w:rPr>
                      <w:rFonts w:hint="default"/>
                      <w:lang w:val="en-US" w:eastAsia="zh-CN"/>
                    </w:rPr>
                  </w:pPr>
                  <w:r>
                    <w:rPr>
                      <w:rFonts w:hint="eastAsia"/>
                      <w:lang w:val="en-US" w:eastAsia="zh-CN"/>
                    </w:rPr>
                    <w:t>900-041-49</w:t>
                  </w:r>
                </w:p>
              </w:tc>
              <w:tc>
                <w:tcPr>
                  <w:tcW w:w="369" w:type="pct"/>
                  <w:tcBorders>
                    <w:left w:val="single" w:color="auto" w:sz="6" w:space="0"/>
                    <w:right w:val="single" w:color="auto" w:sz="6" w:space="0"/>
                  </w:tcBorders>
                  <w:noWrap w:val="0"/>
                  <w:vAlign w:val="center"/>
                </w:tcPr>
                <w:p w14:paraId="28B888AD">
                  <w:pPr>
                    <w:pStyle w:val="41"/>
                    <w:bidi w:val="0"/>
                    <w:rPr>
                      <w:rFonts w:hint="default"/>
                      <w:lang w:val="en-US" w:eastAsia="zh-CN"/>
                    </w:rPr>
                  </w:pPr>
                  <w:r>
                    <w:rPr>
                      <w:rFonts w:hint="eastAsia"/>
                      <w:lang w:val="en-US" w:eastAsia="zh-CN"/>
                    </w:rPr>
                    <w:t>0.07</w:t>
                  </w:r>
                </w:p>
              </w:tc>
              <w:tc>
                <w:tcPr>
                  <w:tcW w:w="515" w:type="pct"/>
                  <w:vMerge w:val="continue"/>
                  <w:tcBorders>
                    <w:left w:val="single" w:color="auto" w:sz="6" w:space="0"/>
                  </w:tcBorders>
                  <w:noWrap w:val="0"/>
                  <w:vAlign w:val="center"/>
                </w:tcPr>
                <w:p w14:paraId="6765C699">
                  <w:pPr>
                    <w:pStyle w:val="41"/>
                    <w:bidi w:val="0"/>
                    <w:rPr>
                      <w:rFonts w:hint="eastAsia"/>
                    </w:rPr>
                  </w:pPr>
                </w:p>
              </w:tc>
            </w:tr>
            <w:tr w14:paraId="6F5252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05" w:type="pct"/>
                  <w:tcBorders>
                    <w:right w:val="single" w:color="auto" w:sz="6" w:space="0"/>
                  </w:tcBorders>
                  <w:shd w:val="clear" w:color="auto" w:fill="auto"/>
                  <w:noWrap w:val="0"/>
                  <w:vAlign w:val="center"/>
                </w:tcPr>
                <w:p w14:paraId="00BCBD5A">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废试剂包装</w:t>
                  </w:r>
                </w:p>
              </w:tc>
              <w:tc>
                <w:tcPr>
                  <w:tcW w:w="291" w:type="pct"/>
                  <w:vMerge w:val="continue"/>
                  <w:tcBorders>
                    <w:left w:val="single" w:color="auto" w:sz="6" w:space="0"/>
                    <w:right w:val="single" w:color="auto" w:sz="6" w:space="0"/>
                  </w:tcBorders>
                  <w:shd w:val="clear" w:color="auto" w:fill="auto"/>
                  <w:noWrap w:val="0"/>
                  <w:vAlign w:val="center"/>
                </w:tcPr>
                <w:p w14:paraId="268C0D19">
                  <w:pPr>
                    <w:pStyle w:val="41"/>
                    <w:bidi w:val="0"/>
                    <w:rPr>
                      <w:rFonts w:hint="eastAsia" w:ascii="Times New Roman" w:hAnsi="Times New Roman" w:eastAsia="宋体" w:cs="Times New Roman"/>
                      <w:kern w:val="0"/>
                      <w:sz w:val="21"/>
                      <w:szCs w:val="24"/>
                      <w:lang w:val="en-US" w:eastAsia="zh-CN" w:bidi="ar-SA"/>
                    </w:rPr>
                  </w:pPr>
                </w:p>
              </w:tc>
              <w:tc>
                <w:tcPr>
                  <w:tcW w:w="262" w:type="pct"/>
                  <w:tcBorders>
                    <w:left w:val="single" w:color="auto" w:sz="6" w:space="0"/>
                    <w:right w:val="single" w:color="auto" w:sz="6" w:space="0"/>
                  </w:tcBorders>
                  <w:shd w:val="clear" w:color="auto" w:fill="auto"/>
                  <w:noWrap w:val="0"/>
                  <w:vAlign w:val="center"/>
                </w:tcPr>
                <w:p w14:paraId="4A05C56D">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固</w:t>
                  </w:r>
                </w:p>
              </w:tc>
              <w:tc>
                <w:tcPr>
                  <w:tcW w:w="569" w:type="pct"/>
                  <w:tcBorders>
                    <w:left w:val="single" w:color="auto" w:sz="6" w:space="0"/>
                    <w:right w:val="single" w:color="auto" w:sz="6" w:space="0"/>
                  </w:tcBorders>
                  <w:shd w:val="clear" w:color="auto" w:fill="auto"/>
                  <w:noWrap w:val="0"/>
                  <w:vAlign w:val="center"/>
                </w:tcPr>
                <w:p w14:paraId="33C2DE3E">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eastAsia="宋体"/>
                      <w:color w:val="auto"/>
                      <w:highlight w:val="none"/>
                      <w:lang w:val="en-US" w:eastAsia="zh-CN"/>
                    </w:rPr>
                    <w:t>原料使用</w:t>
                  </w:r>
                </w:p>
              </w:tc>
              <w:tc>
                <w:tcPr>
                  <w:tcW w:w="445" w:type="pct"/>
                  <w:tcBorders>
                    <w:left w:val="single" w:color="auto" w:sz="6" w:space="0"/>
                    <w:right w:val="single" w:color="auto" w:sz="6" w:space="0"/>
                  </w:tcBorders>
                  <w:shd w:val="clear" w:color="auto" w:fill="auto"/>
                  <w:noWrap w:val="0"/>
                  <w:vAlign w:val="center"/>
                </w:tcPr>
                <w:p w14:paraId="4EB205B3">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塑料/玻璃</w:t>
                  </w:r>
                </w:p>
              </w:tc>
              <w:tc>
                <w:tcPr>
                  <w:tcW w:w="372" w:type="pct"/>
                  <w:vMerge w:val="continue"/>
                  <w:tcBorders>
                    <w:left w:val="single" w:color="auto" w:sz="6" w:space="0"/>
                    <w:right w:val="single" w:color="auto" w:sz="6" w:space="0"/>
                  </w:tcBorders>
                  <w:shd w:val="clear" w:color="auto" w:fill="auto"/>
                  <w:noWrap w:val="0"/>
                  <w:vAlign w:val="center"/>
                </w:tcPr>
                <w:p w14:paraId="18115876">
                  <w:pPr>
                    <w:pStyle w:val="41"/>
                    <w:bidi w:val="0"/>
                    <w:rPr>
                      <w:rFonts w:ascii="Times New Roman" w:hAnsi="Times New Roman" w:eastAsia="宋体" w:cs="Times New Roman"/>
                      <w:kern w:val="0"/>
                      <w:sz w:val="21"/>
                      <w:szCs w:val="24"/>
                      <w:lang w:val="en-US" w:eastAsia="zh-CN" w:bidi="ar-SA"/>
                    </w:rPr>
                  </w:pPr>
                </w:p>
              </w:tc>
              <w:tc>
                <w:tcPr>
                  <w:tcW w:w="379" w:type="pct"/>
                  <w:tcBorders>
                    <w:left w:val="single" w:color="auto" w:sz="6" w:space="0"/>
                    <w:right w:val="single" w:color="auto" w:sz="6" w:space="0"/>
                  </w:tcBorders>
                  <w:shd w:val="clear" w:color="auto" w:fill="auto"/>
                  <w:noWrap w:val="0"/>
                  <w:vAlign w:val="center"/>
                </w:tcPr>
                <w:p w14:paraId="5603AB00">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T/In</w:t>
                  </w:r>
                </w:p>
              </w:tc>
              <w:tc>
                <w:tcPr>
                  <w:tcW w:w="401" w:type="pct"/>
                  <w:tcBorders>
                    <w:left w:val="single" w:color="auto" w:sz="6" w:space="0"/>
                    <w:right w:val="single" w:color="auto" w:sz="6" w:space="0"/>
                  </w:tcBorders>
                  <w:shd w:val="clear" w:color="auto" w:fill="auto"/>
                  <w:noWrap w:val="0"/>
                  <w:vAlign w:val="center"/>
                </w:tcPr>
                <w:p w14:paraId="37986851">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HW49</w:t>
                  </w:r>
                </w:p>
              </w:tc>
              <w:tc>
                <w:tcPr>
                  <w:tcW w:w="687" w:type="pct"/>
                  <w:tcBorders>
                    <w:left w:val="single" w:color="auto" w:sz="6" w:space="0"/>
                    <w:right w:val="single" w:color="auto" w:sz="6" w:space="0"/>
                  </w:tcBorders>
                  <w:shd w:val="clear" w:color="auto" w:fill="auto"/>
                  <w:noWrap w:val="0"/>
                  <w:vAlign w:val="center"/>
                </w:tcPr>
                <w:p w14:paraId="79FE0576">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900-041-49</w:t>
                  </w:r>
                </w:p>
              </w:tc>
              <w:tc>
                <w:tcPr>
                  <w:tcW w:w="369" w:type="pct"/>
                  <w:tcBorders>
                    <w:left w:val="single" w:color="auto" w:sz="6" w:space="0"/>
                    <w:right w:val="single" w:color="auto" w:sz="6" w:space="0"/>
                  </w:tcBorders>
                  <w:shd w:val="clear" w:color="auto" w:fill="auto"/>
                  <w:noWrap w:val="0"/>
                  <w:vAlign w:val="center"/>
                </w:tcPr>
                <w:p w14:paraId="5F37E1E9">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1</w:t>
                  </w:r>
                </w:p>
              </w:tc>
              <w:tc>
                <w:tcPr>
                  <w:tcW w:w="515" w:type="pct"/>
                  <w:vMerge w:val="continue"/>
                  <w:tcBorders>
                    <w:left w:val="single" w:color="auto" w:sz="6" w:space="0"/>
                  </w:tcBorders>
                  <w:noWrap w:val="0"/>
                  <w:vAlign w:val="center"/>
                </w:tcPr>
                <w:p w14:paraId="55995D54">
                  <w:pPr>
                    <w:pStyle w:val="41"/>
                    <w:bidi w:val="0"/>
                    <w:rPr>
                      <w:rFonts w:hint="eastAsia"/>
                    </w:rPr>
                  </w:pPr>
                </w:p>
              </w:tc>
            </w:tr>
            <w:tr w14:paraId="567F6D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05" w:type="pct"/>
                  <w:tcBorders>
                    <w:right w:val="single" w:color="auto" w:sz="6" w:space="0"/>
                  </w:tcBorders>
                  <w:shd w:val="clear" w:color="auto" w:fill="auto"/>
                  <w:noWrap w:val="0"/>
                  <w:vAlign w:val="center"/>
                </w:tcPr>
                <w:p w14:paraId="26A36B9B">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废活性炭</w:t>
                  </w:r>
                </w:p>
              </w:tc>
              <w:tc>
                <w:tcPr>
                  <w:tcW w:w="291" w:type="pct"/>
                  <w:vMerge w:val="continue"/>
                  <w:tcBorders>
                    <w:left w:val="single" w:color="auto" w:sz="6" w:space="0"/>
                    <w:right w:val="single" w:color="auto" w:sz="6" w:space="0"/>
                  </w:tcBorders>
                  <w:shd w:val="clear" w:color="auto" w:fill="auto"/>
                  <w:noWrap w:val="0"/>
                  <w:vAlign w:val="center"/>
                </w:tcPr>
                <w:p w14:paraId="2B136B6D">
                  <w:pPr>
                    <w:pStyle w:val="41"/>
                    <w:bidi w:val="0"/>
                    <w:rPr>
                      <w:rFonts w:hint="eastAsia" w:ascii="Times New Roman" w:hAnsi="Times New Roman" w:eastAsia="宋体" w:cs="Times New Roman"/>
                      <w:kern w:val="0"/>
                      <w:sz w:val="21"/>
                      <w:szCs w:val="24"/>
                      <w:lang w:val="en-US" w:eastAsia="zh-CN" w:bidi="ar-SA"/>
                    </w:rPr>
                  </w:pPr>
                </w:p>
              </w:tc>
              <w:tc>
                <w:tcPr>
                  <w:tcW w:w="262" w:type="pct"/>
                  <w:tcBorders>
                    <w:left w:val="single" w:color="auto" w:sz="6" w:space="0"/>
                    <w:right w:val="single" w:color="auto" w:sz="6" w:space="0"/>
                  </w:tcBorders>
                  <w:shd w:val="clear" w:color="auto" w:fill="auto"/>
                  <w:noWrap w:val="0"/>
                  <w:vAlign w:val="center"/>
                </w:tcPr>
                <w:p w14:paraId="143DF0E5">
                  <w:pPr>
                    <w:pStyle w:val="41"/>
                    <w:bidi w:val="0"/>
                    <w:rPr>
                      <w:rFonts w:hint="eastAsia" w:ascii="Times New Roman" w:hAnsi="Times New Roman" w:eastAsia="宋体" w:cs="Times New Roman"/>
                      <w:kern w:val="0"/>
                      <w:sz w:val="21"/>
                      <w:szCs w:val="24"/>
                      <w:lang w:val="en-US" w:eastAsia="zh-CN" w:bidi="ar-SA"/>
                    </w:rPr>
                  </w:pPr>
                  <w:r>
                    <w:rPr>
                      <w:rFonts w:hint="eastAsia"/>
                      <w:lang w:val="en-US" w:eastAsia="zh-CN"/>
                    </w:rPr>
                    <w:t>固</w:t>
                  </w:r>
                </w:p>
              </w:tc>
              <w:tc>
                <w:tcPr>
                  <w:tcW w:w="569" w:type="pct"/>
                  <w:tcBorders>
                    <w:left w:val="single" w:color="auto" w:sz="6" w:space="0"/>
                    <w:right w:val="single" w:color="auto" w:sz="6" w:space="0"/>
                  </w:tcBorders>
                  <w:shd w:val="clear" w:color="auto" w:fill="auto"/>
                  <w:noWrap w:val="0"/>
                  <w:vAlign w:val="center"/>
                </w:tcPr>
                <w:p w14:paraId="72030A3F">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废气处理</w:t>
                  </w:r>
                </w:p>
              </w:tc>
              <w:tc>
                <w:tcPr>
                  <w:tcW w:w="445" w:type="pct"/>
                  <w:tcBorders>
                    <w:left w:val="single" w:color="auto" w:sz="6" w:space="0"/>
                    <w:right w:val="single" w:color="auto" w:sz="6" w:space="0"/>
                  </w:tcBorders>
                  <w:shd w:val="clear" w:color="auto" w:fill="auto"/>
                  <w:noWrap w:val="0"/>
                  <w:vAlign w:val="center"/>
                </w:tcPr>
                <w:p w14:paraId="6A26C93D">
                  <w:pPr>
                    <w:pStyle w:val="41"/>
                    <w:bidi w:val="0"/>
                    <w:jc w:val="center"/>
                    <w:rPr>
                      <w:rFonts w:hint="eastAsia" w:ascii="Times New Roman" w:hAnsi="Times New Roman" w:eastAsia="宋体" w:cs="Times New Roman"/>
                      <w:kern w:val="0"/>
                      <w:sz w:val="21"/>
                      <w:szCs w:val="24"/>
                      <w:lang w:val="en-US" w:eastAsia="zh-CN" w:bidi="ar-SA"/>
                    </w:rPr>
                  </w:pPr>
                  <w:r>
                    <w:rPr>
                      <w:rFonts w:hint="eastAsia"/>
                      <w:lang w:val="en-US" w:eastAsia="zh-CN"/>
                    </w:rPr>
                    <w:t>活性炭</w:t>
                  </w:r>
                </w:p>
              </w:tc>
              <w:tc>
                <w:tcPr>
                  <w:tcW w:w="372" w:type="pct"/>
                  <w:vMerge w:val="continue"/>
                  <w:tcBorders>
                    <w:left w:val="single" w:color="auto" w:sz="6" w:space="0"/>
                    <w:right w:val="single" w:color="auto" w:sz="6" w:space="0"/>
                  </w:tcBorders>
                  <w:shd w:val="clear" w:color="auto" w:fill="auto"/>
                  <w:noWrap w:val="0"/>
                  <w:vAlign w:val="center"/>
                </w:tcPr>
                <w:p w14:paraId="2AA77AEB">
                  <w:pPr>
                    <w:pStyle w:val="41"/>
                    <w:bidi w:val="0"/>
                    <w:rPr>
                      <w:rFonts w:ascii="Times New Roman" w:hAnsi="Times New Roman" w:eastAsia="宋体" w:cs="Times New Roman"/>
                      <w:kern w:val="0"/>
                      <w:sz w:val="21"/>
                      <w:szCs w:val="24"/>
                      <w:lang w:val="en-US" w:eastAsia="zh-CN" w:bidi="ar-SA"/>
                    </w:rPr>
                  </w:pPr>
                </w:p>
              </w:tc>
              <w:tc>
                <w:tcPr>
                  <w:tcW w:w="379" w:type="pct"/>
                  <w:tcBorders>
                    <w:left w:val="single" w:color="auto" w:sz="6" w:space="0"/>
                    <w:right w:val="single" w:color="auto" w:sz="6" w:space="0"/>
                  </w:tcBorders>
                  <w:shd w:val="clear" w:color="auto" w:fill="auto"/>
                  <w:noWrap w:val="0"/>
                  <w:vAlign w:val="center"/>
                </w:tcPr>
                <w:p w14:paraId="50EE6731">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T</w:t>
                  </w:r>
                </w:p>
              </w:tc>
              <w:tc>
                <w:tcPr>
                  <w:tcW w:w="401" w:type="pct"/>
                  <w:tcBorders>
                    <w:left w:val="single" w:color="auto" w:sz="6" w:space="0"/>
                    <w:right w:val="single" w:color="auto" w:sz="6" w:space="0"/>
                  </w:tcBorders>
                  <w:shd w:val="clear" w:color="auto" w:fill="auto"/>
                  <w:noWrap w:val="0"/>
                  <w:vAlign w:val="center"/>
                </w:tcPr>
                <w:p w14:paraId="278D884C">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HW49</w:t>
                  </w:r>
                </w:p>
              </w:tc>
              <w:tc>
                <w:tcPr>
                  <w:tcW w:w="687" w:type="pct"/>
                  <w:tcBorders>
                    <w:left w:val="single" w:color="auto" w:sz="6" w:space="0"/>
                    <w:right w:val="single" w:color="auto" w:sz="6" w:space="0"/>
                  </w:tcBorders>
                  <w:shd w:val="clear" w:color="auto" w:fill="auto"/>
                  <w:noWrap w:val="0"/>
                  <w:vAlign w:val="center"/>
                </w:tcPr>
                <w:p w14:paraId="6DE97CB3">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900-039-49</w:t>
                  </w:r>
                </w:p>
              </w:tc>
              <w:tc>
                <w:tcPr>
                  <w:tcW w:w="369" w:type="pct"/>
                  <w:tcBorders>
                    <w:left w:val="single" w:color="auto" w:sz="6" w:space="0"/>
                    <w:right w:val="single" w:color="auto" w:sz="6" w:space="0"/>
                  </w:tcBorders>
                  <w:noWrap w:val="0"/>
                  <w:vAlign w:val="center"/>
                </w:tcPr>
                <w:p w14:paraId="50AFA423">
                  <w:pPr>
                    <w:pStyle w:val="41"/>
                    <w:bidi w:val="0"/>
                    <w:rPr>
                      <w:rFonts w:hint="default"/>
                      <w:lang w:val="en-US" w:eastAsia="zh-CN"/>
                    </w:rPr>
                  </w:pPr>
                  <w:r>
                    <w:rPr>
                      <w:rFonts w:hint="eastAsia"/>
                      <w:lang w:val="en-US" w:eastAsia="zh-CN"/>
                    </w:rPr>
                    <w:t>13.4</w:t>
                  </w:r>
                </w:p>
              </w:tc>
              <w:tc>
                <w:tcPr>
                  <w:tcW w:w="515" w:type="pct"/>
                  <w:vMerge w:val="restart"/>
                  <w:tcBorders>
                    <w:left w:val="single" w:color="auto" w:sz="6" w:space="0"/>
                  </w:tcBorders>
                  <w:noWrap w:val="0"/>
                  <w:vAlign w:val="center"/>
                </w:tcPr>
                <w:p w14:paraId="33AFBD37">
                  <w:pPr>
                    <w:pStyle w:val="41"/>
                    <w:bidi w:val="0"/>
                    <w:rPr>
                      <w:rFonts w:hint="eastAsia"/>
                    </w:rPr>
                  </w:pPr>
                  <w:r>
                    <w:rPr>
                      <w:rFonts w:hint="eastAsia"/>
                      <w:lang w:val="en-US" w:eastAsia="zh-CN"/>
                    </w:rPr>
                    <w:t>清理时</w:t>
                  </w:r>
                  <w:r>
                    <w:rPr>
                      <w:rFonts w:hint="eastAsia"/>
                    </w:rPr>
                    <w:t>委托有资质单位处置</w:t>
                  </w:r>
                </w:p>
              </w:tc>
            </w:tr>
            <w:tr w14:paraId="1743F7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05" w:type="pct"/>
                  <w:tcBorders>
                    <w:right w:val="single" w:color="auto" w:sz="6" w:space="0"/>
                  </w:tcBorders>
                  <w:noWrap w:val="0"/>
                  <w:vAlign w:val="center"/>
                </w:tcPr>
                <w:p w14:paraId="69EF880A">
                  <w:pPr>
                    <w:pStyle w:val="41"/>
                    <w:bidi w:val="0"/>
                    <w:rPr>
                      <w:rFonts w:hint="default"/>
                      <w:lang w:val="en-US" w:eastAsia="zh-CN"/>
                    </w:rPr>
                  </w:pPr>
                  <w:r>
                    <w:rPr>
                      <w:rFonts w:hint="eastAsia"/>
                      <w:lang w:val="en-US" w:eastAsia="zh-CN"/>
                    </w:rPr>
                    <w:t>污水站污泥</w:t>
                  </w:r>
                </w:p>
              </w:tc>
              <w:tc>
                <w:tcPr>
                  <w:tcW w:w="291" w:type="pct"/>
                  <w:vMerge w:val="continue"/>
                  <w:tcBorders>
                    <w:left w:val="single" w:color="auto" w:sz="6" w:space="0"/>
                    <w:right w:val="single" w:color="auto" w:sz="6" w:space="0"/>
                  </w:tcBorders>
                  <w:noWrap w:val="0"/>
                  <w:vAlign w:val="center"/>
                </w:tcPr>
                <w:p w14:paraId="44098F05">
                  <w:pPr>
                    <w:pStyle w:val="41"/>
                    <w:bidi w:val="0"/>
                    <w:rPr>
                      <w:rFonts w:hint="eastAsia"/>
                      <w:lang w:val="en-US" w:eastAsia="zh-CN"/>
                    </w:rPr>
                  </w:pPr>
                </w:p>
              </w:tc>
              <w:tc>
                <w:tcPr>
                  <w:tcW w:w="262" w:type="pct"/>
                  <w:tcBorders>
                    <w:left w:val="single" w:color="auto" w:sz="6" w:space="0"/>
                    <w:right w:val="single" w:color="auto" w:sz="6" w:space="0"/>
                  </w:tcBorders>
                  <w:noWrap w:val="0"/>
                  <w:vAlign w:val="center"/>
                </w:tcPr>
                <w:p w14:paraId="50401F97">
                  <w:pPr>
                    <w:pStyle w:val="41"/>
                    <w:bidi w:val="0"/>
                    <w:rPr>
                      <w:rFonts w:hint="default"/>
                      <w:lang w:val="en-US" w:eastAsia="zh-CN"/>
                    </w:rPr>
                  </w:pPr>
                  <w:r>
                    <w:rPr>
                      <w:rFonts w:hint="eastAsia"/>
                      <w:lang w:val="en-US" w:eastAsia="zh-CN"/>
                    </w:rPr>
                    <w:t>固</w:t>
                  </w:r>
                </w:p>
              </w:tc>
              <w:tc>
                <w:tcPr>
                  <w:tcW w:w="569" w:type="pct"/>
                  <w:tcBorders>
                    <w:left w:val="single" w:color="auto" w:sz="6" w:space="0"/>
                    <w:right w:val="single" w:color="auto" w:sz="6" w:space="0"/>
                  </w:tcBorders>
                  <w:shd w:val="clear" w:color="auto" w:fill="auto"/>
                  <w:noWrap w:val="0"/>
                  <w:vAlign w:val="center"/>
                </w:tcPr>
                <w:p w14:paraId="584605D6">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废水处理</w:t>
                  </w:r>
                </w:p>
              </w:tc>
              <w:tc>
                <w:tcPr>
                  <w:tcW w:w="445" w:type="pct"/>
                  <w:tcBorders>
                    <w:left w:val="single" w:color="auto" w:sz="6" w:space="0"/>
                    <w:right w:val="single" w:color="auto" w:sz="6" w:space="0"/>
                  </w:tcBorders>
                  <w:noWrap w:val="0"/>
                  <w:vAlign w:val="center"/>
                </w:tcPr>
                <w:p w14:paraId="05874F15">
                  <w:pPr>
                    <w:pStyle w:val="41"/>
                    <w:bidi w:val="0"/>
                    <w:rPr>
                      <w:rFonts w:hint="default"/>
                      <w:lang w:val="en-US" w:eastAsia="zh-CN"/>
                    </w:rPr>
                  </w:pPr>
                  <w:r>
                    <w:rPr>
                      <w:rFonts w:hint="eastAsia"/>
                      <w:lang w:val="en-US" w:eastAsia="zh-CN"/>
                    </w:rPr>
                    <w:t>污泥</w:t>
                  </w:r>
                </w:p>
              </w:tc>
              <w:tc>
                <w:tcPr>
                  <w:tcW w:w="372" w:type="pct"/>
                  <w:vMerge w:val="continue"/>
                  <w:tcBorders>
                    <w:left w:val="single" w:color="auto" w:sz="6" w:space="0"/>
                    <w:right w:val="single" w:color="auto" w:sz="6" w:space="0"/>
                  </w:tcBorders>
                  <w:noWrap w:val="0"/>
                  <w:vAlign w:val="center"/>
                </w:tcPr>
                <w:p w14:paraId="10534445">
                  <w:pPr>
                    <w:pStyle w:val="41"/>
                    <w:bidi w:val="0"/>
                    <w:rPr>
                      <w:lang w:val="en-US" w:eastAsia="zh-CN"/>
                    </w:rPr>
                  </w:pPr>
                </w:p>
              </w:tc>
              <w:tc>
                <w:tcPr>
                  <w:tcW w:w="379" w:type="pct"/>
                  <w:tcBorders>
                    <w:left w:val="single" w:color="auto" w:sz="6" w:space="0"/>
                    <w:right w:val="single" w:color="auto" w:sz="6" w:space="0"/>
                  </w:tcBorders>
                  <w:shd w:val="clear" w:color="auto" w:fill="auto"/>
                  <w:noWrap w:val="0"/>
                  <w:vAlign w:val="center"/>
                </w:tcPr>
                <w:p w14:paraId="2BFE1D19">
                  <w:pPr>
                    <w:pStyle w:val="41"/>
                    <w:bidi w:val="0"/>
                    <w:rPr>
                      <w:rFonts w:hint="eastAsia"/>
                      <w:lang w:val="en-US" w:eastAsia="zh-CN"/>
                    </w:rPr>
                  </w:pPr>
                  <w:r>
                    <w:t>T/In</w:t>
                  </w:r>
                </w:p>
              </w:tc>
              <w:tc>
                <w:tcPr>
                  <w:tcW w:w="401" w:type="pct"/>
                  <w:tcBorders>
                    <w:left w:val="single" w:color="auto" w:sz="6" w:space="0"/>
                    <w:right w:val="single" w:color="auto" w:sz="6" w:space="0"/>
                  </w:tcBorders>
                  <w:shd w:val="clear" w:color="auto" w:fill="auto"/>
                  <w:noWrap w:val="0"/>
                  <w:vAlign w:val="center"/>
                </w:tcPr>
                <w:p w14:paraId="6BB907C3">
                  <w:pPr>
                    <w:pStyle w:val="41"/>
                    <w:bidi w:val="0"/>
                    <w:rPr>
                      <w:rFonts w:hint="eastAsia"/>
                      <w:lang w:val="en-US" w:eastAsia="zh-CN"/>
                    </w:rPr>
                  </w:pPr>
                  <w:r>
                    <w:rPr>
                      <w:rFonts w:hint="eastAsia"/>
                    </w:rPr>
                    <w:t>H</w:t>
                  </w:r>
                  <w:r>
                    <w:t>W49</w:t>
                  </w:r>
                </w:p>
              </w:tc>
              <w:tc>
                <w:tcPr>
                  <w:tcW w:w="687" w:type="pct"/>
                  <w:tcBorders>
                    <w:left w:val="single" w:color="auto" w:sz="6" w:space="0"/>
                    <w:right w:val="single" w:color="auto" w:sz="6" w:space="0"/>
                  </w:tcBorders>
                  <w:shd w:val="clear" w:color="auto" w:fill="auto"/>
                  <w:noWrap w:val="0"/>
                  <w:vAlign w:val="center"/>
                </w:tcPr>
                <w:p w14:paraId="20946E4D">
                  <w:pPr>
                    <w:pStyle w:val="41"/>
                    <w:bidi w:val="0"/>
                    <w:rPr>
                      <w:rFonts w:hint="eastAsia"/>
                      <w:lang w:val="en-US" w:eastAsia="zh-CN"/>
                    </w:rPr>
                  </w:pPr>
                  <w:r>
                    <w:rPr>
                      <w:rFonts w:hint="eastAsia"/>
                    </w:rPr>
                    <w:t>7</w:t>
                  </w:r>
                  <w:r>
                    <w:t>72-006-49</w:t>
                  </w:r>
                </w:p>
              </w:tc>
              <w:tc>
                <w:tcPr>
                  <w:tcW w:w="369" w:type="pct"/>
                  <w:tcBorders>
                    <w:left w:val="single" w:color="auto" w:sz="6" w:space="0"/>
                    <w:right w:val="single" w:color="auto" w:sz="6" w:space="0"/>
                  </w:tcBorders>
                  <w:noWrap w:val="0"/>
                  <w:vAlign w:val="center"/>
                </w:tcPr>
                <w:p w14:paraId="1944C009">
                  <w:pPr>
                    <w:pStyle w:val="41"/>
                    <w:bidi w:val="0"/>
                    <w:rPr>
                      <w:rFonts w:hint="default"/>
                      <w:lang w:val="en-US" w:eastAsia="zh-CN"/>
                    </w:rPr>
                  </w:pPr>
                  <w:r>
                    <w:rPr>
                      <w:rFonts w:hint="eastAsia"/>
                      <w:lang w:val="en-US" w:eastAsia="zh-CN"/>
                    </w:rPr>
                    <w:t>5.85</w:t>
                  </w:r>
                </w:p>
              </w:tc>
              <w:tc>
                <w:tcPr>
                  <w:tcW w:w="515" w:type="pct"/>
                  <w:vMerge w:val="continue"/>
                  <w:tcBorders>
                    <w:left w:val="single" w:color="auto" w:sz="6" w:space="0"/>
                  </w:tcBorders>
                  <w:noWrap w:val="0"/>
                  <w:vAlign w:val="center"/>
                </w:tcPr>
                <w:p w14:paraId="500CA4B0">
                  <w:pPr>
                    <w:pStyle w:val="41"/>
                    <w:bidi w:val="0"/>
                    <w:rPr>
                      <w:rFonts w:hint="eastAsia"/>
                    </w:rPr>
                  </w:pPr>
                </w:p>
              </w:tc>
            </w:tr>
            <w:tr w14:paraId="7C9258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05" w:type="pct"/>
                  <w:tcBorders>
                    <w:right w:val="single" w:color="auto" w:sz="6" w:space="0"/>
                  </w:tcBorders>
                  <w:noWrap w:val="0"/>
                  <w:vAlign w:val="center"/>
                </w:tcPr>
                <w:p w14:paraId="4B923958">
                  <w:pPr>
                    <w:pStyle w:val="41"/>
                    <w:bidi w:val="0"/>
                    <w:rPr>
                      <w:rFonts w:hint="default"/>
                      <w:lang w:val="en-US" w:eastAsia="zh-CN"/>
                    </w:rPr>
                  </w:pPr>
                  <w:r>
                    <w:rPr>
                      <w:rFonts w:hint="eastAsia"/>
                      <w:lang w:val="en-US" w:eastAsia="zh-CN"/>
                    </w:rPr>
                    <w:t>化粪池污泥</w:t>
                  </w:r>
                </w:p>
              </w:tc>
              <w:tc>
                <w:tcPr>
                  <w:tcW w:w="291" w:type="pct"/>
                  <w:vMerge w:val="restart"/>
                  <w:tcBorders>
                    <w:left w:val="single" w:color="auto" w:sz="6" w:space="0"/>
                    <w:right w:val="single" w:color="auto" w:sz="6" w:space="0"/>
                  </w:tcBorders>
                  <w:noWrap w:val="0"/>
                  <w:vAlign w:val="center"/>
                </w:tcPr>
                <w:p w14:paraId="646FF837">
                  <w:pPr>
                    <w:pStyle w:val="41"/>
                    <w:bidi w:val="0"/>
                    <w:rPr>
                      <w:rFonts w:hint="default"/>
                      <w:lang w:val="en-US" w:eastAsia="zh-CN"/>
                    </w:rPr>
                  </w:pPr>
                  <w:r>
                    <w:rPr>
                      <w:rFonts w:hint="eastAsia"/>
                      <w:lang w:val="en-US" w:eastAsia="zh-CN"/>
                    </w:rPr>
                    <w:t>一般固体废物</w:t>
                  </w:r>
                </w:p>
              </w:tc>
              <w:tc>
                <w:tcPr>
                  <w:tcW w:w="262" w:type="pct"/>
                  <w:tcBorders>
                    <w:left w:val="single" w:color="auto" w:sz="6" w:space="0"/>
                    <w:right w:val="single" w:color="auto" w:sz="6" w:space="0"/>
                  </w:tcBorders>
                  <w:noWrap w:val="0"/>
                  <w:vAlign w:val="center"/>
                </w:tcPr>
                <w:p w14:paraId="7C7FEB77">
                  <w:pPr>
                    <w:pStyle w:val="41"/>
                    <w:bidi w:val="0"/>
                    <w:rPr>
                      <w:rFonts w:hint="default"/>
                      <w:lang w:val="en-US" w:eastAsia="zh-CN"/>
                    </w:rPr>
                  </w:pPr>
                  <w:r>
                    <w:rPr>
                      <w:rFonts w:hint="eastAsia"/>
                      <w:lang w:val="en-US" w:eastAsia="zh-CN"/>
                    </w:rPr>
                    <w:t>固</w:t>
                  </w:r>
                </w:p>
              </w:tc>
              <w:tc>
                <w:tcPr>
                  <w:tcW w:w="569" w:type="pct"/>
                  <w:tcBorders>
                    <w:left w:val="single" w:color="auto" w:sz="6" w:space="0"/>
                    <w:right w:val="single" w:color="auto" w:sz="6" w:space="0"/>
                  </w:tcBorders>
                  <w:shd w:val="clear" w:color="auto" w:fill="auto"/>
                  <w:noWrap w:val="0"/>
                  <w:vAlign w:val="center"/>
                </w:tcPr>
                <w:p w14:paraId="1E6E0DA6">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废水处理</w:t>
                  </w:r>
                </w:p>
              </w:tc>
              <w:tc>
                <w:tcPr>
                  <w:tcW w:w="445" w:type="pct"/>
                  <w:tcBorders>
                    <w:left w:val="single" w:color="auto" w:sz="6" w:space="0"/>
                    <w:right w:val="single" w:color="auto" w:sz="6" w:space="0"/>
                  </w:tcBorders>
                  <w:noWrap w:val="0"/>
                  <w:vAlign w:val="center"/>
                </w:tcPr>
                <w:p w14:paraId="479E7EFA">
                  <w:pPr>
                    <w:pStyle w:val="41"/>
                    <w:bidi w:val="0"/>
                    <w:rPr>
                      <w:rFonts w:hint="default"/>
                      <w:lang w:val="en-US" w:eastAsia="zh-CN"/>
                    </w:rPr>
                  </w:pPr>
                  <w:r>
                    <w:rPr>
                      <w:rFonts w:hint="eastAsia"/>
                      <w:lang w:val="en-US" w:eastAsia="zh-CN"/>
                    </w:rPr>
                    <w:t>污泥</w:t>
                  </w:r>
                </w:p>
              </w:tc>
              <w:tc>
                <w:tcPr>
                  <w:tcW w:w="372" w:type="pct"/>
                  <w:vMerge w:val="continue"/>
                  <w:tcBorders>
                    <w:left w:val="single" w:color="auto" w:sz="6" w:space="0"/>
                    <w:right w:val="single" w:color="auto" w:sz="6" w:space="0"/>
                  </w:tcBorders>
                  <w:noWrap w:val="0"/>
                  <w:vAlign w:val="center"/>
                </w:tcPr>
                <w:p w14:paraId="777CCEAA">
                  <w:pPr>
                    <w:pStyle w:val="41"/>
                    <w:bidi w:val="0"/>
                    <w:rPr>
                      <w:lang w:val="en-US" w:eastAsia="zh-CN"/>
                    </w:rPr>
                  </w:pPr>
                </w:p>
              </w:tc>
              <w:tc>
                <w:tcPr>
                  <w:tcW w:w="379" w:type="pct"/>
                  <w:tcBorders>
                    <w:left w:val="single" w:color="auto" w:sz="6" w:space="0"/>
                    <w:right w:val="single" w:color="auto" w:sz="6" w:space="0"/>
                  </w:tcBorders>
                  <w:noWrap w:val="0"/>
                  <w:vAlign w:val="center"/>
                </w:tcPr>
                <w:p w14:paraId="58E61244">
                  <w:pPr>
                    <w:pStyle w:val="41"/>
                    <w:bidi w:val="0"/>
                    <w:rPr>
                      <w:rFonts w:hint="default"/>
                      <w:lang w:val="en-US" w:eastAsia="zh-CN"/>
                    </w:rPr>
                  </w:pPr>
                  <w:r>
                    <w:rPr>
                      <w:rFonts w:hint="eastAsia"/>
                      <w:lang w:val="en-US" w:eastAsia="zh-CN"/>
                    </w:rPr>
                    <w:t>/</w:t>
                  </w:r>
                </w:p>
              </w:tc>
              <w:tc>
                <w:tcPr>
                  <w:tcW w:w="401" w:type="pct"/>
                  <w:tcBorders>
                    <w:left w:val="single" w:color="auto" w:sz="6" w:space="0"/>
                    <w:right w:val="single" w:color="auto" w:sz="6" w:space="0"/>
                  </w:tcBorders>
                  <w:shd w:val="clear" w:color="auto" w:fill="auto"/>
                  <w:noWrap w:val="0"/>
                  <w:vAlign w:val="center"/>
                </w:tcPr>
                <w:p w14:paraId="38871AC5">
                  <w:pPr>
                    <w:pStyle w:val="41"/>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SW64</w:t>
                  </w:r>
                </w:p>
              </w:tc>
              <w:tc>
                <w:tcPr>
                  <w:tcW w:w="687" w:type="pct"/>
                  <w:tcBorders>
                    <w:left w:val="single" w:color="auto" w:sz="6" w:space="0"/>
                    <w:right w:val="single" w:color="auto" w:sz="6" w:space="0"/>
                  </w:tcBorders>
                  <w:shd w:val="clear" w:color="auto" w:fill="auto"/>
                  <w:noWrap w:val="0"/>
                  <w:vAlign w:val="center"/>
                </w:tcPr>
                <w:p w14:paraId="5E7700CD">
                  <w:pPr>
                    <w:pStyle w:val="41"/>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900-099-S64</w:t>
                  </w:r>
                </w:p>
              </w:tc>
              <w:tc>
                <w:tcPr>
                  <w:tcW w:w="369" w:type="pct"/>
                  <w:tcBorders>
                    <w:left w:val="single" w:color="auto" w:sz="6" w:space="0"/>
                    <w:right w:val="single" w:color="auto" w:sz="6" w:space="0"/>
                  </w:tcBorders>
                  <w:noWrap w:val="0"/>
                  <w:vAlign w:val="center"/>
                </w:tcPr>
                <w:p w14:paraId="6660DF33">
                  <w:pPr>
                    <w:pStyle w:val="41"/>
                    <w:bidi w:val="0"/>
                    <w:rPr>
                      <w:rFonts w:hint="default"/>
                      <w:lang w:val="en-US" w:eastAsia="zh-CN"/>
                    </w:rPr>
                  </w:pPr>
                  <w:r>
                    <w:rPr>
                      <w:rFonts w:hint="eastAsia"/>
                      <w:lang w:val="en-US" w:eastAsia="zh-CN"/>
                    </w:rPr>
                    <w:t>4</w:t>
                  </w:r>
                </w:p>
              </w:tc>
              <w:tc>
                <w:tcPr>
                  <w:tcW w:w="515" w:type="pct"/>
                  <w:tcBorders>
                    <w:left w:val="single" w:color="auto" w:sz="6" w:space="0"/>
                  </w:tcBorders>
                  <w:noWrap w:val="0"/>
                  <w:vAlign w:val="center"/>
                </w:tcPr>
                <w:p w14:paraId="3063C4DA">
                  <w:pPr>
                    <w:pStyle w:val="41"/>
                    <w:bidi w:val="0"/>
                    <w:rPr>
                      <w:rFonts w:hint="default" w:eastAsia="宋体"/>
                      <w:lang w:val="en-US" w:eastAsia="zh-CN"/>
                    </w:rPr>
                  </w:pPr>
                  <w:r>
                    <w:rPr>
                      <w:rFonts w:hint="eastAsia"/>
                      <w:lang w:val="en-US" w:eastAsia="zh-CN"/>
                    </w:rPr>
                    <w:t>委托专业单位处理</w:t>
                  </w:r>
                </w:p>
              </w:tc>
            </w:tr>
            <w:tr w14:paraId="497314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05" w:type="pct"/>
                  <w:tcBorders>
                    <w:right w:val="single" w:color="auto" w:sz="6" w:space="0"/>
                  </w:tcBorders>
                  <w:noWrap w:val="0"/>
                  <w:vAlign w:val="center"/>
                </w:tcPr>
                <w:p w14:paraId="153D076A">
                  <w:pPr>
                    <w:pStyle w:val="41"/>
                    <w:bidi w:val="0"/>
                    <w:rPr>
                      <w:rFonts w:hint="eastAsia"/>
                      <w:lang w:val="en-US" w:eastAsia="zh-CN"/>
                    </w:rPr>
                  </w:pPr>
                  <w:r>
                    <w:rPr>
                      <w:rFonts w:hint="eastAsia"/>
                      <w:lang w:val="en-US" w:eastAsia="zh-CN"/>
                    </w:rPr>
                    <w:t>纯水制备滤芯</w:t>
                  </w:r>
                </w:p>
              </w:tc>
              <w:tc>
                <w:tcPr>
                  <w:tcW w:w="291" w:type="pct"/>
                  <w:vMerge w:val="continue"/>
                  <w:tcBorders>
                    <w:left w:val="single" w:color="auto" w:sz="6" w:space="0"/>
                    <w:right w:val="single" w:color="auto" w:sz="6" w:space="0"/>
                  </w:tcBorders>
                  <w:noWrap w:val="0"/>
                  <w:vAlign w:val="center"/>
                </w:tcPr>
                <w:p w14:paraId="7FB8C02B">
                  <w:pPr>
                    <w:pStyle w:val="41"/>
                    <w:bidi w:val="0"/>
                    <w:rPr>
                      <w:rFonts w:hint="default"/>
                      <w:lang w:val="en-US" w:eastAsia="zh-CN"/>
                    </w:rPr>
                  </w:pPr>
                </w:p>
              </w:tc>
              <w:tc>
                <w:tcPr>
                  <w:tcW w:w="262" w:type="pct"/>
                  <w:tcBorders>
                    <w:left w:val="single" w:color="auto" w:sz="6" w:space="0"/>
                    <w:right w:val="single" w:color="auto" w:sz="6" w:space="0"/>
                  </w:tcBorders>
                  <w:noWrap w:val="0"/>
                  <w:vAlign w:val="center"/>
                </w:tcPr>
                <w:p w14:paraId="68A7748A">
                  <w:pPr>
                    <w:pStyle w:val="41"/>
                    <w:bidi w:val="0"/>
                    <w:rPr>
                      <w:rFonts w:hint="default"/>
                      <w:lang w:val="en-US" w:eastAsia="zh-CN"/>
                    </w:rPr>
                  </w:pPr>
                  <w:r>
                    <w:rPr>
                      <w:rFonts w:hint="eastAsia"/>
                      <w:lang w:val="en-US" w:eastAsia="zh-CN"/>
                    </w:rPr>
                    <w:t>固</w:t>
                  </w:r>
                </w:p>
              </w:tc>
              <w:tc>
                <w:tcPr>
                  <w:tcW w:w="569" w:type="pct"/>
                  <w:tcBorders>
                    <w:left w:val="single" w:color="auto" w:sz="6" w:space="0"/>
                    <w:right w:val="single" w:color="auto" w:sz="6" w:space="0"/>
                  </w:tcBorders>
                  <w:shd w:val="clear" w:color="auto" w:fill="auto"/>
                  <w:noWrap w:val="0"/>
                  <w:vAlign w:val="center"/>
                </w:tcPr>
                <w:p w14:paraId="1270E065">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纯水制备</w:t>
                  </w:r>
                </w:p>
              </w:tc>
              <w:tc>
                <w:tcPr>
                  <w:tcW w:w="445" w:type="pct"/>
                  <w:tcBorders>
                    <w:left w:val="single" w:color="auto" w:sz="6" w:space="0"/>
                    <w:right w:val="single" w:color="auto" w:sz="6" w:space="0"/>
                  </w:tcBorders>
                  <w:noWrap w:val="0"/>
                  <w:vAlign w:val="center"/>
                </w:tcPr>
                <w:p w14:paraId="57BD28F2">
                  <w:pPr>
                    <w:pStyle w:val="41"/>
                    <w:bidi w:val="0"/>
                    <w:rPr>
                      <w:rFonts w:hint="default"/>
                      <w:lang w:val="en-US" w:eastAsia="zh-CN"/>
                    </w:rPr>
                  </w:pPr>
                  <w:r>
                    <w:rPr>
                      <w:rFonts w:hint="eastAsia"/>
                      <w:lang w:val="en-US" w:eastAsia="zh-CN"/>
                    </w:rPr>
                    <w:t>滤芯</w:t>
                  </w:r>
                </w:p>
              </w:tc>
              <w:tc>
                <w:tcPr>
                  <w:tcW w:w="372" w:type="pct"/>
                  <w:vMerge w:val="continue"/>
                  <w:tcBorders>
                    <w:left w:val="single" w:color="auto" w:sz="6" w:space="0"/>
                    <w:right w:val="single" w:color="auto" w:sz="6" w:space="0"/>
                  </w:tcBorders>
                  <w:noWrap w:val="0"/>
                  <w:vAlign w:val="center"/>
                </w:tcPr>
                <w:p w14:paraId="082D5B36">
                  <w:pPr>
                    <w:pStyle w:val="41"/>
                    <w:bidi w:val="0"/>
                  </w:pPr>
                </w:p>
              </w:tc>
              <w:tc>
                <w:tcPr>
                  <w:tcW w:w="379" w:type="pct"/>
                  <w:tcBorders>
                    <w:left w:val="single" w:color="auto" w:sz="6" w:space="0"/>
                    <w:right w:val="single" w:color="auto" w:sz="6" w:space="0"/>
                  </w:tcBorders>
                  <w:noWrap w:val="0"/>
                  <w:vAlign w:val="center"/>
                </w:tcPr>
                <w:p w14:paraId="386B0B86">
                  <w:pPr>
                    <w:pStyle w:val="41"/>
                    <w:bidi w:val="0"/>
                    <w:rPr>
                      <w:rFonts w:hint="eastAsia"/>
                      <w:lang w:val="en-US" w:eastAsia="zh-CN"/>
                    </w:rPr>
                  </w:pPr>
                  <w:r>
                    <w:rPr>
                      <w:rFonts w:hint="eastAsia"/>
                      <w:lang w:val="en-US" w:eastAsia="zh-CN"/>
                    </w:rPr>
                    <w:t>/</w:t>
                  </w:r>
                </w:p>
              </w:tc>
              <w:tc>
                <w:tcPr>
                  <w:tcW w:w="401" w:type="pct"/>
                  <w:tcBorders>
                    <w:left w:val="single" w:color="auto" w:sz="6" w:space="0"/>
                    <w:right w:val="single" w:color="auto" w:sz="6" w:space="0"/>
                  </w:tcBorders>
                  <w:shd w:val="clear" w:color="auto" w:fill="auto"/>
                  <w:noWrap w:val="0"/>
                  <w:vAlign w:val="center"/>
                </w:tcPr>
                <w:p w14:paraId="39F79B5F">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SW59</w:t>
                  </w:r>
                </w:p>
              </w:tc>
              <w:tc>
                <w:tcPr>
                  <w:tcW w:w="687" w:type="pct"/>
                  <w:tcBorders>
                    <w:left w:val="single" w:color="auto" w:sz="6" w:space="0"/>
                    <w:right w:val="single" w:color="auto" w:sz="6" w:space="0"/>
                  </w:tcBorders>
                  <w:shd w:val="clear" w:color="auto" w:fill="auto"/>
                  <w:noWrap w:val="0"/>
                  <w:vAlign w:val="center"/>
                </w:tcPr>
                <w:p w14:paraId="6354C8EE">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900-009-S59</w:t>
                  </w:r>
                </w:p>
              </w:tc>
              <w:tc>
                <w:tcPr>
                  <w:tcW w:w="369" w:type="pct"/>
                  <w:tcBorders>
                    <w:left w:val="single" w:color="auto" w:sz="6" w:space="0"/>
                    <w:right w:val="single" w:color="auto" w:sz="6" w:space="0"/>
                  </w:tcBorders>
                  <w:noWrap w:val="0"/>
                  <w:vAlign w:val="center"/>
                </w:tcPr>
                <w:p w14:paraId="2FE4FF42">
                  <w:pPr>
                    <w:pStyle w:val="41"/>
                    <w:bidi w:val="0"/>
                    <w:rPr>
                      <w:rFonts w:hint="default"/>
                      <w:lang w:val="en-US" w:eastAsia="zh-CN"/>
                    </w:rPr>
                  </w:pPr>
                  <w:r>
                    <w:rPr>
                      <w:rFonts w:hint="eastAsia"/>
                      <w:lang w:val="en-US" w:eastAsia="zh-CN"/>
                    </w:rPr>
                    <w:t>0.1</w:t>
                  </w:r>
                </w:p>
              </w:tc>
              <w:tc>
                <w:tcPr>
                  <w:tcW w:w="515" w:type="pct"/>
                  <w:vMerge w:val="restart"/>
                  <w:tcBorders>
                    <w:left w:val="single" w:color="auto" w:sz="6" w:space="0"/>
                  </w:tcBorders>
                  <w:noWrap w:val="0"/>
                  <w:vAlign w:val="center"/>
                </w:tcPr>
                <w:p w14:paraId="75E8D5DC">
                  <w:pPr>
                    <w:pStyle w:val="41"/>
                    <w:bidi w:val="0"/>
                    <w:rPr>
                      <w:rFonts w:hint="default"/>
                      <w:lang w:val="en-US" w:eastAsia="zh-CN"/>
                    </w:rPr>
                  </w:pPr>
                  <w:r>
                    <w:rPr>
                      <w:rFonts w:hint="eastAsia"/>
                      <w:lang w:val="en-US" w:eastAsia="zh-CN"/>
                    </w:rPr>
                    <w:t>外售</w:t>
                  </w:r>
                </w:p>
              </w:tc>
            </w:tr>
            <w:tr w14:paraId="0D6252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89" w:hRule="atLeast"/>
              </w:trPr>
              <w:tc>
                <w:tcPr>
                  <w:tcW w:w="705" w:type="pct"/>
                  <w:vAlign w:val="center"/>
                </w:tcPr>
                <w:p w14:paraId="1D9B3FA9">
                  <w:pPr>
                    <w:pStyle w:val="41"/>
                    <w:bidi w:val="0"/>
                    <w:rPr>
                      <w:rFonts w:hint="eastAsia"/>
                      <w:lang w:val="en-US" w:eastAsia="zh-CN"/>
                    </w:rPr>
                  </w:pPr>
                  <w:r>
                    <w:rPr>
                      <w:rFonts w:hint="eastAsia"/>
                      <w:lang w:val="en-US" w:eastAsia="zh-CN"/>
                    </w:rPr>
                    <w:t>废外包装材料</w:t>
                  </w:r>
                </w:p>
              </w:tc>
              <w:tc>
                <w:tcPr>
                  <w:tcW w:w="291" w:type="pct"/>
                  <w:vMerge w:val="continue"/>
                  <w:tcBorders>
                    <w:left w:val="single" w:color="auto" w:sz="6" w:space="0"/>
                    <w:right w:val="single" w:color="auto" w:sz="6" w:space="0"/>
                  </w:tcBorders>
                  <w:vAlign w:val="center"/>
                </w:tcPr>
                <w:p w14:paraId="446D10B2">
                  <w:pPr>
                    <w:pStyle w:val="41"/>
                    <w:bidi w:val="0"/>
                    <w:rPr>
                      <w:rFonts w:hint="eastAsia"/>
                      <w:lang w:val="en-US" w:eastAsia="zh-CN"/>
                    </w:rPr>
                  </w:pPr>
                </w:p>
              </w:tc>
              <w:tc>
                <w:tcPr>
                  <w:tcW w:w="262" w:type="pct"/>
                  <w:vAlign w:val="center"/>
                </w:tcPr>
                <w:p w14:paraId="579B6860">
                  <w:pPr>
                    <w:pStyle w:val="41"/>
                    <w:bidi w:val="0"/>
                    <w:rPr>
                      <w:rFonts w:hint="default"/>
                      <w:lang w:val="en-US" w:eastAsia="zh-CN"/>
                    </w:rPr>
                  </w:pPr>
                  <w:r>
                    <w:rPr>
                      <w:rFonts w:hint="eastAsia"/>
                      <w:lang w:val="en-US" w:eastAsia="zh-CN"/>
                    </w:rPr>
                    <w:t>固</w:t>
                  </w:r>
                </w:p>
              </w:tc>
              <w:tc>
                <w:tcPr>
                  <w:tcW w:w="569" w:type="pct"/>
                  <w:shd w:val="clear" w:color="auto" w:fill="auto"/>
                  <w:vAlign w:val="center"/>
                </w:tcPr>
                <w:p w14:paraId="65C181C5">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原料拆包</w:t>
                  </w:r>
                </w:p>
              </w:tc>
              <w:tc>
                <w:tcPr>
                  <w:tcW w:w="445" w:type="pct"/>
                  <w:vAlign w:val="center"/>
                </w:tcPr>
                <w:p w14:paraId="77015197">
                  <w:pPr>
                    <w:pStyle w:val="41"/>
                    <w:bidi w:val="0"/>
                    <w:rPr>
                      <w:rFonts w:hint="default"/>
                      <w:lang w:val="en-US" w:eastAsia="zh-CN"/>
                    </w:rPr>
                  </w:pPr>
                  <w:r>
                    <w:rPr>
                      <w:rFonts w:hint="eastAsia"/>
                      <w:lang w:val="en-US" w:eastAsia="zh-CN"/>
                    </w:rPr>
                    <w:t>塑料/纸箱</w:t>
                  </w:r>
                </w:p>
              </w:tc>
              <w:tc>
                <w:tcPr>
                  <w:tcW w:w="372" w:type="pct"/>
                  <w:vMerge w:val="continue"/>
                  <w:tcBorders>
                    <w:left w:val="single" w:color="auto" w:sz="6" w:space="0"/>
                    <w:right w:val="single" w:color="auto" w:sz="6" w:space="0"/>
                  </w:tcBorders>
                  <w:vAlign w:val="center"/>
                </w:tcPr>
                <w:p w14:paraId="6221565F">
                  <w:pPr>
                    <w:pStyle w:val="41"/>
                    <w:bidi w:val="0"/>
                  </w:pPr>
                </w:p>
              </w:tc>
              <w:tc>
                <w:tcPr>
                  <w:tcW w:w="379" w:type="pct"/>
                  <w:tcBorders>
                    <w:left w:val="single" w:color="auto" w:sz="6" w:space="0"/>
                    <w:right w:val="single" w:color="auto" w:sz="6" w:space="0"/>
                  </w:tcBorders>
                  <w:vAlign w:val="center"/>
                </w:tcPr>
                <w:p w14:paraId="4DEB7D94">
                  <w:pPr>
                    <w:pStyle w:val="41"/>
                    <w:bidi w:val="0"/>
                    <w:rPr>
                      <w:rFonts w:hint="default"/>
                      <w:lang w:val="en-US" w:eastAsia="zh-CN"/>
                    </w:rPr>
                  </w:pPr>
                  <w:r>
                    <w:rPr>
                      <w:rFonts w:hint="eastAsia"/>
                      <w:lang w:val="en-US" w:eastAsia="zh-CN"/>
                    </w:rPr>
                    <w:t>/</w:t>
                  </w:r>
                </w:p>
              </w:tc>
              <w:tc>
                <w:tcPr>
                  <w:tcW w:w="401" w:type="pct"/>
                  <w:tcBorders>
                    <w:left w:val="single" w:color="auto" w:sz="6" w:space="0"/>
                    <w:right w:val="single" w:color="auto" w:sz="6" w:space="0"/>
                  </w:tcBorders>
                  <w:shd w:val="clear" w:color="auto" w:fill="auto"/>
                  <w:vAlign w:val="center"/>
                </w:tcPr>
                <w:p w14:paraId="7F4FEC6F">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SW17</w:t>
                  </w:r>
                </w:p>
              </w:tc>
              <w:tc>
                <w:tcPr>
                  <w:tcW w:w="687" w:type="pct"/>
                  <w:tcBorders>
                    <w:left w:val="single" w:color="auto" w:sz="6" w:space="0"/>
                    <w:right w:val="single" w:color="auto" w:sz="6" w:space="0"/>
                  </w:tcBorders>
                  <w:shd w:val="clear" w:color="auto" w:fill="auto"/>
                  <w:vAlign w:val="center"/>
                </w:tcPr>
                <w:p w14:paraId="58DCA9D1">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900-003-S17</w:t>
                  </w:r>
                </w:p>
              </w:tc>
              <w:tc>
                <w:tcPr>
                  <w:tcW w:w="369" w:type="pct"/>
                  <w:vAlign w:val="center"/>
                </w:tcPr>
                <w:p w14:paraId="7D912A26">
                  <w:pPr>
                    <w:pStyle w:val="41"/>
                    <w:bidi w:val="0"/>
                    <w:rPr>
                      <w:rFonts w:hint="default"/>
                      <w:lang w:val="en-US" w:eastAsia="zh-CN"/>
                    </w:rPr>
                  </w:pPr>
                  <w:r>
                    <w:rPr>
                      <w:rFonts w:hint="eastAsia"/>
                      <w:lang w:val="en-US" w:eastAsia="zh-CN"/>
                    </w:rPr>
                    <w:t>1</w:t>
                  </w:r>
                </w:p>
              </w:tc>
              <w:tc>
                <w:tcPr>
                  <w:tcW w:w="515" w:type="pct"/>
                  <w:vMerge w:val="continue"/>
                  <w:tcBorders>
                    <w:left w:val="single" w:color="auto" w:sz="6" w:space="0"/>
                  </w:tcBorders>
                  <w:vAlign w:val="center"/>
                </w:tcPr>
                <w:p w14:paraId="6374D9A1">
                  <w:pPr>
                    <w:pStyle w:val="41"/>
                    <w:bidi w:val="0"/>
                    <w:rPr>
                      <w:rFonts w:hint="eastAsia"/>
                      <w:lang w:eastAsia="zh-CN"/>
                    </w:rPr>
                  </w:pPr>
                </w:p>
              </w:tc>
            </w:tr>
            <w:tr w14:paraId="49FECB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05" w:type="pct"/>
                  <w:vAlign w:val="center"/>
                </w:tcPr>
                <w:p w14:paraId="447F65CE">
                  <w:pPr>
                    <w:pStyle w:val="41"/>
                    <w:bidi w:val="0"/>
                    <w:rPr>
                      <w:rFonts w:hint="eastAsia"/>
                      <w:lang w:val="en-US" w:eastAsia="zh-CN"/>
                    </w:rPr>
                  </w:pPr>
                  <w:r>
                    <w:rPr>
                      <w:rFonts w:hint="eastAsia"/>
                      <w:lang w:val="en-US" w:eastAsia="zh-CN"/>
                    </w:rPr>
                    <w:t>生活垃圾</w:t>
                  </w:r>
                </w:p>
              </w:tc>
              <w:tc>
                <w:tcPr>
                  <w:tcW w:w="291" w:type="pct"/>
                  <w:vAlign w:val="center"/>
                </w:tcPr>
                <w:p w14:paraId="3627A1B4">
                  <w:pPr>
                    <w:pStyle w:val="41"/>
                    <w:bidi w:val="0"/>
                  </w:pPr>
                  <w:r>
                    <w:rPr>
                      <w:rFonts w:hint="eastAsia"/>
                    </w:rPr>
                    <w:t>生活</w:t>
                  </w:r>
                </w:p>
                <w:p w14:paraId="0B8599A0">
                  <w:pPr>
                    <w:pStyle w:val="41"/>
                    <w:bidi w:val="0"/>
                    <w:rPr>
                      <w:rFonts w:hint="eastAsia"/>
                      <w:lang w:val="en-US" w:eastAsia="zh-CN"/>
                    </w:rPr>
                  </w:pPr>
                  <w:r>
                    <w:rPr>
                      <w:rFonts w:hint="eastAsia"/>
                    </w:rPr>
                    <w:t>垃圾</w:t>
                  </w:r>
                </w:p>
              </w:tc>
              <w:tc>
                <w:tcPr>
                  <w:tcW w:w="262" w:type="pct"/>
                  <w:vAlign w:val="center"/>
                </w:tcPr>
                <w:p w14:paraId="5AC47CB3">
                  <w:pPr>
                    <w:pStyle w:val="41"/>
                    <w:bidi w:val="0"/>
                    <w:rPr>
                      <w:rFonts w:hint="eastAsia"/>
                      <w:lang w:val="en-US" w:eastAsia="zh-CN"/>
                    </w:rPr>
                  </w:pPr>
                  <w:r>
                    <w:t>固</w:t>
                  </w:r>
                </w:p>
              </w:tc>
              <w:tc>
                <w:tcPr>
                  <w:tcW w:w="569" w:type="pct"/>
                  <w:shd w:val="clear" w:color="auto" w:fill="auto"/>
                  <w:vAlign w:val="center"/>
                </w:tcPr>
                <w:p w14:paraId="0CF1B793">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职工办公</w:t>
                  </w:r>
                </w:p>
              </w:tc>
              <w:tc>
                <w:tcPr>
                  <w:tcW w:w="445" w:type="pct"/>
                  <w:vAlign w:val="center"/>
                </w:tcPr>
                <w:p w14:paraId="15511719">
                  <w:pPr>
                    <w:pStyle w:val="41"/>
                    <w:bidi w:val="0"/>
                    <w:rPr>
                      <w:rFonts w:hint="eastAsia"/>
                      <w:lang w:val="en-US" w:eastAsia="zh-CN"/>
                    </w:rPr>
                  </w:pPr>
                  <w:r>
                    <w:rPr>
                      <w:rFonts w:hint="eastAsia"/>
                    </w:rPr>
                    <w:t>塑料、纸</w:t>
                  </w:r>
                </w:p>
              </w:tc>
              <w:tc>
                <w:tcPr>
                  <w:tcW w:w="372" w:type="pct"/>
                  <w:vMerge w:val="continue"/>
                  <w:tcBorders>
                    <w:left w:val="single" w:color="auto" w:sz="6" w:space="0"/>
                    <w:right w:val="single" w:color="auto" w:sz="6" w:space="0"/>
                  </w:tcBorders>
                  <w:vAlign w:val="center"/>
                </w:tcPr>
                <w:p w14:paraId="184CA498">
                  <w:pPr>
                    <w:pStyle w:val="41"/>
                    <w:bidi w:val="0"/>
                    <w:rPr>
                      <w:lang w:val="en-US" w:eastAsia="zh-CN"/>
                    </w:rPr>
                  </w:pPr>
                </w:p>
              </w:tc>
              <w:tc>
                <w:tcPr>
                  <w:tcW w:w="379" w:type="pct"/>
                  <w:tcBorders>
                    <w:left w:val="single" w:color="auto" w:sz="6" w:space="0"/>
                    <w:right w:val="single" w:color="auto" w:sz="6" w:space="0"/>
                  </w:tcBorders>
                  <w:vAlign w:val="center"/>
                </w:tcPr>
                <w:p w14:paraId="7333C959">
                  <w:pPr>
                    <w:pStyle w:val="41"/>
                    <w:bidi w:val="0"/>
                    <w:rPr>
                      <w:rFonts w:hint="default"/>
                      <w:lang w:val="en-US" w:eastAsia="zh-CN"/>
                    </w:rPr>
                  </w:pPr>
                  <w:r>
                    <w:rPr>
                      <w:rFonts w:hint="eastAsia"/>
                      <w:lang w:val="en-US" w:eastAsia="zh-CN"/>
                    </w:rPr>
                    <w:t>/</w:t>
                  </w:r>
                </w:p>
              </w:tc>
              <w:tc>
                <w:tcPr>
                  <w:tcW w:w="401" w:type="pct"/>
                  <w:tcBorders>
                    <w:left w:val="single" w:color="auto" w:sz="6" w:space="0"/>
                    <w:right w:val="single" w:color="auto" w:sz="6" w:space="0"/>
                  </w:tcBorders>
                  <w:shd w:val="clear" w:color="auto" w:fill="auto"/>
                  <w:vAlign w:val="center"/>
                </w:tcPr>
                <w:p w14:paraId="1265909D">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SW64</w:t>
                  </w:r>
                </w:p>
              </w:tc>
              <w:tc>
                <w:tcPr>
                  <w:tcW w:w="687" w:type="pct"/>
                  <w:tcBorders>
                    <w:left w:val="single" w:color="auto" w:sz="6" w:space="0"/>
                    <w:right w:val="single" w:color="auto" w:sz="6" w:space="0"/>
                  </w:tcBorders>
                  <w:shd w:val="clear" w:color="auto" w:fill="auto"/>
                  <w:vAlign w:val="center"/>
                </w:tcPr>
                <w:p w14:paraId="7F0FF87E">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900-099-S64</w:t>
                  </w:r>
                </w:p>
              </w:tc>
              <w:tc>
                <w:tcPr>
                  <w:tcW w:w="369" w:type="pct"/>
                  <w:vAlign w:val="center"/>
                </w:tcPr>
                <w:p w14:paraId="226373C9">
                  <w:pPr>
                    <w:pStyle w:val="41"/>
                    <w:bidi w:val="0"/>
                    <w:rPr>
                      <w:rFonts w:hint="default"/>
                      <w:lang w:val="en-US" w:eastAsia="zh-CN"/>
                    </w:rPr>
                  </w:pPr>
                  <w:r>
                    <w:rPr>
                      <w:rFonts w:hint="eastAsia"/>
                      <w:lang w:val="en-US" w:eastAsia="zh-CN"/>
                    </w:rPr>
                    <w:t>31.25</w:t>
                  </w:r>
                </w:p>
              </w:tc>
              <w:tc>
                <w:tcPr>
                  <w:tcW w:w="515" w:type="pct"/>
                  <w:tcBorders>
                    <w:left w:val="single" w:color="auto" w:sz="6" w:space="0"/>
                  </w:tcBorders>
                  <w:vAlign w:val="center"/>
                </w:tcPr>
                <w:p w14:paraId="54073D43">
                  <w:pPr>
                    <w:pStyle w:val="41"/>
                    <w:bidi w:val="0"/>
                    <w:rPr>
                      <w:rFonts w:hint="eastAsia"/>
                      <w:lang w:val="en-US" w:eastAsia="zh-CN"/>
                    </w:rPr>
                  </w:pPr>
                  <w:r>
                    <w:rPr>
                      <w:rFonts w:hint="eastAsia"/>
                      <w:lang w:eastAsia="zh-CN"/>
                    </w:rPr>
                    <w:t>环卫清运</w:t>
                  </w:r>
                </w:p>
              </w:tc>
            </w:tr>
          </w:tbl>
          <w:p w14:paraId="31733545">
            <w:pPr>
              <w:pStyle w:val="41"/>
              <w:bidi w:val="0"/>
              <w:rPr>
                <w:rFonts w:hint="eastAsia"/>
                <w:color w:val="auto"/>
                <w:highlight w:val="none"/>
              </w:rPr>
            </w:pPr>
          </w:p>
          <w:p w14:paraId="77E9B4FD">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rFonts w:hint="eastAsia"/>
                <w:b/>
                <w:bCs/>
              </w:rPr>
              <w:t>（</w:t>
            </w:r>
            <w:r>
              <w:rPr>
                <w:rFonts w:hint="eastAsia"/>
                <w:b/>
                <w:bCs/>
                <w:lang w:val="en-US" w:eastAsia="zh-CN"/>
              </w:rPr>
              <w:t>4</w:t>
            </w:r>
            <w:r>
              <w:rPr>
                <w:rFonts w:hint="eastAsia"/>
                <w:b/>
                <w:bCs/>
              </w:rPr>
              <w:t>）危废暂存</w:t>
            </w:r>
            <w:r>
              <w:rPr>
                <w:rFonts w:hint="eastAsia"/>
                <w:b/>
                <w:bCs/>
                <w:lang w:val="en-US" w:eastAsia="zh-CN"/>
              </w:rPr>
              <w:t>点</w:t>
            </w:r>
            <w:r>
              <w:rPr>
                <w:rFonts w:hint="eastAsia"/>
                <w:b/>
                <w:bCs/>
              </w:rPr>
              <w:t>环境影响分析</w:t>
            </w:r>
          </w:p>
          <w:p w14:paraId="1AC4B377">
            <w:pPr>
              <w:ind w:firstLine="480"/>
              <w:rPr>
                <w:color w:val="auto"/>
                <w:highlight w:val="none"/>
              </w:rPr>
            </w:pPr>
            <w:r>
              <w:rPr>
                <w:rFonts w:hint="eastAsia"/>
                <w:color w:val="auto"/>
                <w:highlight w:val="none"/>
              </w:rPr>
              <w:t>本次评价</w:t>
            </w:r>
            <w:r>
              <w:rPr>
                <w:color w:val="auto"/>
                <w:highlight w:val="none"/>
              </w:rPr>
              <w:t>按照《建设项目危险废物环境影响评价指南》（2017年10月1日实施）要求进行本项目危险废物的环境影响分析。主要包括危险废物贮存场所（设施）环境影响分析、运输过程的环境影响分析、委托处置的环境影响分析三大方面。</w:t>
            </w:r>
          </w:p>
          <w:p w14:paraId="3C9CF515">
            <w:pPr>
              <w:ind w:firstLine="482"/>
              <w:rPr>
                <w:b/>
                <w:bCs/>
                <w:color w:val="auto"/>
                <w:highlight w:val="none"/>
              </w:rPr>
            </w:pPr>
            <w:r>
              <w:rPr>
                <w:rFonts w:hint="eastAsia"/>
                <w:b/>
                <w:bCs/>
                <w:color w:val="auto"/>
                <w:highlight w:val="none"/>
              </w:rPr>
              <w:t>1）</w:t>
            </w:r>
            <w:r>
              <w:rPr>
                <w:b/>
                <w:bCs/>
                <w:color w:val="auto"/>
                <w:highlight w:val="none"/>
              </w:rPr>
              <w:t>危险废物贮存场所环境影响分析</w:t>
            </w:r>
          </w:p>
          <w:p w14:paraId="5A8CBF59">
            <w:pPr>
              <w:ind w:firstLine="482"/>
              <w:rPr>
                <w:b/>
                <w:bCs/>
                <w:color w:val="auto"/>
                <w:highlight w:val="none"/>
              </w:rPr>
            </w:pPr>
            <w:r>
              <w:rPr>
                <w:b/>
                <w:bCs/>
                <w:color w:val="auto"/>
                <w:highlight w:val="none"/>
              </w:rPr>
              <w:t>①</w:t>
            </w:r>
            <w:r>
              <w:rPr>
                <w:rFonts w:hint="eastAsia"/>
                <w:b/>
                <w:bCs/>
                <w:color w:val="auto"/>
                <w:highlight w:val="none"/>
              </w:rPr>
              <w:t>危险废物贮存场所的能力分析</w:t>
            </w:r>
          </w:p>
          <w:p w14:paraId="31F05479">
            <w:pPr>
              <w:ind w:firstLine="482"/>
              <w:rPr>
                <w:rFonts w:hint="default" w:eastAsia="宋体"/>
                <w:b/>
                <w:bCs/>
                <w:color w:val="auto"/>
                <w:highlight w:val="none"/>
                <w:lang w:val="en-US" w:eastAsia="zh-CN"/>
              </w:rPr>
            </w:pPr>
            <w:r>
              <w:rPr>
                <w:rFonts w:hint="eastAsia"/>
                <w:color w:val="auto"/>
                <w:highlight w:val="none"/>
                <w:lang w:val="en-US" w:eastAsia="zh-CN"/>
              </w:rPr>
              <w:t>本项目主要在7F-17F设置实验室，各实验室设置危废暂存点，每层设置危废暂存点4个，每个面积1m</w:t>
            </w:r>
            <w:r>
              <w:rPr>
                <w:rFonts w:hint="eastAsia"/>
                <w:color w:val="auto"/>
                <w:highlight w:val="none"/>
                <w:vertAlign w:val="superscript"/>
                <w:lang w:val="en-US" w:eastAsia="zh-CN"/>
              </w:rPr>
              <w:t>2</w:t>
            </w:r>
            <w:r>
              <w:rPr>
                <w:rFonts w:hint="eastAsia"/>
                <w:color w:val="auto"/>
                <w:highlight w:val="none"/>
                <w:lang w:val="en-US" w:eastAsia="zh-CN"/>
              </w:rPr>
              <w:t>，每个暂存点最大储存能力约0.1t，各贮存点合计储存能力约4.4t。本项目在危废贮存点储存的危废量为118.874t/a，每年转运约50次，每次危废最大储存量为2.38t，在定期转运的条件下可以满足危废暂存的需求。</w:t>
            </w:r>
          </w:p>
          <w:p w14:paraId="43F91FEC">
            <w:pPr>
              <w:ind w:firstLine="482"/>
              <w:rPr>
                <w:b/>
                <w:bCs/>
                <w:color w:val="auto"/>
                <w:highlight w:val="none"/>
              </w:rPr>
            </w:pPr>
            <w:r>
              <w:rPr>
                <w:rFonts w:hint="eastAsia"/>
                <w:b/>
                <w:bCs/>
                <w:color w:val="auto"/>
                <w:highlight w:val="none"/>
              </w:rPr>
              <w:t>2）</w:t>
            </w:r>
            <w:r>
              <w:rPr>
                <w:b/>
                <w:bCs/>
                <w:color w:val="auto"/>
                <w:highlight w:val="none"/>
              </w:rPr>
              <w:t>运输过程的环境影响分析</w:t>
            </w:r>
          </w:p>
          <w:p w14:paraId="564A2C08">
            <w:pPr>
              <w:ind w:firstLine="482"/>
              <w:rPr>
                <w:rFonts w:ascii="宋体" w:hAnsi="宋体" w:cs="宋体"/>
                <w:b/>
                <w:bCs/>
                <w:color w:val="auto"/>
                <w:highlight w:val="none"/>
              </w:rPr>
            </w:pPr>
            <w:r>
              <w:rPr>
                <w:rFonts w:hint="eastAsia" w:ascii="宋体" w:hAnsi="宋体" w:eastAsia="宋体" w:cs="宋体"/>
                <w:b/>
                <w:bCs/>
                <w:color w:val="auto"/>
                <w:highlight w:val="none"/>
              </w:rPr>
              <w:t>①厂区内</w:t>
            </w:r>
            <w:r>
              <w:rPr>
                <w:rFonts w:hint="eastAsia" w:ascii="宋体" w:hAnsi="宋体" w:cs="宋体"/>
                <w:b/>
                <w:bCs/>
                <w:color w:val="auto"/>
                <w:highlight w:val="none"/>
                <w:lang w:val="en-US" w:eastAsia="zh-CN"/>
              </w:rPr>
              <w:t>运输</w:t>
            </w:r>
            <w:r>
              <w:rPr>
                <w:rFonts w:hint="eastAsia" w:ascii="宋体" w:hAnsi="宋体" w:cs="宋体"/>
                <w:b/>
                <w:bCs/>
                <w:color w:val="auto"/>
                <w:highlight w:val="none"/>
              </w:rPr>
              <w:t>过程</w:t>
            </w:r>
          </w:p>
          <w:p w14:paraId="411166B1">
            <w:pPr>
              <w:ind w:firstLine="480"/>
              <w:rPr>
                <w:rFonts w:ascii="宋体" w:hAnsi="宋体" w:cs="宋体"/>
                <w:color w:val="auto"/>
                <w:highlight w:val="none"/>
              </w:rPr>
            </w:pPr>
            <w:r>
              <w:rPr>
                <w:rFonts w:hint="eastAsia" w:ascii="宋体" w:hAnsi="宋体" w:cs="宋体"/>
                <w:color w:val="auto"/>
                <w:highlight w:val="none"/>
              </w:rPr>
              <w:t>厂区内运输必须先将</w:t>
            </w:r>
            <w:r>
              <w:rPr>
                <w:rFonts w:hint="eastAsia" w:ascii="宋体" w:hAnsi="宋体" w:cs="宋体"/>
                <w:color w:val="auto"/>
                <w:highlight w:val="none"/>
                <w:lang w:val="en-US" w:eastAsia="zh-CN"/>
              </w:rPr>
              <w:t>危险废物</w:t>
            </w:r>
            <w:r>
              <w:rPr>
                <w:rFonts w:hint="eastAsia" w:ascii="宋体" w:hAnsi="宋体" w:cs="宋体"/>
                <w:color w:val="auto"/>
                <w:highlight w:val="none"/>
              </w:rPr>
              <w:t>密闭</w:t>
            </w:r>
            <w:r>
              <w:rPr>
                <w:rFonts w:hint="eastAsia" w:ascii="宋体" w:hAnsi="宋体" w:cs="宋体"/>
                <w:color w:val="auto"/>
                <w:highlight w:val="none"/>
                <w:lang w:eastAsia="zh-CN"/>
              </w:rPr>
              <w:t>置于</w:t>
            </w:r>
            <w:r>
              <w:rPr>
                <w:rFonts w:hint="eastAsia" w:ascii="宋体" w:hAnsi="宋体" w:cs="宋体"/>
                <w:color w:val="auto"/>
                <w:highlight w:val="none"/>
              </w:rPr>
              <w:t>专用包装物、容器内，防止散落、泄漏；厂区地面均为水泥硬化，一旦因管理疏漏或包装物破损而发生散落、泄漏，要进行及时清理，以免产生二次污染。</w:t>
            </w:r>
          </w:p>
          <w:p w14:paraId="488A2934">
            <w:pPr>
              <w:ind w:firstLine="482"/>
              <w:rPr>
                <w:b/>
                <w:bCs/>
                <w:color w:val="auto"/>
                <w:highlight w:val="none"/>
              </w:rPr>
            </w:pPr>
            <w:r>
              <w:rPr>
                <w:rFonts w:hint="default" w:ascii="宋体" w:hAnsi="宋体" w:eastAsia="宋体" w:cs="宋体"/>
                <w:b/>
                <w:bCs/>
                <w:color w:val="auto"/>
                <w:highlight w:val="none"/>
              </w:rPr>
              <w:t>②</w:t>
            </w:r>
            <w:r>
              <w:rPr>
                <w:rFonts w:hint="eastAsia" w:ascii="宋体" w:hAnsi="宋体" w:eastAsia="宋体" w:cs="宋体"/>
                <w:b/>
                <w:bCs/>
                <w:color w:val="auto"/>
                <w:highlight w:val="none"/>
              </w:rPr>
              <w:t>危废外运</w:t>
            </w:r>
            <w:r>
              <w:rPr>
                <w:rFonts w:hint="eastAsia"/>
                <w:b/>
                <w:bCs/>
                <w:color w:val="auto"/>
                <w:highlight w:val="none"/>
              </w:rPr>
              <w:t>过程</w:t>
            </w:r>
          </w:p>
          <w:p w14:paraId="42E45B2E">
            <w:pPr>
              <w:ind w:firstLine="480"/>
              <w:rPr>
                <w:color w:val="auto"/>
                <w:highlight w:val="none"/>
              </w:rPr>
            </w:pPr>
            <w:r>
              <w:rPr>
                <w:rFonts w:hint="eastAsia"/>
                <w:color w:val="auto"/>
                <w:highlight w:val="none"/>
              </w:rPr>
              <w:t>根据《危险废物收集贮存运输技术规范》（HJ2025-2012）、《危险废物转移管理办法》（2022年</w:t>
            </w:r>
            <w:r>
              <w:rPr>
                <w:rFonts w:hint="eastAsia"/>
                <w:color w:val="auto"/>
                <w:highlight w:val="none"/>
                <w:lang w:val="en-US" w:eastAsia="zh-CN"/>
              </w:rPr>
              <w:t>1</w:t>
            </w:r>
            <w:r>
              <w:rPr>
                <w:rFonts w:hint="eastAsia"/>
                <w:color w:val="auto"/>
                <w:highlight w:val="none"/>
              </w:rPr>
              <w:t>月1日）的有关规定，在危险废物外运至处置单位时必须严格遵守以下要求：</w:t>
            </w:r>
          </w:p>
          <w:p w14:paraId="1A1ECF37">
            <w:pPr>
              <w:numPr>
                <w:ilvl w:val="0"/>
                <w:numId w:val="0"/>
              </w:numPr>
              <w:ind w:firstLine="482"/>
              <w:rPr>
                <w:b/>
                <w:bCs/>
                <w:color w:val="auto"/>
                <w:highlight w:val="none"/>
              </w:rPr>
            </w:pPr>
            <w:r>
              <w:rPr>
                <w:rFonts w:ascii="Times New Roman" w:hAnsi="Times New Roman" w:eastAsia="宋体" w:cs="Times New Roman"/>
                <w:b/>
                <w:bCs/>
                <w:color w:val="auto"/>
                <w:kern w:val="2"/>
                <w:sz w:val="24"/>
                <w:szCs w:val="24"/>
                <w:highlight w:val="none"/>
                <w:lang w:val="en-US" w:eastAsia="zh-CN" w:bidi="ar-SA"/>
              </w:rPr>
              <w:t>A.</w:t>
            </w:r>
            <w:r>
              <w:rPr>
                <w:rFonts w:hint="eastAsia"/>
                <w:b/>
                <w:bCs/>
                <w:color w:val="auto"/>
                <w:highlight w:val="none"/>
              </w:rPr>
              <w:t>《危险废物收集贮存运输技术规范》（HJ2025-2012）</w:t>
            </w:r>
          </w:p>
          <w:p w14:paraId="0AA54C3F">
            <w:pPr>
              <w:ind w:firstLine="480"/>
              <w:rPr>
                <w:color w:val="auto"/>
                <w:highlight w:val="none"/>
              </w:rPr>
            </w:pPr>
            <w:r>
              <w:rPr>
                <w:rFonts w:hint="eastAsia"/>
                <w:color w:val="auto"/>
                <w:highlight w:val="none"/>
              </w:rPr>
              <w:t>本项目危险废物严格按照《危险废物收集贮存运输技术规范》（</w:t>
            </w:r>
            <w:r>
              <w:rPr>
                <w:color w:val="auto"/>
                <w:highlight w:val="none"/>
              </w:rPr>
              <w:t>HJ2025-2012</w:t>
            </w:r>
            <w:r>
              <w:rPr>
                <w:rFonts w:hint="eastAsia"/>
                <w:color w:val="auto"/>
                <w:highlight w:val="none"/>
              </w:rPr>
              <w:t>）中相关要求运输，在厂区内部运输过程中严格采取措施防止散落、泄漏，同时运输过程中避开办公区，不会对人员及</w:t>
            </w:r>
            <w:r>
              <w:rPr>
                <w:rFonts w:hint="eastAsia"/>
                <w:color w:val="auto"/>
                <w:highlight w:val="none"/>
                <w:lang w:val="en-US" w:eastAsia="zh-CN"/>
              </w:rPr>
              <w:t>厂内</w:t>
            </w:r>
            <w:r>
              <w:rPr>
                <w:rFonts w:hint="eastAsia"/>
                <w:color w:val="auto"/>
                <w:highlight w:val="none"/>
              </w:rPr>
              <w:t>环境产生影响。</w:t>
            </w:r>
          </w:p>
          <w:p w14:paraId="2DC45C55">
            <w:pPr>
              <w:ind w:firstLine="480"/>
              <w:rPr>
                <w:color w:val="auto"/>
                <w:highlight w:val="none"/>
              </w:rPr>
            </w:pPr>
            <w:r>
              <w:rPr>
                <w:rFonts w:hint="eastAsia"/>
                <w:color w:val="auto"/>
                <w:highlight w:val="none"/>
              </w:rPr>
              <w:t>危险废物从项目厂区运输至有资质的处置单位过程中，将严格按照《危险废物收集贮存运输技术规范》（</w:t>
            </w:r>
            <w:r>
              <w:rPr>
                <w:color w:val="auto"/>
                <w:highlight w:val="none"/>
              </w:rPr>
              <w:t>HJ2025-2012</w:t>
            </w:r>
            <w:r>
              <w:rPr>
                <w:rFonts w:hint="eastAsia"/>
                <w:color w:val="auto"/>
                <w:highlight w:val="none"/>
              </w:rPr>
              <w:t>）要求，确保运输过程中不会对运输沿线的敏感点产生影响。</w:t>
            </w:r>
          </w:p>
          <w:p w14:paraId="7065AA6F">
            <w:pPr>
              <w:ind w:firstLine="482"/>
              <w:rPr>
                <w:b/>
                <w:bCs/>
                <w:color w:val="auto"/>
                <w:highlight w:val="none"/>
              </w:rPr>
            </w:pPr>
            <w:r>
              <w:rPr>
                <w:rFonts w:hint="eastAsia"/>
                <w:b/>
                <w:bCs/>
                <w:color w:val="auto"/>
                <w:highlight w:val="none"/>
                <w:lang w:val="en-US" w:eastAsia="zh-CN"/>
              </w:rPr>
              <w:t>B.</w:t>
            </w:r>
            <w:r>
              <w:rPr>
                <w:rFonts w:hint="eastAsia"/>
                <w:b/>
                <w:bCs/>
                <w:color w:val="auto"/>
                <w:highlight w:val="none"/>
              </w:rPr>
              <w:t>《危险废物转移管理办法》（2022年</w:t>
            </w:r>
            <w:r>
              <w:rPr>
                <w:rFonts w:hint="eastAsia"/>
                <w:b/>
                <w:bCs/>
                <w:color w:val="auto"/>
                <w:highlight w:val="none"/>
                <w:lang w:val="en-US" w:eastAsia="zh-CN"/>
              </w:rPr>
              <w:t>1</w:t>
            </w:r>
            <w:r>
              <w:rPr>
                <w:rFonts w:hint="eastAsia"/>
                <w:b/>
                <w:bCs/>
                <w:color w:val="auto"/>
                <w:highlight w:val="none"/>
              </w:rPr>
              <w:t>月1日）</w:t>
            </w:r>
          </w:p>
          <w:p w14:paraId="4A0EA757">
            <w:pPr>
              <w:bidi w:val="0"/>
              <w:ind w:firstLine="480" w:firstLineChars="200"/>
              <w:rPr>
                <w:color w:val="auto"/>
                <w:highlight w:val="none"/>
              </w:rPr>
            </w:pPr>
            <w:r>
              <w:rPr>
                <w:rFonts w:hint="eastAsia"/>
                <w:color w:val="auto"/>
                <w:highlight w:val="none"/>
                <w:lang w:val="en-US" w:eastAsia="zh-CN"/>
              </w:rPr>
              <w:t>a.</w:t>
            </w:r>
            <w:r>
              <w:rPr>
                <w:rFonts w:hint="eastAsia"/>
                <w:color w:val="auto"/>
                <w:highlight w:val="none"/>
              </w:rPr>
              <w:t>企业危险废物转移须严格按照《危险废物转移管理办法》（2022年</w:t>
            </w:r>
            <w:r>
              <w:rPr>
                <w:rFonts w:hint="eastAsia"/>
                <w:color w:val="auto"/>
                <w:highlight w:val="none"/>
                <w:lang w:val="en-US" w:eastAsia="zh-CN"/>
              </w:rPr>
              <w:t>1</w:t>
            </w:r>
            <w:r>
              <w:rPr>
                <w:rFonts w:hint="eastAsia"/>
                <w:color w:val="auto"/>
                <w:highlight w:val="none"/>
              </w:rPr>
              <w:t>月1日）中相关要求管理。</w:t>
            </w:r>
          </w:p>
          <w:p w14:paraId="2CDF33B5">
            <w:pPr>
              <w:numPr>
                <w:ilvl w:val="0"/>
                <w:numId w:val="0"/>
              </w:numPr>
              <w:ind w:firstLine="480" w:firstLineChars="200"/>
              <w:rPr>
                <w:color w:val="auto"/>
                <w:highlight w:val="none"/>
              </w:rPr>
            </w:pPr>
            <w:r>
              <w:rPr>
                <w:rFonts w:hint="eastAsia"/>
                <w:color w:val="auto"/>
                <w:highlight w:val="none"/>
                <w:lang w:val="en-US" w:eastAsia="zh-CN"/>
              </w:rPr>
              <w:t>b.</w:t>
            </w:r>
            <w:r>
              <w:rPr>
                <w:color w:val="auto"/>
                <w:highlight w:val="none"/>
              </w:rPr>
              <w:t>对承运人或者</w:t>
            </w:r>
            <w:r>
              <w:rPr>
                <w:rFonts w:hint="eastAsia"/>
                <w:color w:val="auto"/>
                <w:highlight w:val="none"/>
                <w:lang w:eastAsia="zh-CN"/>
              </w:rPr>
              <w:t>接收</w:t>
            </w:r>
            <w:r>
              <w:rPr>
                <w:color w:val="auto"/>
                <w:highlight w:val="none"/>
              </w:rPr>
              <w:t>人的主体资格和技术能力进行核实，依法签订书面合同，并在合同中约定运输、贮存、利用、处置危险废物的污染防治要求及相关责任；</w:t>
            </w:r>
          </w:p>
          <w:p w14:paraId="3B639080">
            <w:pPr>
              <w:numPr>
                <w:ilvl w:val="0"/>
                <w:numId w:val="0"/>
              </w:numPr>
              <w:ind w:firstLine="480" w:firstLineChars="200"/>
              <w:rPr>
                <w:color w:val="auto"/>
                <w:highlight w:val="none"/>
              </w:rPr>
            </w:pPr>
            <w:r>
              <w:rPr>
                <w:rFonts w:hint="eastAsia"/>
                <w:color w:val="auto"/>
                <w:highlight w:val="none"/>
                <w:lang w:val="en-US" w:eastAsia="zh-CN"/>
              </w:rPr>
              <w:t>c.</w:t>
            </w:r>
            <w:r>
              <w:rPr>
                <w:rFonts w:hint="eastAsia"/>
                <w:color w:val="auto"/>
                <w:highlight w:val="none"/>
              </w:rPr>
              <w:t>制定危险废物管理计划，明确拟转移危险废物的种类、重量（数量）和流向等信息；</w:t>
            </w:r>
          </w:p>
          <w:p w14:paraId="3164B37F">
            <w:pPr>
              <w:numPr>
                <w:ilvl w:val="0"/>
                <w:numId w:val="0"/>
              </w:numPr>
              <w:ind w:firstLine="480" w:firstLineChars="200"/>
              <w:rPr>
                <w:color w:val="auto"/>
                <w:highlight w:val="none"/>
              </w:rPr>
            </w:pPr>
            <w:r>
              <w:rPr>
                <w:rFonts w:hint="eastAsia"/>
                <w:color w:val="auto"/>
                <w:highlight w:val="none"/>
                <w:lang w:val="en-US" w:eastAsia="zh-CN"/>
              </w:rPr>
              <w:t>d.</w:t>
            </w:r>
            <w:r>
              <w:rPr>
                <w:rFonts w:hint="eastAsia"/>
                <w:color w:val="auto"/>
                <w:highlight w:val="none"/>
              </w:rPr>
              <w:t>建立危险废物管理台账，对转移的危险废物进行计量称重，如实记录、妥善保管转移危险废物的种类、重量（数量）和</w:t>
            </w:r>
            <w:r>
              <w:rPr>
                <w:rFonts w:hint="eastAsia"/>
                <w:color w:val="auto"/>
                <w:highlight w:val="none"/>
                <w:lang w:eastAsia="zh-CN"/>
              </w:rPr>
              <w:t>接收</w:t>
            </w:r>
            <w:r>
              <w:rPr>
                <w:rFonts w:hint="eastAsia"/>
                <w:color w:val="auto"/>
                <w:highlight w:val="none"/>
              </w:rPr>
              <w:t>人等相关信息；</w:t>
            </w:r>
          </w:p>
          <w:p w14:paraId="3D8F3944">
            <w:pPr>
              <w:numPr>
                <w:ilvl w:val="0"/>
                <w:numId w:val="0"/>
              </w:numPr>
              <w:ind w:firstLine="480" w:firstLineChars="200"/>
              <w:rPr>
                <w:color w:val="auto"/>
                <w:highlight w:val="none"/>
              </w:rPr>
            </w:pPr>
            <w:r>
              <w:rPr>
                <w:rFonts w:hint="eastAsia"/>
                <w:color w:val="auto"/>
                <w:highlight w:val="none"/>
                <w:lang w:val="en-US" w:eastAsia="zh-CN"/>
              </w:rPr>
              <w:t>e.</w:t>
            </w:r>
            <w:r>
              <w:rPr>
                <w:rFonts w:hint="eastAsia"/>
                <w:color w:val="auto"/>
                <w:highlight w:val="none"/>
              </w:rPr>
              <w:t>填写、运行危险废物转移联单，在危险废物转移联单中如实填写移出人、承运人、</w:t>
            </w:r>
            <w:r>
              <w:rPr>
                <w:rFonts w:hint="eastAsia"/>
                <w:color w:val="auto"/>
                <w:highlight w:val="none"/>
                <w:lang w:eastAsia="zh-CN"/>
              </w:rPr>
              <w:t>接收</w:t>
            </w:r>
            <w:r>
              <w:rPr>
                <w:rFonts w:hint="eastAsia"/>
                <w:color w:val="auto"/>
                <w:highlight w:val="none"/>
              </w:rPr>
              <w:t>人信息，转移危险废物的种类、重量（数量）、危险特性等信息，以及突发环境事件的防范措施等；</w:t>
            </w:r>
          </w:p>
          <w:p w14:paraId="724A755E">
            <w:pPr>
              <w:numPr>
                <w:ilvl w:val="0"/>
                <w:numId w:val="0"/>
              </w:numPr>
              <w:ind w:firstLine="480" w:firstLineChars="200"/>
              <w:rPr>
                <w:color w:val="auto"/>
                <w:highlight w:val="none"/>
              </w:rPr>
            </w:pPr>
            <w:r>
              <w:rPr>
                <w:rFonts w:hint="eastAsia"/>
                <w:color w:val="auto"/>
                <w:highlight w:val="none"/>
                <w:lang w:val="en-US" w:eastAsia="zh-CN"/>
              </w:rPr>
              <w:t>f.</w:t>
            </w:r>
            <w:r>
              <w:rPr>
                <w:rFonts w:hint="eastAsia"/>
                <w:color w:val="auto"/>
                <w:highlight w:val="none"/>
              </w:rPr>
              <w:t>及时核实</w:t>
            </w:r>
            <w:r>
              <w:rPr>
                <w:rFonts w:hint="eastAsia"/>
                <w:color w:val="auto"/>
                <w:highlight w:val="none"/>
                <w:lang w:eastAsia="zh-CN"/>
              </w:rPr>
              <w:t>接收</w:t>
            </w:r>
            <w:r>
              <w:rPr>
                <w:rFonts w:hint="eastAsia"/>
                <w:color w:val="auto"/>
                <w:highlight w:val="none"/>
              </w:rPr>
              <w:t>人贮存、利用或者处置相关危险废物情况</w:t>
            </w:r>
            <w:r>
              <w:rPr>
                <w:rFonts w:hint="eastAsia"/>
                <w:color w:val="auto"/>
                <w:highlight w:val="none"/>
                <w:lang w:eastAsia="zh-CN"/>
              </w:rPr>
              <w:t>。</w:t>
            </w:r>
          </w:p>
          <w:p w14:paraId="2C1B9FC6">
            <w:pPr>
              <w:bidi w:val="0"/>
              <w:ind w:firstLine="482" w:firstLineChars="200"/>
              <w:rPr>
                <w:rFonts w:hint="default"/>
                <w:b/>
                <w:bCs/>
                <w:color w:val="auto"/>
                <w:highlight w:val="none"/>
                <w:lang w:val="en-US"/>
              </w:rPr>
            </w:pPr>
            <w:r>
              <w:rPr>
                <w:rFonts w:hint="eastAsia"/>
                <w:b/>
                <w:bCs/>
                <w:color w:val="auto"/>
                <w:highlight w:val="none"/>
                <w:lang w:val="en-US" w:eastAsia="zh-CN"/>
              </w:rPr>
              <w:t>3）实验室危险废物管理要求</w:t>
            </w:r>
          </w:p>
          <w:p w14:paraId="2B3B44C4">
            <w:pPr>
              <w:bidi w:val="0"/>
              <w:ind w:firstLine="482" w:firstLineChars="200"/>
              <w:rPr>
                <w:rFonts w:hint="eastAsia"/>
                <w:color w:val="auto"/>
                <w:highlight w:val="none"/>
                <w:lang w:eastAsia="zh-CN"/>
              </w:rPr>
            </w:pPr>
            <w:r>
              <w:rPr>
                <w:rFonts w:hint="eastAsia"/>
                <w:b/>
                <w:bCs/>
                <w:color w:val="auto"/>
                <w:highlight w:val="none"/>
                <w:lang w:val="en-US" w:eastAsia="zh-CN"/>
              </w:rPr>
              <w:t>①</w:t>
            </w:r>
            <w:r>
              <w:rPr>
                <w:rFonts w:hint="eastAsia"/>
                <w:b/>
                <w:bCs/>
                <w:color w:val="auto"/>
                <w:highlight w:val="none"/>
                <w:lang w:eastAsia="zh-CN"/>
              </w:rPr>
              <w:t>《南京市实验室危险废物污染防治工作指导手册（试行）》管理要求</w:t>
            </w:r>
          </w:p>
          <w:p w14:paraId="528183CD">
            <w:pPr>
              <w:bidi w:val="0"/>
              <w:ind w:firstLine="480" w:firstLineChars="200"/>
              <w:rPr>
                <w:rFonts w:hint="default"/>
                <w:color w:val="auto"/>
                <w:highlight w:val="none"/>
                <w:lang w:val="en-US" w:eastAsia="zh-CN"/>
              </w:rPr>
            </w:pPr>
            <w:r>
              <w:rPr>
                <w:rFonts w:hint="default"/>
                <w:color w:val="auto"/>
                <w:highlight w:val="none"/>
                <w:lang w:val="en-US" w:eastAsia="zh-CN"/>
              </w:rPr>
              <w:t>根据</w:t>
            </w:r>
            <w:r>
              <w:rPr>
                <w:rFonts w:hint="default"/>
                <w:color w:val="auto"/>
                <w:highlight w:val="none"/>
              </w:rPr>
              <w:t>《南京市实验室危险废物污染防治工作指导手册（试行）》的相关要求，企业</w:t>
            </w:r>
            <w:r>
              <w:rPr>
                <w:rFonts w:hint="default"/>
                <w:color w:val="auto"/>
                <w:highlight w:val="none"/>
                <w:lang w:val="en-US" w:eastAsia="zh-CN"/>
              </w:rPr>
              <w:t>应建立、健全实验室污染环境防治管理制度，完善危险废物环境管理责任体系，并严格按照相关法律法规文件规定要求，做好危险废物分类收集、安全贮存、转移管理和定期委托有资质单位处置利用等工作，建立并执行危险废物申报登记及管理计划备案、管理台账、转移联单、应急预案、信息公开、事故报告</w:t>
            </w:r>
            <w:r>
              <w:rPr>
                <w:rFonts w:hint="eastAsia"/>
                <w:color w:val="auto"/>
                <w:highlight w:val="none"/>
                <w:lang w:val="en-US" w:eastAsia="zh-CN"/>
              </w:rPr>
              <w:t>、环保培训</w:t>
            </w:r>
            <w:r>
              <w:rPr>
                <w:rFonts w:hint="default"/>
                <w:color w:val="auto"/>
                <w:highlight w:val="none"/>
                <w:lang w:val="en-US" w:eastAsia="zh-CN"/>
              </w:rPr>
              <w:t>等相关管理制度。实验室单位应至少配备1名相应管理人员，负责组织、协调、监督、检查实验室危险废物管理工作的落实情况。</w:t>
            </w:r>
          </w:p>
          <w:p w14:paraId="73D940EE">
            <w:pPr>
              <w:bidi w:val="0"/>
              <w:ind w:firstLine="482" w:firstLineChars="200"/>
              <w:rPr>
                <w:rFonts w:hint="eastAsia"/>
                <w:color w:val="auto"/>
                <w:highlight w:val="none"/>
                <w:lang w:val="en-US" w:eastAsia="zh-CN"/>
              </w:rPr>
            </w:pPr>
            <w:r>
              <w:rPr>
                <w:rFonts w:hint="eastAsia"/>
                <w:b/>
                <w:bCs/>
                <w:color w:val="auto"/>
                <w:highlight w:val="none"/>
                <w:lang w:val="en-US" w:eastAsia="zh-CN"/>
              </w:rPr>
              <w:t>②《关于进一步加强实验室危险废物管理工作的通知》（苏环办〔2020〕284号）管理要求</w:t>
            </w:r>
          </w:p>
          <w:p w14:paraId="64375A51">
            <w:pPr>
              <w:bidi w:val="0"/>
              <w:ind w:firstLine="480" w:firstLineChars="200"/>
              <w:rPr>
                <w:rFonts w:hint="default"/>
                <w:color w:val="auto"/>
                <w:highlight w:val="none"/>
                <w:lang w:val="en-US" w:eastAsia="zh-CN"/>
              </w:rPr>
            </w:pPr>
            <w:r>
              <w:rPr>
                <w:rFonts w:hint="default"/>
                <w:color w:val="auto"/>
                <w:highlight w:val="none"/>
                <w:lang w:val="en-US" w:eastAsia="zh-CN"/>
              </w:rPr>
              <w:t>根据</w:t>
            </w:r>
            <w:r>
              <w:rPr>
                <w:rFonts w:hint="default"/>
                <w:color w:val="auto"/>
                <w:highlight w:val="none"/>
              </w:rPr>
              <w:t>《关于进一步加强实验室危险废物管理工作的通知》（苏环办</w:t>
            </w:r>
            <w:r>
              <w:rPr>
                <w:rFonts w:hint="eastAsia"/>
                <w:color w:val="auto"/>
                <w:highlight w:val="none"/>
                <w:lang w:eastAsia="zh-CN"/>
              </w:rPr>
              <w:t>〔</w:t>
            </w:r>
            <w:r>
              <w:rPr>
                <w:rFonts w:hint="default"/>
                <w:color w:val="auto"/>
                <w:highlight w:val="none"/>
              </w:rPr>
              <w:t>2020</w:t>
            </w:r>
            <w:r>
              <w:rPr>
                <w:rFonts w:hint="eastAsia"/>
                <w:color w:val="auto"/>
                <w:highlight w:val="none"/>
                <w:lang w:eastAsia="zh-CN"/>
              </w:rPr>
              <w:t>〕</w:t>
            </w:r>
            <w:r>
              <w:rPr>
                <w:rFonts w:hint="default"/>
                <w:color w:val="auto"/>
                <w:highlight w:val="none"/>
              </w:rPr>
              <w:t>284号）</w:t>
            </w:r>
            <w:r>
              <w:rPr>
                <w:rFonts w:hint="eastAsia"/>
                <w:color w:val="auto"/>
                <w:highlight w:val="none"/>
                <w:lang w:val="en-US" w:eastAsia="zh-CN"/>
              </w:rPr>
              <w:t>相关要求，本项目与其相符性如下表。</w:t>
            </w:r>
          </w:p>
          <w:p w14:paraId="501DC082">
            <w:pPr>
              <w:pStyle w:val="162"/>
              <w:bidi w:val="0"/>
              <w:rPr>
                <w:rFonts w:hint="eastAsia"/>
                <w:color w:val="auto"/>
                <w:highlight w:val="none"/>
                <w:lang w:val="en-US" w:eastAsia="zh-CN"/>
              </w:rPr>
            </w:pPr>
            <w:r>
              <w:rPr>
                <w:rFonts w:hint="eastAsia"/>
                <w:color w:val="auto"/>
                <w:highlight w:val="none"/>
                <w:lang w:val="en-US" w:eastAsia="zh-CN"/>
              </w:rPr>
              <w:t>建设项目与</w:t>
            </w:r>
            <w:r>
              <w:rPr>
                <w:rFonts w:hint="eastAsia"/>
                <w:color w:val="auto"/>
                <w:highlight w:val="none"/>
              </w:rPr>
              <w:t>（苏环办〔2020〕284号）</w:t>
            </w:r>
            <w:r>
              <w:rPr>
                <w:rFonts w:hint="eastAsia"/>
                <w:color w:val="auto"/>
                <w:highlight w:val="none"/>
                <w:lang w:val="en-US" w:eastAsia="zh-CN"/>
              </w:rPr>
              <w:t>相符性分析一览表</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7"/>
              <w:gridCol w:w="3734"/>
              <w:gridCol w:w="3066"/>
              <w:gridCol w:w="964"/>
            </w:tblGrid>
            <w:tr w14:paraId="6B9819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trPr>
              <w:tc>
                <w:tcPr>
                  <w:tcW w:w="417" w:type="pct"/>
                  <w:tcBorders>
                    <w:tl2br w:val="nil"/>
                    <w:tr2bl w:val="nil"/>
                  </w:tcBorders>
                  <w:vAlign w:val="center"/>
                </w:tcPr>
                <w:p w14:paraId="239DE2AC">
                  <w:pPr>
                    <w:pStyle w:val="41"/>
                    <w:rPr>
                      <w:b/>
                      <w:bCs/>
                      <w:color w:val="auto"/>
                      <w:highlight w:val="none"/>
                    </w:rPr>
                  </w:pPr>
                  <w:r>
                    <w:rPr>
                      <w:b/>
                      <w:bCs/>
                      <w:color w:val="auto"/>
                      <w:highlight w:val="none"/>
                    </w:rPr>
                    <w:t>序号</w:t>
                  </w:r>
                </w:p>
              </w:tc>
              <w:tc>
                <w:tcPr>
                  <w:tcW w:w="2203" w:type="pct"/>
                  <w:tcBorders>
                    <w:tl2br w:val="nil"/>
                    <w:tr2bl w:val="nil"/>
                  </w:tcBorders>
                  <w:vAlign w:val="center"/>
                </w:tcPr>
                <w:p w14:paraId="6E911D06">
                  <w:pPr>
                    <w:pStyle w:val="41"/>
                    <w:rPr>
                      <w:b/>
                      <w:bCs/>
                      <w:color w:val="auto"/>
                      <w:highlight w:val="none"/>
                    </w:rPr>
                  </w:pPr>
                  <w:r>
                    <w:rPr>
                      <w:rFonts w:hint="eastAsia"/>
                      <w:b/>
                      <w:bCs/>
                      <w:color w:val="auto"/>
                      <w:highlight w:val="none"/>
                    </w:rPr>
                    <w:t>（苏环办〔2020〕284号）</w:t>
                  </w:r>
                </w:p>
              </w:tc>
              <w:tc>
                <w:tcPr>
                  <w:tcW w:w="1809" w:type="pct"/>
                  <w:tcBorders>
                    <w:tl2br w:val="nil"/>
                    <w:tr2bl w:val="nil"/>
                  </w:tcBorders>
                  <w:vAlign w:val="center"/>
                </w:tcPr>
                <w:p w14:paraId="2A814827">
                  <w:pPr>
                    <w:pStyle w:val="41"/>
                    <w:rPr>
                      <w:b/>
                      <w:bCs/>
                      <w:color w:val="auto"/>
                      <w:highlight w:val="none"/>
                    </w:rPr>
                  </w:pPr>
                  <w:r>
                    <w:rPr>
                      <w:rFonts w:hint="eastAsia"/>
                      <w:b/>
                      <w:bCs/>
                      <w:color w:val="auto"/>
                      <w:highlight w:val="none"/>
                      <w:lang w:val="en-US" w:eastAsia="zh-CN"/>
                    </w:rPr>
                    <w:t>本</w:t>
                  </w:r>
                  <w:r>
                    <w:rPr>
                      <w:b/>
                      <w:bCs/>
                      <w:color w:val="auto"/>
                      <w:highlight w:val="none"/>
                    </w:rPr>
                    <w:t>项目情况</w:t>
                  </w:r>
                </w:p>
              </w:tc>
              <w:tc>
                <w:tcPr>
                  <w:tcW w:w="569" w:type="pct"/>
                  <w:tcBorders>
                    <w:tl2br w:val="nil"/>
                    <w:tr2bl w:val="nil"/>
                  </w:tcBorders>
                  <w:vAlign w:val="center"/>
                </w:tcPr>
                <w:p w14:paraId="71BA71AF">
                  <w:pPr>
                    <w:pStyle w:val="41"/>
                    <w:rPr>
                      <w:b/>
                      <w:bCs/>
                      <w:color w:val="auto"/>
                      <w:highlight w:val="none"/>
                    </w:rPr>
                  </w:pPr>
                  <w:r>
                    <w:rPr>
                      <w:rFonts w:hint="eastAsia"/>
                      <w:b/>
                      <w:bCs/>
                      <w:color w:val="auto"/>
                      <w:highlight w:val="none"/>
                      <w:lang w:val="en-US" w:eastAsia="zh-CN"/>
                    </w:rPr>
                    <w:t>相符性</w:t>
                  </w:r>
                </w:p>
              </w:tc>
            </w:tr>
            <w:tr w14:paraId="05067A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trPr>
              <w:tc>
                <w:tcPr>
                  <w:tcW w:w="417" w:type="pct"/>
                  <w:tcBorders>
                    <w:tl2br w:val="nil"/>
                    <w:tr2bl w:val="nil"/>
                  </w:tcBorders>
                  <w:vAlign w:val="center"/>
                </w:tcPr>
                <w:p w14:paraId="3CF77B61">
                  <w:pPr>
                    <w:pStyle w:val="41"/>
                    <w:rPr>
                      <w:color w:val="auto"/>
                      <w:highlight w:val="none"/>
                    </w:rPr>
                  </w:pPr>
                  <w:r>
                    <w:rPr>
                      <w:color w:val="auto"/>
                      <w:highlight w:val="none"/>
                    </w:rPr>
                    <w:t>1</w:t>
                  </w:r>
                </w:p>
              </w:tc>
              <w:tc>
                <w:tcPr>
                  <w:tcW w:w="2203" w:type="pct"/>
                  <w:tcBorders>
                    <w:tl2br w:val="nil"/>
                    <w:tr2bl w:val="nil"/>
                  </w:tcBorders>
                  <w:vAlign w:val="center"/>
                </w:tcPr>
                <w:p w14:paraId="689947C0">
                  <w:pPr>
                    <w:pStyle w:val="41"/>
                    <w:bidi w:val="0"/>
                    <w:rPr>
                      <w:rFonts w:hint="eastAsia" w:eastAsia="宋体"/>
                      <w:color w:val="auto"/>
                      <w:highlight w:val="none"/>
                      <w:lang w:eastAsia="zh-CN"/>
                    </w:rPr>
                  </w:pPr>
                  <w:r>
                    <w:rPr>
                      <w:rFonts w:hint="eastAsia"/>
                      <w:color w:val="auto"/>
                      <w:highlight w:val="none"/>
                      <w:lang w:eastAsia="zh-CN"/>
                    </w:rPr>
                    <w:t>（</w:t>
                  </w:r>
                  <w:r>
                    <w:rPr>
                      <w:rFonts w:hint="eastAsia"/>
                      <w:color w:val="auto"/>
                      <w:highlight w:val="none"/>
                    </w:rPr>
                    <w:t>一</w:t>
                  </w:r>
                  <w:r>
                    <w:rPr>
                      <w:rFonts w:hint="eastAsia"/>
                      <w:color w:val="auto"/>
                      <w:highlight w:val="none"/>
                      <w:lang w:eastAsia="zh-CN"/>
                    </w:rPr>
                    <w:t>）</w:t>
                  </w:r>
                  <w:r>
                    <w:rPr>
                      <w:rFonts w:hint="eastAsia"/>
                      <w:color w:val="auto"/>
                      <w:highlight w:val="none"/>
                    </w:rPr>
                    <w:t>强化信息申报。实验室危险废物是指在教学、研究开发和检测活动中，化学和生物等实验室产生的具有危险特性的固体废物</w:t>
                  </w:r>
                  <w:r>
                    <w:rPr>
                      <w:rFonts w:hint="eastAsia"/>
                      <w:color w:val="auto"/>
                      <w:highlight w:val="none"/>
                      <w:lang w:eastAsia="zh-CN"/>
                    </w:rPr>
                    <w:t>（</w:t>
                  </w:r>
                  <w:r>
                    <w:rPr>
                      <w:rFonts w:hint="eastAsia"/>
                      <w:color w:val="auto"/>
                      <w:highlight w:val="none"/>
                    </w:rPr>
                    <w:t>不包括医疗废物，实验动物尸体及相关废弃物，危险特性尚未确定的废物，涉及生物安全和疾病防治的其他废物</w:t>
                  </w:r>
                  <w:r>
                    <w:rPr>
                      <w:rFonts w:hint="eastAsia"/>
                      <w:color w:val="auto"/>
                      <w:highlight w:val="none"/>
                      <w:lang w:eastAsia="zh-CN"/>
                    </w:rPr>
                    <w:t>）。</w:t>
                  </w:r>
                  <w:r>
                    <w:rPr>
                      <w:rFonts w:hint="eastAsia"/>
                      <w:color w:val="auto"/>
                      <w:highlight w:val="none"/>
                    </w:rPr>
                    <w:t>各级教育、科研、医疗卫生、检测机构等实验室及其设立单位</w:t>
                  </w:r>
                  <w:r>
                    <w:rPr>
                      <w:rFonts w:hint="eastAsia"/>
                      <w:color w:val="auto"/>
                      <w:highlight w:val="none"/>
                      <w:lang w:eastAsia="zh-CN"/>
                    </w:rPr>
                    <w:t>（</w:t>
                  </w:r>
                  <w:r>
                    <w:rPr>
                      <w:rFonts w:hint="eastAsia"/>
                      <w:color w:val="auto"/>
                      <w:highlight w:val="none"/>
                    </w:rPr>
                    <w:t>以下简称产废单位</w:t>
                  </w:r>
                  <w:r>
                    <w:rPr>
                      <w:rFonts w:hint="eastAsia"/>
                      <w:color w:val="auto"/>
                      <w:highlight w:val="none"/>
                      <w:lang w:eastAsia="zh-CN"/>
                    </w:rPr>
                    <w:t>）</w:t>
                  </w:r>
                  <w:r>
                    <w:rPr>
                      <w:rFonts w:hint="eastAsia"/>
                      <w:color w:val="auto"/>
                      <w:highlight w:val="none"/>
                    </w:rPr>
                    <w:t>是实验室危险废物全过程环境管理的责任主体。各产废单位应加强实验室危险废物基础信息管理，根据相关法律法规并对照环评审批文件，结合教学科研实际，理清产废环节，摸清危险废物产生种类、数量、危险特性、包装方式、贮存设施以及委托处置等情况</w:t>
                  </w:r>
                  <w:r>
                    <w:rPr>
                      <w:rFonts w:hint="eastAsia"/>
                      <w:color w:val="auto"/>
                      <w:highlight w:val="none"/>
                      <w:lang w:eastAsia="zh-CN"/>
                    </w:rPr>
                    <w:t>，</w:t>
                  </w:r>
                  <w:r>
                    <w:rPr>
                      <w:rFonts w:hint="eastAsia"/>
                      <w:color w:val="auto"/>
                      <w:highlight w:val="none"/>
                    </w:rPr>
                    <w:t>并登录省危险废物动态管理信息系统填报相关信息</w:t>
                  </w:r>
                  <w:r>
                    <w:rPr>
                      <w:rFonts w:hint="eastAsia"/>
                      <w:color w:val="auto"/>
                      <w:highlight w:val="none"/>
                      <w:lang w:eastAsia="zh-CN"/>
                    </w:rPr>
                    <w:t>。</w:t>
                  </w:r>
                </w:p>
              </w:tc>
              <w:tc>
                <w:tcPr>
                  <w:tcW w:w="1809" w:type="pct"/>
                  <w:tcBorders>
                    <w:tl2br w:val="nil"/>
                    <w:tr2bl w:val="nil"/>
                  </w:tcBorders>
                  <w:vAlign w:val="center"/>
                </w:tcPr>
                <w:p w14:paraId="61097D80">
                  <w:pPr>
                    <w:pStyle w:val="41"/>
                    <w:bidi w:val="0"/>
                    <w:rPr>
                      <w:rFonts w:hint="eastAsia" w:eastAsia="宋体"/>
                      <w:color w:val="auto"/>
                      <w:highlight w:val="none"/>
                      <w:lang w:val="en-US" w:eastAsia="zh-CN"/>
                    </w:rPr>
                  </w:pPr>
                  <w:r>
                    <w:rPr>
                      <w:rFonts w:hint="eastAsia"/>
                      <w:color w:val="auto"/>
                      <w:highlight w:val="none"/>
                      <w:lang w:val="en-US" w:eastAsia="zh-CN"/>
                    </w:rPr>
                    <w:t>企业为本项目实验室危险废物全过程环境管理的责任主体，项目建成后按照要求进行危险废物进出信息管理，对照本环评并结合实际运行情况，理清产废信息，</w:t>
                  </w:r>
                  <w:r>
                    <w:rPr>
                      <w:rFonts w:hint="eastAsia"/>
                      <w:color w:val="auto"/>
                      <w:highlight w:val="none"/>
                    </w:rPr>
                    <w:t>摸清危险废物产生种类、数量、危险特性、包装方式</w:t>
                  </w:r>
                  <w:r>
                    <w:rPr>
                      <w:rFonts w:hint="eastAsia"/>
                      <w:color w:val="auto"/>
                      <w:highlight w:val="none"/>
                      <w:lang w:eastAsia="zh-CN"/>
                    </w:rPr>
                    <w:t>，</w:t>
                  </w:r>
                  <w:r>
                    <w:rPr>
                      <w:rFonts w:hint="eastAsia"/>
                      <w:color w:val="auto"/>
                      <w:highlight w:val="none"/>
                      <w:lang w:val="en-US" w:eastAsia="zh-CN"/>
                    </w:rPr>
                    <w:t>建设符合要求的危废暂存点，并与有资质单位签订危废处置协议，确保危险废物妥善处置。同时企业需将危险废物相关信息填报至</w:t>
                  </w:r>
                  <w:r>
                    <w:rPr>
                      <w:rFonts w:hint="eastAsia"/>
                      <w:color w:val="auto"/>
                      <w:highlight w:val="none"/>
                    </w:rPr>
                    <w:t>省危险废物动态管理信息系统</w:t>
                  </w:r>
                  <w:r>
                    <w:rPr>
                      <w:rFonts w:hint="eastAsia"/>
                      <w:color w:val="auto"/>
                      <w:highlight w:val="none"/>
                      <w:lang w:eastAsia="zh-CN"/>
                    </w:rPr>
                    <w:t>。</w:t>
                  </w:r>
                </w:p>
              </w:tc>
              <w:tc>
                <w:tcPr>
                  <w:tcW w:w="569" w:type="pct"/>
                  <w:tcBorders>
                    <w:tl2br w:val="nil"/>
                    <w:tr2bl w:val="nil"/>
                  </w:tcBorders>
                  <w:vAlign w:val="center"/>
                </w:tcPr>
                <w:p w14:paraId="4BFF367A">
                  <w:pPr>
                    <w:pStyle w:val="41"/>
                    <w:rPr>
                      <w:rFonts w:hint="eastAsia" w:eastAsia="宋体"/>
                      <w:color w:val="auto"/>
                      <w:highlight w:val="none"/>
                      <w:lang w:val="en-US" w:eastAsia="zh-CN"/>
                    </w:rPr>
                  </w:pPr>
                  <w:r>
                    <w:rPr>
                      <w:rFonts w:hint="eastAsia"/>
                      <w:color w:val="auto"/>
                      <w:highlight w:val="none"/>
                      <w:lang w:val="en-US" w:eastAsia="zh-CN"/>
                    </w:rPr>
                    <w:t>相符</w:t>
                  </w:r>
                </w:p>
              </w:tc>
            </w:tr>
            <w:tr w14:paraId="6B4F4E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trPr>
              <w:tc>
                <w:tcPr>
                  <w:tcW w:w="417" w:type="pct"/>
                  <w:tcBorders>
                    <w:tl2br w:val="nil"/>
                    <w:tr2bl w:val="nil"/>
                  </w:tcBorders>
                  <w:vAlign w:val="center"/>
                </w:tcPr>
                <w:p w14:paraId="3103D1D5">
                  <w:pPr>
                    <w:pStyle w:val="41"/>
                    <w:rPr>
                      <w:color w:val="auto"/>
                      <w:highlight w:val="none"/>
                    </w:rPr>
                  </w:pPr>
                  <w:r>
                    <w:rPr>
                      <w:color w:val="auto"/>
                      <w:highlight w:val="none"/>
                    </w:rPr>
                    <w:t>2</w:t>
                  </w:r>
                </w:p>
              </w:tc>
              <w:tc>
                <w:tcPr>
                  <w:tcW w:w="2203" w:type="pct"/>
                  <w:tcBorders>
                    <w:tl2br w:val="nil"/>
                    <w:tr2bl w:val="nil"/>
                  </w:tcBorders>
                  <w:vAlign w:val="center"/>
                </w:tcPr>
                <w:p w14:paraId="55F3A45F">
                  <w:pPr>
                    <w:pStyle w:val="41"/>
                    <w:rPr>
                      <w:rFonts w:hint="eastAsia" w:eastAsia="宋体"/>
                      <w:color w:val="auto"/>
                      <w:highlight w:val="none"/>
                      <w:lang w:eastAsia="zh-CN"/>
                    </w:rPr>
                  </w:pPr>
                  <w:r>
                    <w:rPr>
                      <w:rFonts w:hint="eastAsia"/>
                      <w:color w:val="auto"/>
                      <w:highlight w:val="none"/>
                      <w:lang w:eastAsia="zh-CN"/>
                    </w:rPr>
                    <w:t>（</w:t>
                  </w:r>
                  <w:r>
                    <w:rPr>
                      <w:rFonts w:hint="eastAsia"/>
                      <w:color w:val="auto"/>
                      <w:highlight w:val="none"/>
                    </w:rPr>
                    <w:t>二</w:t>
                  </w:r>
                  <w:r>
                    <w:rPr>
                      <w:rFonts w:hint="eastAsia"/>
                      <w:color w:val="auto"/>
                      <w:highlight w:val="none"/>
                      <w:lang w:eastAsia="zh-CN"/>
                    </w:rPr>
                    <w:t>）</w:t>
                  </w:r>
                  <w:r>
                    <w:rPr>
                      <w:rFonts w:hint="eastAsia"/>
                      <w:color w:val="auto"/>
                      <w:highlight w:val="none"/>
                    </w:rPr>
                    <w:t>加强源头分类。各产废单位要按照《实验室废弃化学品收集技术规范》</w:t>
                  </w:r>
                  <w:r>
                    <w:rPr>
                      <w:rFonts w:hint="eastAsia"/>
                      <w:color w:val="auto"/>
                      <w:highlight w:val="none"/>
                      <w:lang w:eastAsia="zh-CN"/>
                    </w:rPr>
                    <w:t>（</w:t>
                  </w:r>
                  <w:r>
                    <w:rPr>
                      <w:rFonts w:hint="eastAsia"/>
                      <w:color w:val="auto"/>
                      <w:highlight w:val="none"/>
                    </w:rPr>
                    <w:t>GB/T 31190-2014</w:t>
                  </w:r>
                  <w:r>
                    <w:rPr>
                      <w:rFonts w:hint="eastAsia"/>
                      <w:color w:val="auto"/>
                      <w:highlight w:val="none"/>
                      <w:lang w:eastAsia="zh-CN"/>
                    </w:rPr>
                    <w:t>）</w:t>
                  </w:r>
                  <w:r>
                    <w:rPr>
                      <w:rFonts w:hint="eastAsia"/>
                      <w:color w:val="auto"/>
                      <w:highlight w:val="none"/>
                    </w:rPr>
                    <w:t>、《危险废物贮存污染控制标准》</w:t>
                  </w:r>
                  <w:r>
                    <w:rPr>
                      <w:rFonts w:hint="eastAsia"/>
                      <w:color w:val="auto"/>
                      <w:highlight w:val="none"/>
                      <w:lang w:eastAsia="zh-CN"/>
                    </w:rPr>
                    <w:t>（</w:t>
                  </w:r>
                  <w:r>
                    <w:rPr>
                      <w:rFonts w:hint="eastAsia"/>
                      <w:color w:val="auto"/>
                      <w:highlight w:val="none"/>
                    </w:rPr>
                    <w:t>GB 18597-20</w:t>
                  </w:r>
                  <w:r>
                    <w:rPr>
                      <w:rFonts w:hint="eastAsia"/>
                      <w:color w:val="auto"/>
                      <w:highlight w:val="none"/>
                      <w:lang w:val="en-US" w:eastAsia="zh-CN"/>
                    </w:rPr>
                    <w:t>23</w:t>
                  </w:r>
                  <w:r>
                    <w:rPr>
                      <w:rFonts w:hint="eastAsia"/>
                      <w:color w:val="auto"/>
                      <w:highlight w:val="none"/>
                      <w:lang w:eastAsia="zh-CN"/>
                    </w:rPr>
                    <w:t>）</w:t>
                  </w:r>
                  <w:r>
                    <w:rPr>
                      <w:rFonts w:hint="eastAsia"/>
                      <w:color w:val="auto"/>
                      <w:highlight w:val="none"/>
                    </w:rPr>
                    <w:t>等国家有关要求做好源头分类工作，建设规范且满足防渗防漏需求的贮存设施。要建立实验室危险废物分类收集管理制度，制定内部收集流程、分类判定方法</w:t>
                  </w:r>
                  <w:r>
                    <w:rPr>
                      <w:rFonts w:hint="eastAsia"/>
                      <w:color w:val="auto"/>
                      <w:highlight w:val="none"/>
                      <w:lang w:eastAsia="zh-CN"/>
                    </w:rPr>
                    <w:t>、</w:t>
                  </w:r>
                  <w:r>
                    <w:rPr>
                      <w:rFonts w:hint="eastAsia"/>
                      <w:color w:val="auto"/>
                      <w:highlight w:val="none"/>
                    </w:rPr>
                    <w:t>包装标签要求以及相应的台账记录体系</w:t>
                  </w:r>
                  <w:r>
                    <w:rPr>
                      <w:rFonts w:hint="eastAsia"/>
                      <w:color w:val="auto"/>
                      <w:highlight w:val="none"/>
                      <w:lang w:eastAsia="zh-CN"/>
                    </w:rPr>
                    <w:t>；</w:t>
                  </w:r>
                  <w:r>
                    <w:rPr>
                      <w:rFonts w:hint="eastAsia"/>
                      <w:color w:val="auto"/>
                      <w:highlight w:val="none"/>
                    </w:rPr>
                    <w:t>分类应遵循安全性、可操作性和经济性原则，满足收集、贮存和委托处置的需要。要按照相关法律法规要求执行危险废物申报登记、管理计划备案、转移联单等管理制度，做到分类收集贮存、依法委托处置。对长期贮存的实验室废物</w:t>
                  </w:r>
                  <w:r>
                    <w:rPr>
                      <w:rFonts w:hint="eastAsia"/>
                      <w:color w:val="auto"/>
                      <w:highlight w:val="none"/>
                      <w:lang w:eastAsia="zh-CN"/>
                    </w:rPr>
                    <w:t>，</w:t>
                  </w:r>
                  <w:r>
                    <w:rPr>
                      <w:rFonts w:hint="eastAsia"/>
                      <w:color w:val="auto"/>
                      <w:highlight w:val="none"/>
                    </w:rPr>
                    <w:t>各产废单位应尽快摸清底数，检测理化性质</w:t>
                  </w:r>
                  <w:r>
                    <w:rPr>
                      <w:rFonts w:hint="eastAsia"/>
                      <w:color w:val="auto"/>
                      <w:highlight w:val="none"/>
                      <w:lang w:eastAsia="zh-CN"/>
                    </w:rPr>
                    <w:t>，</w:t>
                  </w:r>
                  <w:r>
                    <w:rPr>
                      <w:rFonts w:hint="eastAsia"/>
                      <w:color w:val="auto"/>
                      <w:highlight w:val="none"/>
                    </w:rPr>
                    <w:t>明确危险特性，进行分类分质，委托有资质单位进行利用处置</w:t>
                  </w:r>
                  <w:r>
                    <w:rPr>
                      <w:rFonts w:hint="eastAsia"/>
                      <w:color w:val="auto"/>
                      <w:highlight w:val="none"/>
                      <w:lang w:eastAsia="zh-CN"/>
                    </w:rPr>
                    <w:t>。</w:t>
                  </w:r>
                </w:p>
              </w:tc>
              <w:tc>
                <w:tcPr>
                  <w:tcW w:w="1809" w:type="pct"/>
                  <w:tcBorders>
                    <w:tl2br w:val="nil"/>
                    <w:tr2bl w:val="nil"/>
                  </w:tcBorders>
                  <w:vAlign w:val="center"/>
                </w:tcPr>
                <w:p w14:paraId="3C6BDAAA">
                  <w:pPr>
                    <w:pStyle w:val="41"/>
                    <w:rPr>
                      <w:rFonts w:hint="default" w:eastAsia="宋体"/>
                      <w:color w:val="auto"/>
                      <w:highlight w:val="none"/>
                      <w:lang w:val="en-US" w:eastAsia="zh-CN"/>
                    </w:rPr>
                  </w:pPr>
                  <w:r>
                    <w:rPr>
                      <w:rFonts w:hint="eastAsia"/>
                      <w:color w:val="auto"/>
                      <w:highlight w:val="none"/>
                      <w:lang w:val="en-US" w:eastAsia="zh-CN"/>
                    </w:rPr>
                    <w:t>本项目危废暂存点按照</w:t>
                  </w:r>
                  <w:r>
                    <w:rPr>
                      <w:rFonts w:hint="eastAsia"/>
                      <w:color w:val="auto"/>
                      <w:highlight w:val="none"/>
                      <w:lang w:eastAsia="zh-CN"/>
                    </w:rPr>
                    <w:t>（</w:t>
                  </w:r>
                  <w:r>
                    <w:rPr>
                      <w:rFonts w:hint="eastAsia"/>
                      <w:color w:val="auto"/>
                      <w:highlight w:val="none"/>
                    </w:rPr>
                    <w:t>GB 18597-20</w:t>
                  </w:r>
                  <w:r>
                    <w:rPr>
                      <w:rFonts w:hint="eastAsia"/>
                      <w:color w:val="auto"/>
                      <w:highlight w:val="none"/>
                      <w:lang w:val="en-US" w:eastAsia="zh-CN"/>
                    </w:rPr>
                    <w:t>23</w:t>
                  </w:r>
                  <w:r>
                    <w:rPr>
                      <w:rFonts w:hint="eastAsia"/>
                      <w:color w:val="auto"/>
                      <w:highlight w:val="none"/>
                      <w:lang w:eastAsia="zh-CN"/>
                    </w:rPr>
                    <w:t>）</w:t>
                  </w:r>
                  <w:r>
                    <w:rPr>
                      <w:rFonts w:hint="eastAsia"/>
                      <w:color w:val="auto"/>
                      <w:highlight w:val="none"/>
                      <w:lang w:val="en-US" w:eastAsia="zh-CN"/>
                    </w:rPr>
                    <w:t>要求建设。项目建成后企业需建立实验室危险废物分类收集管理制度，制定</w:t>
                  </w:r>
                  <w:r>
                    <w:rPr>
                      <w:rFonts w:hint="eastAsia"/>
                      <w:color w:val="auto"/>
                      <w:highlight w:val="none"/>
                    </w:rPr>
                    <w:t>内部收集流程、分类判定方法</w:t>
                  </w:r>
                  <w:r>
                    <w:rPr>
                      <w:rFonts w:hint="eastAsia"/>
                      <w:color w:val="auto"/>
                      <w:highlight w:val="none"/>
                      <w:lang w:eastAsia="zh-CN"/>
                    </w:rPr>
                    <w:t>、</w:t>
                  </w:r>
                  <w:r>
                    <w:rPr>
                      <w:rFonts w:hint="eastAsia"/>
                      <w:color w:val="auto"/>
                      <w:highlight w:val="none"/>
                    </w:rPr>
                    <w:t>包装标签要求以及相应的台账记录体系。</w:t>
                  </w:r>
                  <w:r>
                    <w:rPr>
                      <w:rFonts w:hint="eastAsia"/>
                      <w:color w:val="auto"/>
                      <w:highlight w:val="none"/>
                      <w:lang w:val="en-US" w:eastAsia="zh-CN"/>
                    </w:rPr>
                    <w:t>实验室危险废物做到分类收集，满足收集、贮存、委托处置的需要。需按照相关法律法规要求执行</w:t>
                  </w:r>
                  <w:r>
                    <w:rPr>
                      <w:rFonts w:hint="eastAsia"/>
                      <w:color w:val="auto"/>
                      <w:highlight w:val="none"/>
                    </w:rPr>
                    <w:t>危险废物申报登记、管理计划备案、转移联单等管理制度，做到分类收集贮存、依法委托处置。</w:t>
                  </w:r>
                  <w:r>
                    <w:rPr>
                      <w:rFonts w:hint="eastAsia"/>
                      <w:color w:val="auto"/>
                      <w:highlight w:val="none"/>
                      <w:lang w:val="en-US" w:eastAsia="zh-CN"/>
                    </w:rPr>
                    <w:t>危废暂存点的危险废物每3个月必须清理一次，避免长期贮存。</w:t>
                  </w:r>
                </w:p>
              </w:tc>
              <w:tc>
                <w:tcPr>
                  <w:tcW w:w="569" w:type="pct"/>
                  <w:tcBorders>
                    <w:tl2br w:val="nil"/>
                    <w:tr2bl w:val="nil"/>
                  </w:tcBorders>
                  <w:vAlign w:val="center"/>
                </w:tcPr>
                <w:p w14:paraId="0870379E">
                  <w:pPr>
                    <w:pStyle w:val="41"/>
                    <w:rPr>
                      <w:rFonts w:hint="eastAsia" w:eastAsia="宋体"/>
                      <w:color w:val="auto"/>
                      <w:highlight w:val="none"/>
                      <w:lang w:val="en-US" w:eastAsia="zh-CN"/>
                    </w:rPr>
                  </w:pPr>
                  <w:r>
                    <w:rPr>
                      <w:rFonts w:hint="eastAsia"/>
                      <w:color w:val="auto"/>
                      <w:highlight w:val="none"/>
                      <w:lang w:val="en-US" w:eastAsia="zh-CN"/>
                    </w:rPr>
                    <w:t>相符</w:t>
                  </w:r>
                </w:p>
              </w:tc>
            </w:tr>
            <w:tr w14:paraId="70195E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trPr>
              <w:tc>
                <w:tcPr>
                  <w:tcW w:w="417" w:type="pct"/>
                  <w:tcBorders>
                    <w:tl2br w:val="nil"/>
                    <w:tr2bl w:val="nil"/>
                  </w:tcBorders>
                  <w:vAlign w:val="center"/>
                </w:tcPr>
                <w:p w14:paraId="7DCB1040">
                  <w:pPr>
                    <w:pStyle w:val="41"/>
                    <w:rPr>
                      <w:color w:val="auto"/>
                      <w:highlight w:val="none"/>
                    </w:rPr>
                  </w:pPr>
                  <w:r>
                    <w:rPr>
                      <w:color w:val="auto"/>
                      <w:highlight w:val="none"/>
                    </w:rPr>
                    <w:t>3</w:t>
                  </w:r>
                </w:p>
              </w:tc>
              <w:tc>
                <w:tcPr>
                  <w:tcW w:w="2203" w:type="pct"/>
                  <w:tcBorders>
                    <w:tl2br w:val="nil"/>
                    <w:tr2bl w:val="nil"/>
                  </w:tcBorders>
                  <w:vAlign w:val="center"/>
                </w:tcPr>
                <w:p w14:paraId="4F76595B">
                  <w:pPr>
                    <w:pStyle w:val="41"/>
                    <w:rPr>
                      <w:color w:val="auto"/>
                      <w:highlight w:val="none"/>
                    </w:rPr>
                  </w:pPr>
                  <w:r>
                    <w:rPr>
                      <w:rFonts w:hint="eastAsia"/>
                      <w:color w:val="auto"/>
                      <w:highlight w:val="none"/>
                      <w:lang w:eastAsia="zh-CN"/>
                    </w:rPr>
                    <w:t>（</w:t>
                  </w:r>
                  <w:r>
                    <w:rPr>
                      <w:rFonts w:hint="eastAsia"/>
                      <w:color w:val="auto"/>
                      <w:highlight w:val="none"/>
                    </w:rPr>
                    <w:t>三</w:t>
                  </w:r>
                  <w:r>
                    <w:rPr>
                      <w:rFonts w:hint="eastAsia"/>
                      <w:color w:val="auto"/>
                      <w:highlight w:val="none"/>
                      <w:lang w:eastAsia="zh-CN"/>
                    </w:rPr>
                    <w:t>）</w:t>
                  </w:r>
                  <w:r>
                    <w:rPr>
                      <w:rFonts w:hint="eastAsia"/>
                      <w:color w:val="auto"/>
                      <w:highlight w:val="none"/>
                    </w:rPr>
                    <w:t>落实“三化”措施。各产废单位应秉持绿色发展理念</w:t>
                  </w:r>
                  <w:r>
                    <w:rPr>
                      <w:rFonts w:hint="eastAsia"/>
                      <w:color w:val="auto"/>
                      <w:highlight w:val="none"/>
                      <w:lang w:eastAsia="zh-CN"/>
                    </w:rPr>
                    <w:t>，</w:t>
                  </w:r>
                  <w:r>
                    <w:rPr>
                      <w:rFonts w:hint="eastAsia"/>
                      <w:color w:val="auto"/>
                      <w:highlight w:val="none"/>
                    </w:rPr>
                    <w:t>按照“减量化、资源化、无害化”原则，进一步减少有毒有害原料使用，降低对环境的潜在影响</w:t>
                  </w:r>
                  <w:r>
                    <w:rPr>
                      <w:rFonts w:hint="eastAsia"/>
                      <w:color w:val="auto"/>
                      <w:highlight w:val="none"/>
                      <w:lang w:eastAsia="zh-CN"/>
                    </w:rPr>
                    <w:t>；</w:t>
                  </w:r>
                  <w:r>
                    <w:rPr>
                      <w:rFonts w:hint="eastAsia"/>
                      <w:color w:val="auto"/>
                      <w:highlight w:val="none"/>
                    </w:rPr>
                    <w:t>规范操作，按需使用试验原料</w:t>
                  </w:r>
                  <w:r>
                    <w:rPr>
                      <w:rFonts w:hint="eastAsia"/>
                      <w:color w:val="auto"/>
                      <w:highlight w:val="none"/>
                      <w:lang w:eastAsia="zh-CN"/>
                    </w:rPr>
                    <w:t>，</w:t>
                  </w:r>
                  <w:r>
                    <w:rPr>
                      <w:rFonts w:hint="eastAsia"/>
                      <w:color w:val="auto"/>
                      <w:highlight w:val="none"/>
                    </w:rPr>
                    <w:t>减少闲置或报废量</w:t>
                  </w:r>
                  <w:r>
                    <w:rPr>
                      <w:rFonts w:hint="eastAsia"/>
                      <w:color w:val="auto"/>
                      <w:highlight w:val="none"/>
                      <w:lang w:eastAsia="zh-CN"/>
                    </w:rPr>
                    <w:t>；</w:t>
                  </w:r>
                  <w:r>
                    <w:rPr>
                      <w:rFonts w:hint="eastAsia"/>
                      <w:color w:val="auto"/>
                      <w:highlight w:val="none"/>
                    </w:rPr>
                    <w:t>鼓励资源循环利用，提高资源利用率，避免资源浪费。支持产废单位购置设备对实验室危险废物进行净化和达标处理</w:t>
                  </w:r>
                  <w:r>
                    <w:rPr>
                      <w:rFonts w:hint="eastAsia"/>
                      <w:color w:val="auto"/>
                      <w:highlight w:val="none"/>
                      <w:lang w:eastAsia="zh-CN"/>
                    </w:rPr>
                    <w:t>，</w:t>
                  </w:r>
                  <w:r>
                    <w:rPr>
                      <w:rFonts w:hint="eastAsia"/>
                      <w:color w:val="auto"/>
                      <w:highlight w:val="none"/>
                    </w:rPr>
                    <w:t>切实减轻实验活动对生态环境的影响。鼓励各级教育科研、医疗卫生、检测机构在申请项目经费时，专门列支实验室危险废物等污染物处置费用。</w:t>
                  </w:r>
                </w:p>
              </w:tc>
              <w:tc>
                <w:tcPr>
                  <w:tcW w:w="1809" w:type="pct"/>
                  <w:tcBorders>
                    <w:tl2br w:val="nil"/>
                    <w:tr2bl w:val="nil"/>
                  </w:tcBorders>
                  <w:vAlign w:val="center"/>
                </w:tcPr>
                <w:p w14:paraId="69B7AE2C">
                  <w:pPr>
                    <w:pStyle w:val="41"/>
                    <w:rPr>
                      <w:rFonts w:hint="default" w:eastAsia="宋体"/>
                      <w:color w:val="auto"/>
                      <w:highlight w:val="none"/>
                      <w:lang w:val="en-US" w:eastAsia="zh-CN"/>
                    </w:rPr>
                  </w:pPr>
                  <w:r>
                    <w:rPr>
                      <w:rFonts w:hint="eastAsia"/>
                      <w:color w:val="auto"/>
                      <w:highlight w:val="none"/>
                      <w:lang w:val="en-US" w:eastAsia="zh-CN"/>
                    </w:rPr>
                    <w:t>企业制定内部操作流程，实验过程中严格控制原料取用，按需使用，减少报废量。根据实验需求进行采购，减少闲置量。项目建成后，企业需与有资质单位签订危废处置协议，确保危险废物妥善处置。</w:t>
                  </w:r>
                </w:p>
              </w:tc>
              <w:tc>
                <w:tcPr>
                  <w:tcW w:w="569" w:type="pct"/>
                  <w:tcBorders>
                    <w:tl2br w:val="nil"/>
                    <w:tr2bl w:val="nil"/>
                  </w:tcBorders>
                  <w:vAlign w:val="center"/>
                </w:tcPr>
                <w:p w14:paraId="6489CF82">
                  <w:pPr>
                    <w:pStyle w:val="41"/>
                    <w:rPr>
                      <w:rFonts w:hint="eastAsia" w:eastAsia="宋体"/>
                      <w:color w:val="auto"/>
                      <w:highlight w:val="none"/>
                      <w:lang w:val="en-US" w:eastAsia="zh-CN"/>
                    </w:rPr>
                  </w:pPr>
                  <w:r>
                    <w:rPr>
                      <w:rFonts w:hint="eastAsia"/>
                      <w:color w:val="auto"/>
                      <w:highlight w:val="none"/>
                      <w:lang w:val="en-US" w:eastAsia="zh-CN"/>
                    </w:rPr>
                    <w:t>相符</w:t>
                  </w:r>
                </w:p>
              </w:tc>
            </w:tr>
          </w:tbl>
          <w:p w14:paraId="03A9B0DC">
            <w:pPr>
              <w:pStyle w:val="41"/>
              <w:bidi w:val="0"/>
              <w:rPr>
                <w:rFonts w:hint="eastAsia"/>
                <w:lang w:val="en-US" w:eastAsia="zh-CN"/>
              </w:rPr>
            </w:pPr>
          </w:p>
          <w:p w14:paraId="1BD3FD40">
            <w:pPr>
              <w:keepNext w:val="0"/>
              <w:keepLines w:val="0"/>
              <w:pageBreakBefore w:val="0"/>
              <w:widowControl w:val="0"/>
              <w:numPr>
                <w:ilvl w:val="0"/>
                <w:numId w:val="0"/>
              </w:numPr>
              <w:tabs>
                <w:tab w:val="left" w:pos="420"/>
              </w:tabs>
              <w:kinsoku/>
              <w:wordWrap/>
              <w:overflowPunct/>
              <w:topLinePunct w:val="0"/>
              <w:autoSpaceDE/>
              <w:autoSpaceDN/>
              <w:bidi w:val="0"/>
              <w:adjustRightInd/>
              <w:snapToGrid w:val="0"/>
              <w:spacing w:line="460" w:lineRule="exact"/>
              <w:ind w:firstLine="480" w:firstLineChars="200"/>
              <w:jc w:val="both"/>
              <w:textAlignment w:val="auto"/>
              <w:rPr>
                <w:rFonts w:hint="eastAsia"/>
                <w:b/>
                <w:bCs/>
                <w:color w:val="auto"/>
                <w:highlight w:val="none"/>
              </w:rPr>
            </w:pPr>
            <w:r>
              <w:rPr>
                <w:rFonts w:hint="eastAsia"/>
                <w:color w:val="auto"/>
                <w:highlight w:val="none"/>
                <w:lang w:val="en-US" w:eastAsia="zh-CN"/>
              </w:rPr>
              <w:t>综上分析，本项目满足</w:t>
            </w:r>
            <w:r>
              <w:rPr>
                <w:rFonts w:hint="default"/>
                <w:color w:val="auto"/>
                <w:highlight w:val="none"/>
              </w:rPr>
              <w:t>（苏环办</w:t>
            </w:r>
            <w:r>
              <w:rPr>
                <w:rFonts w:hint="eastAsia"/>
                <w:color w:val="auto"/>
                <w:highlight w:val="none"/>
                <w:lang w:eastAsia="zh-CN"/>
              </w:rPr>
              <w:t>〔</w:t>
            </w:r>
            <w:r>
              <w:rPr>
                <w:rFonts w:hint="default"/>
                <w:color w:val="auto"/>
                <w:highlight w:val="none"/>
              </w:rPr>
              <w:t>2020</w:t>
            </w:r>
            <w:r>
              <w:rPr>
                <w:rFonts w:hint="eastAsia"/>
                <w:color w:val="auto"/>
                <w:highlight w:val="none"/>
                <w:lang w:eastAsia="zh-CN"/>
              </w:rPr>
              <w:t>〕</w:t>
            </w:r>
            <w:r>
              <w:rPr>
                <w:rFonts w:hint="default"/>
                <w:color w:val="auto"/>
                <w:highlight w:val="none"/>
              </w:rPr>
              <w:t>284号）</w:t>
            </w:r>
            <w:r>
              <w:rPr>
                <w:rFonts w:hint="eastAsia"/>
                <w:color w:val="auto"/>
                <w:highlight w:val="none"/>
                <w:lang w:val="en-US" w:eastAsia="zh-CN"/>
              </w:rPr>
              <w:t>要求。</w:t>
            </w:r>
          </w:p>
          <w:p w14:paraId="3541BE41">
            <w:pPr>
              <w:keepNext w:val="0"/>
              <w:keepLines w:val="0"/>
              <w:pageBreakBefore w:val="0"/>
              <w:widowControl w:val="0"/>
              <w:numPr>
                <w:ilvl w:val="0"/>
                <w:numId w:val="0"/>
              </w:numPr>
              <w:tabs>
                <w:tab w:val="left" w:pos="420"/>
              </w:tabs>
              <w:kinsoku/>
              <w:wordWrap/>
              <w:overflowPunct/>
              <w:topLinePunct w:val="0"/>
              <w:autoSpaceDE/>
              <w:autoSpaceDN/>
              <w:bidi w:val="0"/>
              <w:adjustRightInd/>
              <w:snapToGrid w:val="0"/>
              <w:spacing w:line="460" w:lineRule="exact"/>
              <w:ind w:firstLine="482" w:firstLineChars="200"/>
              <w:jc w:val="both"/>
              <w:textAlignment w:val="auto"/>
              <w:rPr>
                <w:b/>
                <w:bCs/>
                <w:color w:val="auto"/>
                <w:highlight w:val="none"/>
              </w:rPr>
            </w:pPr>
            <w:r>
              <w:rPr>
                <w:rFonts w:hint="eastAsia"/>
                <w:b/>
                <w:bCs/>
                <w:color w:val="auto"/>
                <w:highlight w:val="none"/>
                <w:lang w:val="en-US" w:eastAsia="zh-CN"/>
              </w:rPr>
              <w:t>4</w:t>
            </w:r>
            <w:r>
              <w:rPr>
                <w:rFonts w:hint="eastAsia"/>
                <w:b/>
                <w:bCs/>
                <w:color w:val="auto"/>
                <w:highlight w:val="none"/>
              </w:rPr>
              <w:t>）</w:t>
            </w:r>
            <w:r>
              <w:rPr>
                <w:b/>
                <w:bCs/>
                <w:color w:val="auto"/>
                <w:highlight w:val="none"/>
              </w:rPr>
              <w:t>委托利用或处置可行性分析</w:t>
            </w:r>
          </w:p>
          <w:p w14:paraId="572A9836">
            <w:pPr>
              <w:ind w:firstLine="480"/>
              <w:rPr>
                <w:rFonts w:hint="eastAsia"/>
                <w:color w:val="auto"/>
                <w:highlight w:val="none"/>
                <w:lang w:val="en-US" w:eastAsia="zh-CN"/>
              </w:rPr>
            </w:pPr>
            <w:r>
              <w:rPr>
                <w:color w:val="auto"/>
                <w:highlight w:val="none"/>
              </w:rPr>
              <w:t>本项目产生</w:t>
            </w:r>
            <w:r>
              <w:rPr>
                <w:rFonts w:hint="eastAsia"/>
                <w:color w:val="auto"/>
                <w:highlight w:val="none"/>
                <w:lang w:val="en-US" w:eastAsia="zh-CN"/>
              </w:rPr>
              <w:t>的危险废物</w:t>
            </w:r>
            <w:r>
              <w:rPr>
                <w:color w:val="auto"/>
                <w:highlight w:val="none"/>
              </w:rPr>
              <w:t>，均统一收集后委托有资质单位处理。</w:t>
            </w:r>
            <w:r>
              <w:rPr>
                <w:rFonts w:hint="eastAsia"/>
                <w:color w:val="auto"/>
                <w:highlight w:val="none"/>
                <w:lang w:val="en-US" w:eastAsia="zh-CN"/>
              </w:rPr>
              <w:t>企业已与南京伊环环境服务</w:t>
            </w:r>
            <w:r>
              <w:rPr>
                <w:color w:val="auto"/>
                <w:highlight w:val="none"/>
              </w:rPr>
              <w:t>有限公司</w:t>
            </w:r>
            <w:r>
              <w:rPr>
                <w:rFonts w:hint="eastAsia"/>
                <w:color w:val="auto"/>
                <w:highlight w:val="none"/>
                <w:lang w:val="en-US" w:eastAsia="zh-CN"/>
              </w:rPr>
              <w:t>签订危废处置协议（</w:t>
            </w:r>
            <w:r>
              <w:rPr>
                <w:rFonts w:hint="eastAsia"/>
                <w:color w:val="FF0000"/>
                <w:highlight w:val="none"/>
                <w:lang w:val="en-US" w:eastAsia="zh-CN"/>
              </w:rPr>
              <w:t>附件9</w:t>
            </w:r>
            <w:r>
              <w:rPr>
                <w:rFonts w:hint="eastAsia"/>
                <w:color w:val="auto"/>
                <w:highlight w:val="none"/>
                <w:lang w:val="en-US" w:eastAsia="zh-CN"/>
              </w:rPr>
              <w:t>），落实了危险废物的处置去向，本项目不新增危险废物种类，仍可将危险废物交由以上危废处置单位处置。</w:t>
            </w:r>
          </w:p>
          <w:p w14:paraId="5592E47B">
            <w:pPr>
              <w:keepNext w:val="0"/>
              <w:keepLines w:val="0"/>
              <w:pageBreakBefore w:val="0"/>
              <w:widowControl w:val="0"/>
              <w:numPr>
                <w:ilvl w:val="0"/>
                <w:numId w:val="0"/>
              </w:numPr>
              <w:tabs>
                <w:tab w:val="left" w:pos="420"/>
              </w:tabs>
              <w:kinsoku/>
              <w:wordWrap/>
              <w:overflowPunct/>
              <w:topLinePunct w:val="0"/>
              <w:autoSpaceDE/>
              <w:autoSpaceDN/>
              <w:bidi w:val="0"/>
              <w:adjustRightInd/>
              <w:snapToGrid w:val="0"/>
              <w:spacing w:line="460" w:lineRule="exact"/>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建设项目采取上述措施后，从危废产生、收集、贮存、运输和处置等全过程进行管理，对周围环境影响较小。</w:t>
            </w:r>
          </w:p>
          <w:p w14:paraId="18873A41">
            <w:pPr>
              <w:bidi w:val="0"/>
              <w:ind w:firstLine="482" w:firstLineChars="200"/>
              <w:rPr>
                <w:b/>
                <w:bCs/>
                <w:color w:val="auto"/>
                <w:highlight w:val="none"/>
              </w:rPr>
            </w:pPr>
            <w:r>
              <w:rPr>
                <w:rFonts w:hint="default"/>
                <w:b/>
                <w:bCs/>
                <w:color w:val="auto"/>
                <w:highlight w:val="none"/>
                <w:lang w:val="en-US" w:eastAsia="zh-CN"/>
              </w:rPr>
              <w:t>（</w:t>
            </w:r>
            <w:r>
              <w:rPr>
                <w:rFonts w:hint="eastAsia"/>
                <w:b/>
                <w:bCs/>
                <w:color w:val="auto"/>
                <w:highlight w:val="none"/>
                <w:lang w:val="en-US" w:eastAsia="zh-CN"/>
              </w:rPr>
              <w:t>5</w:t>
            </w:r>
            <w:r>
              <w:rPr>
                <w:rFonts w:hint="default"/>
                <w:b/>
                <w:bCs/>
                <w:color w:val="auto"/>
                <w:highlight w:val="none"/>
                <w:lang w:val="en-US" w:eastAsia="zh-CN"/>
              </w:rPr>
              <w:t>）</w:t>
            </w:r>
            <w:r>
              <w:rPr>
                <w:b/>
                <w:bCs/>
                <w:color w:val="auto"/>
                <w:highlight w:val="none"/>
              </w:rPr>
              <w:t>贮存场所（设施）污染防治措施</w:t>
            </w:r>
          </w:p>
          <w:p w14:paraId="0AB9D9DC">
            <w:pPr>
              <w:bidi w:val="0"/>
              <w:ind w:firstLine="482" w:firstLineChars="200"/>
              <w:rPr>
                <w:b/>
                <w:bCs/>
                <w:color w:val="auto"/>
                <w:highlight w:val="none"/>
              </w:rPr>
            </w:pPr>
            <w:r>
              <w:rPr>
                <w:rFonts w:hint="default"/>
                <w:b/>
                <w:bCs/>
                <w:color w:val="auto"/>
                <w:highlight w:val="none"/>
                <w:lang w:val="en-US" w:eastAsia="zh-CN"/>
              </w:rPr>
              <w:t>1</w:t>
            </w:r>
            <w:r>
              <w:rPr>
                <w:rFonts w:hint="eastAsia"/>
                <w:b/>
                <w:bCs/>
                <w:color w:val="auto"/>
                <w:highlight w:val="none"/>
                <w:lang w:val="en-US" w:eastAsia="zh-CN"/>
              </w:rPr>
              <w:t>）</w:t>
            </w:r>
            <w:r>
              <w:rPr>
                <w:b/>
                <w:bCs/>
                <w:color w:val="auto"/>
                <w:highlight w:val="none"/>
              </w:rPr>
              <w:t>一般固废</w:t>
            </w:r>
          </w:p>
          <w:p w14:paraId="0B3BDCA7">
            <w:pPr>
              <w:bidi w:val="0"/>
              <w:ind w:firstLine="480" w:firstLineChars="200"/>
              <w:rPr>
                <w:color w:val="auto"/>
                <w:highlight w:val="none"/>
              </w:rPr>
            </w:pPr>
            <w:r>
              <w:rPr>
                <w:rFonts w:hint="eastAsia"/>
                <w:color w:val="auto"/>
                <w:highlight w:val="none"/>
                <w:lang w:val="en-US" w:eastAsia="zh-CN"/>
              </w:rPr>
              <w:t>本</w:t>
            </w:r>
            <w:r>
              <w:rPr>
                <w:color w:val="auto"/>
                <w:highlight w:val="none"/>
              </w:rPr>
              <w:t>项目一般工业固废按照相关要求分类收集贮存，暂存场所满足</w:t>
            </w:r>
            <w:r>
              <w:rPr>
                <w:rFonts w:hint="eastAsia"/>
                <w:color w:val="auto"/>
                <w:highlight w:val="none"/>
              </w:rPr>
              <w:t>相应防渗漏、防雨淋、防扬尘等环境保护要求。</w:t>
            </w:r>
          </w:p>
          <w:p w14:paraId="7E793D40">
            <w:pPr>
              <w:bidi w:val="0"/>
              <w:ind w:firstLine="480" w:firstLineChars="200"/>
              <w:rPr>
                <w:color w:val="auto"/>
                <w:highlight w:val="none"/>
              </w:rPr>
            </w:pPr>
            <w:r>
              <w:rPr>
                <w:rFonts w:hint="default"/>
                <w:color w:val="auto"/>
                <w:highlight w:val="none"/>
              </w:rPr>
              <w:t>Ⅰ</w:t>
            </w:r>
            <w:r>
              <w:rPr>
                <w:color w:val="auto"/>
                <w:highlight w:val="none"/>
              </w:rPr>
              <w:t>、贮存、处置场的建设类型与堆放的一般工业固体废物的类别相一致。</w:t>
            </w:r>
          </w:p>
          <w:p w14:paraId="2F006F90">
            <w:pPr>
              <w:bidi w:val="0"/>
              <w:ind w:firstLine="480" w:firstLineChars="200"/>
              <w:rPr>
                <w:color w:val="auto"/>
                <w:highlight w:val="none"/>
              </w:rPr>
            </w:pPr>
            <w:r>
              <w:rPr>
                <w:rFonts w:hint="default"/>
                <w:color w:val="auto"/>
                <w:highlight w:val="none"/>
              </w:rPr>
              <w:t>Ⅱ</w:t>
            </w:r>
            <w:r>
              <w:rPr>
                <w:color w:val="auto"/>
                <w:highlight w:val="none"/>
              </w:rPr>
              <w:t>、</w:t>
            </w:r>
            <w:r>
              <w:rPr>
                <w:rFonts w:hint="eastAsia"/>
                <w:color w:val="auto"/>
                <w:highlight w:val="none"/>
                <w:lang w:val="en-US" w:eastAsia="zh-CN"/>
              </w:rPr>
              <w:t>企业已</w:t>
            </w:r>
            <w:r>
              <w:rPr>
                <w:color w:val="auto"/>
                <w:highlight w:val="none"/>
              </w:rPr>
              <w:t>建立档案制度</w:t>
            </w:r>
            <w:r>
              <w:rPr>
                <w:rFonts w:hint="eastAsia"/>
                <w:color w:val="auto"/>
                <w:highlight w:val="none"/>
                <w:lang w:eastAsia="zh-CN"/>
              </w:rPr>
              <w:t>，</w:t>
            </w:r>
            <w:r>
              <w:rPr>
                <w:color w:val="auto"/>
                <w:highlight w:val="none"/>
              </w:rPr>
              <w:t>入场</w:t>
            </w:r>
            <w:r>
              <w:rPr>
                <w:rFonts w:hint="eastAsia"/>
                <w:color w:val="auto"/>
                <w:highlight w:val="none"/>
                <w:lang w:val="en-US" w:eastAsia="zh-CN"/>
              </w:rPr>
              <w:t>贮存</w:t>
            </w:r>
            <w:r>
              <w:rPr>
                <w:color w:val="auto"/>
                <w:highlight w:val="none"/>
              </w:rPr>
              <w:t>的一般工业固体废物的种类</w:t>
            </w:r>
            <w:r>
              <w:rPr>
                <w:rFonts w:hint="eastAsia"/>
                <w:color w:val="auto"/>
                <w:highlight w:val="none"/>
                <w:lang w:eastAsia="zh-CN"/>
              </w:rPr>
              <w:t>、</w:t>
            </w:r>
            <w:r>
              <w:rPr>
                <w:color w:val="auto"/>
                <w:highlight w:val="none"/>
              </w:rPr>
              <w:t>数量详细记录在案，长期保存，供随时查阅。</w:t>
            </w:r>
          </w:p>
          <w:p w14:paraId="101B9C1C">
            <w:pPr>
              <w:bidi w:val="0"/>
              <w:ind w:firstLine="482" w:firstLineChars="200"/>
              <w:rPr>
                <w:rFonts w:hint="default"/>
                <w:b/>
                <w:bCs/>
                <w:color w:val="auto"/>
                <w:highlight w:val="none"/>
                <w:lang w:val="en-US" w:eastAsia="zh-CN"/>
              </w:rPr>
            </w:pPr>
            <w:r>
              <w:rPr>
                <w:rFonts w:hint="default"/>
                <w:b/>
                <w:bCs/>
                <w:color w:val="auto"/>
                <w:highlight w:val="none"/>
                <w:lang w:val="en-US" w:eastAsia="zh-CN"/>
              </w:rPr>
              <w:t>2</w:t>
            </w:r>
            <w:r>
              <w:rPr>
                <w:rFonts w:hint="eastAsia"/>
                <w:b/>
                <w:bCs/>
                <w:color w:val="auto"/>
                <w:highlight w:val="none"/>
                <w:lang w:val="en-US" w:eastAsia="zh-CN"/>
              </w:rPr>
              <w:t>）</w:t>
            </w:r>
            <w:r>
              <w:rPr>
                <w:rFonts w:hint="default"/>
                <w:b/>
                <w:bCs/>
                <w:color w:val="auto"/>
                <w:highlight w:val="none"/>
                <w:lang w:val="en-US" w:eastAsia="zh-CN"/>
              </w:rPr>
              <w:t>危险固废</w:t>
            </w:r>
          </w:p>
          <w:p w14:paraId="64E568AD">
            <w:pPr>
              <w:bidi w:val="0"/>
              <w:ind w:firstLine="480" w:firstLineChars="200"/>
              <w:rPr>
                <w:color w:val="auto"/>
                <w:highlight w:val="none"/>
              </w:rPr>
            </w:pPr>
            <w:r>
              <w:rPr>
                <w:rFonts w:hint="eastAsia"/>
                <w:color w:val="auto"/>
                <w:highlight w:val="none"/>
                <w:lang w:val="en-US" w:eastAsia="zh-CN"/>
              </w:rPr>
              <w:t>企业危废暂存点按照《</w:t>
            </w:r>
            <w:r>
              <w:rPr>
                <w:color w:val="auto"/>
                <w:highlight w:val="none"/>
                <w:lang w:val="en-US" w:eastAsia="zh-CN"/>
              </w:rPr>
              <w:t>危险废物贮存污染控制标准</w:t>
            </w:r>
            <w:r>
              <w:rPr>
                <w:rFonts w:hint="eastAsia"/>
                <w:color w:val="auto"/>
                <w:highlight w:val="none"/>
                <w:lang w:val="en-US" w:eastAsia="zh-CN"/>
              </w:rPr>
              <w:t>》（</w:t>
            </w:r>
            <w:r>
              <w:rPr>
                <w:rFonts w:hint="eastAsia"/>
                <w:color w:val="auto"/>
                <w:highlight w:val="none"/>
              </w:rPr>
              <w:t>GB18597</w:t>
            </w:r>
            <w:r>
              <w:rPr>
                <w:rFonts w:hint="eastAsia"/>
                <w:color w:val="auto"/>
                <w:highlight w:val="none"/>
                <w:lang w:val="en-US" w:eastAsia="zh-CN"/>
              </w:rPr>
              <w:t>-</w:t>
            </w:r>
            <w:r>
              <w:rPr>
                <w:rFonts w:hint="eastAsia"/>
                <w:color w:val="auto"/>
                <w:highlight w:val="none"/>
              </w:rPr>
              <w:t>2023</w:t>
            </w:r>
            <w:r>
              <w:rPr>
                <w:rFonts w:hint="eastAsia"/>
                <w:color w:val="auto"/>
                <w:highlight w:val="none"/>
                <w:lang w:val="en-US" w:eastAsia="zh-CN"/>
              </w:rPr>
              <w:t>）建设，具体要求如下</w:t>
            </w:r>
            <w:r>
              <w:rPr>
                <w:rFonts w:hint="default"/>
                <w:color w:val="auto"/>
                <w:highlight w:val="none"/>
                <w:lang w:val="en-US" w:eastAsia="zh-CN"/>
              </w:rPr>
              <w:t>：</w:t>
            </w:r>
          </w:p>
          <w:p w14:paraId="678642C3">
            <w:pPr>
              <w:bidi w:val="0"/>
              <w:ind w:firstLine="480" w:firstLineChars="200"/>
              <w:rPr>
                <w:rFonts w:hint="default"/>
                <w:color w:val="auto"/>
                <w:highlight w:val="none"/>
              </w:rPr>
            </w:pPr>
            <w:r>
              <w:rPr>
                <w:rFonts w:hint="eastAsia"/>
                <w:color w:val="auto"/>
                <w:highlight w:val="none"/>
                <w:lang w:val="en-US" w:eastAsia="zh-CN"/>
              </w:rPr>
              <w:t>①</w:t>
            </w:r>
            <w:r>
              <w:rPr>
                <w:rFonts w:hint="default"/>
                <w:color w:val="auto"/>
                <w:highlight w:val="none"/>
              </w:rPr>
              <w:t>贮存点应具有固定的区域边界，并应采取与其他区域进行隔离的措施。</w:t>
            </w:r>
          </w:p>
          <w:p w14:paraId="0BD73EAD">
            <w:pPr>
              <w:bidi w:val="0"/>
              <w:ind w:firstLine="480" w:firstLineChars="200"/>
              <w:rPr>
                <w:rFonts w:hint="default"/>
                <w:color w:val="auto"/>
                <w:highlight w:val="none"/>
              </w:rPr>
            </w:pPr>
            <w:r>
              <w:rPr>
                <w:rFonts w:hint="eastAsia"/>
                <w:color w:val="auto"/>
                <w:highlight w:val="none"/>
                <w:lang w:val="en-US" w:eastAsia="zh-CN"/>
              </w:rPr>
              <w:t>②</w:t>
            </w:r>
            <w:r>
              <w:rPr>
                <w:rFonts w:hint="default"/>
                <w:color w:val="auto"/>
                <w:highlight w:val="none"/>
              </w:rPr>
              <w:t>贮存点应采取防风、防雨、防晒和防止危险废物流失、扬散等措施。</w:t>
            </w:r>
          </w:p>
          <w:p w14:paraId="272B88E9">
            <w:pPr>
              <w:bidi w:val="0"/>
              <w:ind w:firstLine="480" w:firstLineChars="200"/>
              <w:rPr>
                <w:rFonts w:hint="default"/>
                <w:color w:val="auto"/>
                <w:highlight w:val="none"/>
              </w:rPr>
            </w:pPr>
            <w:r>
              <w:rPr>
                <w:rFonts w:hint="eastAsia"/>
                <w:color w:val="auto"/>
                <w:highlight w:val="none"/>
                <w:lang w:val="en-US" w:eastAsia="zh-CN"/>
              </w:rPr>
              <w:t>③</w:t>
            </w:r>
            <w:r>
              <w:rPr>
                <w:rFonts w:hint="default"/>
                <w:color w:val="auto"/>
                <w:highlight w:val="none"/>
              </w:rPr>
              <w:t>贮存点贮存的危险废物应置于容器或包装物中，不应直接散堆。</w:t>
            </w:r>
          </w:p>
          <w:p w14:paraId="46573E09">
            <w:pPr>
              <w:bidi w:val="0"/>
              <w:ind w:firstLine="480" w:firstLineChars="200"/>
              <w:rPr>
                <w:rFonts w:hint="default"/>
                <w:color w:val="auto"/>
                <w:highlight w:val="none"/>
              </w:rPr>
            </w:pPr>
            <w:r>
              <w:rPr>
                <w:rFonts w:hint="eastAsia"/>
                <w:color w:val="auto"/>
                <w:highlight w:val="none"/>
                <w:lang w:val="en-US" w:eastAsia="zh-CN"/>
              </w:rPr>
              <w:t>④</w:t>
            </w:r>
            <w:r>
              <w:rPr>
                <w:rFonts w:hint="default"/>
                <w:color w:val="auto"/>
                <w:highlight w:val="none"/>
              </w:rPr>
              <w:t>贮存点应根据危险废物的形态、物理化学性质、包装形式等，采取防渗、防漏等污染防治措施或采用具有相应功能的装置。</w:t>
            </w:r>
          </w:p>
          <w:p w14:paraId="1069B17D">
            <w:pPr>
              <w:bidi w:val="0"/>
              <w:ind w:firstLine="480" w:firstLineChars="200"/>
              <w:rPr>
                <w:color w:val="auto"/>
                <w:highlight w:val="none"/>
              </w:rPr>
            </w:pPr>
            <w:r>
              <w:rPr>
                <w:rFonts w:hint="eastAsia"/>
                <w:color w:val="auto"/>
                <w:highlight w:val="none"/>
                <w:lang w:val="en-US" w:eastAsia="zh-CN"/>
              </w:rPr>
              <w:t>⑤</w:t>
            </w:r>
            <w:r>
              <w:rPr>
                <w:rFonts w:hint="default"/>
                <w:color w:val="auto"/>
                <w:highlight w:val="none"/>
              </w:rPr>
              <w:t>贮存点应及时清运贮存的危险废物，实时贮存量不应超过3吨。</w:t>
            </w:r>
          </w:p>
          <w:p w14:paraId="6D75D088">
            <w:pPr>
              <w:bidi w:val="0"/>
              <w:ind w:firstLine="482" w:firstLineChars="200"/>
              <w:rPr>
                <w:b/>
                <w:bCs/>
                <w:color w:val="auto"/>
                <w:highlight w:val="none"/>
              </w:rPr>
            </w:pPr>
            <w:r>
              <w:rPr>
                <w:rFonts w:hint="eastAsia"/>
                <w:b/>
                <w:bCs/>
                <w:color w:val="auto"/>
                <w:highlight w:val="none"/>
              </w:rPr>
              <w:t>（</w:t>
            </w:r>
            <w:r>
              <w:rPr>
                <w:rFonts w:hint="eastAsia"/>
                <w:b/>
                <w:bCs/>
                <w:color w:val="auto"/>
                <w:highlight w:val="none"/>
                <w:lang w:val="en-US" w:eastAsia="zh-CN"/>
              </w:rPr>
              <w:t>6</w:t>
            </w:r>
            <w:r>
              <w:rPr>
                <w:rFonts w:hint="eastAsia"/>
                <w:b/>
                <w:bCs/>
                <w:color w:val="auto"/>
                <w:highlight w:val="none"/>
              </w:rPr>
              <w:t>）危险废物环境风险评价</w:t>
            </w:r>
          </w:p>
          <w:p w14:paraId="3782FC7B">
            <w:pPr>
              <w:bidi w:val="0"/>
              <w:ind w:firstLine="482" w:firstLineChars="200"/>
              <w:rPr>
                <w:color w:val="auto"/>
                <w:highlight w:val="none"/>
              </w:rPr>
            </w:pPr>
            <w:r>
              <w:rPr>
                <w:b/>
                <w:bCs/>
                <w:color w:val="auto"/>
                <w:highlight w:val="none"/>
              </w:rPr>
              <w:t>1</w:t>
            </w:r>
            <w:r>
              <w:rPr>
                <w:rFonts w:hint="eastAsia"/>
                <w:b/>
                <w:bCs/>
                <w:color w:val="auto"/>
                <w:highlight w:val="none"/>
              </w:rPr>
              <w:t>）对环境空气的影响：</w:t>
            </w:r>
          </w:p>
          <w:p w14:paraId="19FCD713">
            <w:pPr>
              <w:bidi w:val="0"/>
              <w:ind w:firstLine="480" w:firstLineChars="200"/>
              <w:rPr>
                <w:color w:val="auto"/>
                <w:highlight w:val="none"/>
              </w:rPr>
            </w:pPr>
            <w:r>
              <w:rPr>
                <w:rFonts w:hint="eastAsia"/>
                <w:color w:val="auto"/>
                <w:highlight w:val="none"/>
              </w:rPr>
              <w:t>本项目危险废物均以密封的包装贮存，有效减少挥发性物质对环境空气的影响。</w:t>
            </w:r>
          </w:p>
          <w:p w14:paraId="05878873">
            <w:pPr>
              <w:bidi w:val="0"/>
              <w:ind w:firstLine="482" w:firstLineChars="200"/>
              <w:rPr>
                <w:b/>
                <w:bCs/>
                <w:color w:val="auto"/>
                <w:highlight w:val="none"/>
              </w:rPr>
            </w:pPr>
            <w:r>
              <w:rPr>
                <w:b/>
                <w:bCs/>
                <w:color w:val="auto"/>
                <w:highlight w:val="none"/>
              </w:rPr>
              <w:t>2</w:t>
            </w:r>
            <w:r>
              <w:rPr>
                <w:rFonts w:hint="eastAsia"/>
                <w:b/>
                <w:bCs/>
                <w:color w:val="auto"/>
                <w:highlight w:val="none"/>
              </w:rPr>
              <w:t>）对地表水的影响：</w:t>
            </w:r>
          </w:p>
          <w:p w14:paraId="232BCF26">
            <w:pPr>
              <w:bidi w:val="0"/>
              <w:ind w:firstLine="480" w:firstLineChars="200"/>
              <w:rPr>
                <w:color w:val="auto"/>
                <w:highlight w:val="none"/>
              </w:rPr>
            </w:pPr>
            <w:r>
              <w:rPr>
                <w:rFonts w:hint="eastAsia"/>
                <w:color w:val="auto"/>
                <w:highlight w:val="none"/>
                <w:lang w:val="en-US" w:eastAsia="zh-CN"/>
              </w:rPr>
              <w:t>危废暂存点</w:t>
            </w:r>
            <w:r>
              <w:rPr>
                <w:rFonts w:hint="eastAsia"/>
                <w:color w:val="auto"/>
                <w:highlight w:val="none"/>
              </w:rPr>
              <w:t>具有防雨、防漏、防渗措施，当事故发生时，不会产生废液进入厂区雨水系统，对周边地表水产生不良影响。</w:t>
            </w:r>
          </w:p>
          <w:p w14:paraId="76DE8714">
            <w:pPr>
              <w:bidi w:val="0"/>
              <w:ind w:firstLine="482" w:firstLineChars="200"/>
              <w:rPr>
                <w:b/>
                <w:bCs/>
                <w:color w:val="auto"/>
                <w:highlight w:val="none"/>
              </w:rPr>
            </w:pPr>
            <w:r>
              <w:rPr>
                <w:b/>
                <w:bCs/>
                <w:color w:val="auto"/>
                <w:highlight w:val="none"/>
              </w:rPr>
              <w:t>3</w:t>
            </w:r>
            <w:r>
              <w:rPr>
                <w:rFonts w:hint="eastAsia"/>
                <w:b/>
                <w:bCs/>
                <w:color w:val="auto"/>
                <w:highlight w:val="none"/>
              </w:rPr>
              <w:t>）对地下水的影响：</w:t>
            </w:r>
          </w:p>
          <w:p w14:paraId="7CB10225">
            <w:pPr>
              <w:bidi w:val="0"/>
              <w:ind w:firstLine="480" w:firstLineChars="200"/>
              <w:rPr>
                <w:color w:val="auto"/>
                <w:highlight w:val="none"/>
              </w:rPr>
            </w:pPr>
            <w:r>
              <w:rPr>
                <w:rFonts w:hint="eastAsia"/>
                <w:color w:val="auto"/>
                <w:highlight w:val="none"/>
                <w:lang w:val="en-US" w:eastAsia="zh-CN"/>
              </w:rPr>
              <w:t>危废暂存点</w:t>
            </w:r>
            <w:r>
              <w:rPr>
                <w:rFonts w:hint="eastAsia"/>
                <w:color w:val="auto"/>
                <w:highlight w:val="none"/>
              </w:rPr>
              <w:t>应按照《危险废物贮存污染控制标准》（GB18597-20</w:t>
            </w:r>
            <w:r>
              <w:rPr>
                <w:color w:val="auto"/>
                <w:highlight w:val="none"/>
              </w:rPr>
              <w:t>23</w:t>
            </w:r>
            <w:r>
              <w:rPr>
                <w:rFonts w:hint="eastAsia"/>
                <w:color w:val="auto"/>
                <w:highlight w:val="none"/>
              </w:rPr>
              <w:t>）要求，进行防腐、防渗，暂存场所地面铺设等效2mm厚高密度聚乙烯防渗层，渗透系数≤10</w:t>
            </w:r>
            <w:r>
              <w:rPr>
                <w:color w:val="auto"/>
                <w:highlight w:val="none"/>
                <w:vertAlign w:val="superscript"/>
              </w:rPr>
              <w:t>-10</w:t>
            </w:r>
            <w:r>
              <w:rPr>
                <w:color w:val="auto"/>
                <w:highlight w:val="none"/>
              </w:rPr>
              <w:t>cm/s</w:t>
            </w:r>
            <w:r>
              <w:rPr>
                <w:rFonts w:hint="eastAsia"/>
                <w:color w:val="auto"/>
                <w:highlight w:val="none"/>
              </w:rPr>
              <w:t>，</w:t>
            </w:r>
            <w:r>
              <w:rPr>
                <w:rFonts w:hint="eastAsia"/>
                <w:color w:val="auto"/>
                <w:highlight w:val="none"/>
                <w:lang w:val="en-US" w:eastAsia="zh-CN"/>
              </w:rPr>
              <w:t>设置</w:t>
            </w:r>
            <w:r>
              <w:rPr>
                <w:rFonts w:hint="eastAsia"/>
                <w:color w:val="auto"/>
                <w:highlight w:val="none"/>
              </w:rPr>
              <w:t>集液托盘，正常情况下不会泄漏至室外污染土壤和地下水，不会对区域地下水环境产生影响。</w:t>
            </w:r>
          </w:p>
          <w:p w14:paraId="47B9046A">
            <w:pPr>
              <w:bidi w:val="0"/>
              <w:ind w:firstLine="482" w:firstLineChars="200"/>
              <w:rPr>
                <w:color w:val="auto"/>
                <w:highlight w:val="none"/>
              </w:rPr>
            </w:pPr>
            <w:r>
              <w:rPr>
                <w:b/>
                <w:bCs/>
                <w:color w:val="auto"/>
                <w:highlight w:val="none"/>
              </w:rPr>
              <w:t>4</w:t>
            </w:r>
            <w:r>
              <w:rPr>
                <w:rFonts w:hint="eastAsia"/>
                <w:b/>
                <w:bCs/>
                <w:color w:val="auto"/>
                <w:highlight w:val="none"/>
              </w:rPr>
              <w:t>）对环境敏感保护目标的影响：</w:t>
            </w:r>
          </w:p>
          <w:p w14:paraId="757C899A">
            <w:pPr>
              <w:bidi w:val="0"/>
              <w:ind w:firstLine="480" w:firstLineChars="200"/>
              <w:rPr>
                <w:color w:val="auto"/>
                <w:highlight w:val="none"/>
              </w:rPr>
            </w:pPr>
            <w:r>
              <w:rPr>
                <w:rFonts w:hint="eastAsia"/>
                <w:color w:val="auto"/>
                <w:highlight w:val="none"/>
              </w:rPr>
              <w:t>本项目暂存的危险废物都按要求妥善保管，暂存场地地面按控制标准的要求做了防渗漏处理，一旦发生泄漏事故及时采取控制措施，环境风险水平在可控制范围内。</w:t>
            </w:r>
          </w:p>
          <w:p w14:paraId="3F577E80">
            <w:pPr>
              <w:bidi w:val="0"/>
              <w:ind w:firstLine="480" w:firstLineChars="200"/>
              <w:rPr>
                <w:color w:val="auto"/>
                <w:highlight w:val="none"/>
              </w:rPr>
            </w:pPr>
            <w:r>
              <w:rPr>
                <w:rFonts w:hint="eastAsia"/>
                <w:color w:val="auto"/>
                <w:highlight w:val="none"/>
              </w:rPr>
              <w:t>综上，本项目危废发生少量泄漏事件，可及时收集，能及时处置，影响不会扩散，能够控制厂区内，环境风险可接受。</w:t>
            </w:r>
          </w:p>
          <w:p w14:paraId="56B231DE">
            <w:pPr>
              <w:keepNext w:val="0"/>
              <w:keepLines w:val="0"/>
              <w:pageBreakBefore w:val="0"/>
              <w:widowControl w:val="0"/>
              <w:numPr>
                <w:ilvl w:val="0"/>
                <w:numId w:val="0"/>
              </w:numPr>
              <w:tabs>
                <w:tab w:val="left" w:pos="420"/>
              </w:tabs>
              <w:kinsoku/>
              <w:wordWrap/>
              <w:overflowPunct/>
              <w:topLinePunct w:val="0"/>
              <w:autoSpaceDE/>
              <w:autoSpaceDN/>
              <w:bidi w:val="0"/>
              <w:adjustRightInd/>
              <w:snapToGrid w:val="0"/>
              <w:spacing w:line="460" w:lineRule="exact"/>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color w:val="auto"/>
                <w:highlight w:val="none"/>
              </w:rPr>
              <w:t>综上所述，本项目产生的固体废物均得到合理处置，不会产生二次污染，对周围环境影响较小</w:t>
            </w:r>
            <w:r>
              <w:rPr>
                <w:rFonts w:hint="eastAsia"/>
                <w:color w:val="auto"/>
                <w:highlight w:val="none"/>
              </w:rPr>
              <w:t>。</w:t>
            </w:r>
          </w:p>
          <w:p w14:paraId="57E87C80">
            <w:pPr>
              <w:keepNext w:val="0"/>
              <w:keepLines w:val="0"/>
              <w:pageBreakBefore w:val="0"/>
              <w:widowControl w:val="0"/>
              <w:kinsoku/>
              <w:wordWrap/>
              <w:overflowPunct/>
              <w:topLinePunct w:val="0"/>
              <w:bidi w:val="0"/>
              <w:snapToGrid/>
              <w:spacing w:line="460" w:lineRule="exact"/>
              <w:ind w:firstLine="482" w:firstLineChars="200"/>
              <w:textAlignment w:val="auto"/>
              <w:rPr>
                <w:b/>
                <w:bCs/>
                <w:color w:val="auto"/>
                <w:sz w:val="24"/>
                <w:highlight w:val="none"/>
              </w:rPr>
            </w:pPr>
            <w:r>
              <w:rPr>
                <w:b/>
                <w:bCs/>
                <w:color w:val="auto"/>
                <w:sz w:val="24"/>
                <w:highlight w:val="none"/>
              </w:rPr>
              <w:t>5、地下水</w:t>
            </w:r>
            <w:r>
              <w:rPr>
                <w:rFonts w:hint="eastAsia"/>
                <w:b/>
                <w:bCs/>
                <w:color w:val="auto"/>
                <w:sz w:val="24"/>
                <w:highlight w:val="none"/>
              </w:rPr>
              <w:t>、</w:t>
            </w:r>
            <w:r>
              <w:rPr>
                <w:b/>
                <w:bCs/>
                <w:color w:val="auto"/>
                <w:sz w:val="24"/>
                <w:highlight w:val="none"/>
              </w:rPr>
              <w:t>土壤环境影响分析</w:t>
            </w:r>
          </w:p>
          <w:p w14:paraId="12699139">
            <w:pPr>
              <w:keepNext w:val="0"/>
              <w:keepLines w:val="0"/>
              <w:pageBreakBefore w:val="0"/>
              <w:widowControl w:val="0"/>
              <w:kinsoku/>
              <w:wordWrap/>
              <w:overflowPunct/>
              <w:topLinePunct w:val="0"/>
              <w:bidi w:val="0"/>
              <w:snapToGrid/>
              <w:spacing w:line="460" w:lineRule="exact"/>
              <w:ind w:firstLine="482" w:firstLineChars="200"/>
              <w:textAlignment w:val="auto"/>
              <w:rPr>
                <w:color w:val="auto"/>
                <w:sz w:val="24"/>
                <w:highlight w:val="none"/>
              </w:rPr>
            </w:pPr>
            <w:bookmarkStart w:id="57" w:name="_Hlk58946322"/>
            <w:r>
              <w:rPr>
                <w:rFonts w:hint="eastAsia"/>
                <w:b/>
                <w:bCs/>
                <w:color w:val="auto"/>
                <w:sz w:val="24"/>
                <w:highlight w:val="none"/>
              </w:rPr>
              <w:t>（1）污染源分析</w:t>
            </w:r>
          </w:p>
          <w:p w14:paraId="7E19212D">
            <w:pPr>
              <w:keepNext w:val="0"/>
              <w:keepLines w:val="0"/>
              <w:pageBreakBefore w:val="0"/>
              <w:widowControl w:val="0"/>
              <w:kinsoku/>
              <w:wordWrap/>
              <w:overflowPunct/>
              <w:topLinePunct w:val="0"/>
              <w:autoSpaceDE/>
              <w:autoSpaceDN/>
              <w:bidi w:val="0"/>
              <w:adjustRightInd/>
              <w:spacing w:line="460" w:lineRule="exact"/>
              <w:ind w:left="0" w:firstLine="480" w:firstLineChars="200"/>
              <w:textAlignment w:val="auto"/>
              <w:rPr>
                <w:color w:val="auto"/>
                <w:sz w:val="24"/>
                <w:highlight w:val="none"/>
              </w:rPr>
            </w:pPr>
            <w:r>
              <w:rPr>
                <w:rFonts w:hint="default" w:ascii="Times New Roman" w:hAnsi="Times New Roman" w:cs="Times New Roman"/>
                <w:color w:val="auto"/>
                <w:sz w:val="24"/>
                <w:highlight w:val="none"/>
                <w:lang w:val="en-US" w:eastAsia="zh-CN"/>
              </w:rPr>
              <w:t>本</w:t>
            </w:r>
            <w:r>
              <w:rPr>
                <w:rFonts w:hint="default" w:ascii="Times New Roman" w:hAnsi="Times New Roman" w:cs="Times New Roman"/>
                <w:color w:val="auto"/>
                <w:sz w:val="24"/>
                <w:highlight w:val="none"/>
                <w:lang w:eastAsia="zh-CN"/>
              </w:rPr>
              <w:t>项目实验室位于</w:t>
            </w:r>
            <w:r>
              <w:rPr>
                <w:rFonts w:hint="eastAsia" w:ascii="Times New Roman" w:hAnsi="Times New Roman" w:cs="Times New Roman"/>
                <w:color w:val="auto"/>
                <w:sz w:val="24"/>
                <w:highlight w:val="none"/>
                <w:lang w:val="en-US" w:eastAsia="zh-CN"/>
              </w:rPr>
              <w:t>7F-17F</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highlight w:val="none"/>
              </w:rPr>
              <w:t>不会对土壤和地下水产生直接影响</w:t>
            </w:r>
            <w:r>
              <w:rPr>
                <w:rFonts w:hint="eastAsia" w:ascii="Times New Roman" w:hAnsi="Times New Roman" w:cs="Times New Roman"/>
                <w:color w:val="auto"/>
                <w:highlight w:val="none"/>
                <w:lang w:eastAsia="zh-CN"/>
              </w:rPr>
              <w:t>，</w:t>
            </w:r>
            <w:r>
              <w:rPr>
                <w:rFonts w:hint="default" w:ascii="Times New Roman" w:hAnsi="Times New Roman" w:cs="Times New Roman"/>
                <w:color w:val="auto"/>
                <w:sz w:val="24"/>
                <w:highlight w:val="none"/>
                <w:lang w:eastAsia="zh-CN"/>
              </w:rPr>
              <w:t>不存在地下水、土壤环境污染途径。</w:t>
            </w:r>
            <w:r>
              <w:rPr>
                <w:rFonts w:hint="eastAsia"/>
                <w:color w:val="auto"/>
                <w:sz w:val="24"/>
                <w:highlight w:val="none"/>
                <w:lang w:val="en-US" w:eastAsia="zh-CN"/>
              </w:rPr>
              <w:t>但企业需</w:t>
            </w:r>
            <w:r>
              <w:rPr>
                <w:color w:val="auto"/>
                <w:sz w:val="24"/>
                <w:highlight w:val="none"/>
              </w:rPr>
              <w:t>根据场地防污性能、污染控制难易程度和污染物特性对</w:t>
            </w:r>
            <w:r>
              <w:rPr>
                <w:rFonts w:hint="eastAsia"/>
                <w:color w:val="auto"/>
                <w:sz w:val="24"/>
                <w:highlight w:val="none"/>
              </w:rPr>
              <w:t>本项目所在场地</w:t>
            </w:r>
            <w:r>
              <w:rPr>
                <w:color w:val="auto"/>
                <w:sz w:val="24"/>
                <w:highlight w:val="none"/>
              </w:rPr>
              <w:t>进行分区防渗。</w:t>
            </w:r>
          </w:p>
          <w:bookmarkEnd w:id="57"/>
          <w:p w14:paraId="64C578E3">
            <w:pPr>
              <w:keepNext w:val="0"/>
              <w:keepLines w:val="0"/>
              <w:pageBreakBefore w:val="0"/>
              <w:widowControl w:val="0"/>
              <w:kinsoku/>
              <w:wordWrap/>
              <w:overflowPunct/>
              <w:topLinePunct w:val="0"/>
              <w:autoSpaceDE/>
              <w:autoSpaceDN/>
              <w:bidi w:val="0"/>
              <w:adjustRightInd/>
              <w:spacing w:line="460" w:lineRule="exact"/>
              <w:ind w:left="0" w:firstLine="482" w:firstLineChars="200"/>
              <w:textAlignment w:val="auto"/>
              <w:rPr>
                <w:b/>
                <w:bCs/>
                <w:color w:val="auto"/>
                <w:sz w:val="24"/>
                <w:highlight w:val="none"/>
              </w:rPr>
            </w:pPr>
            <w:r>
              <w:rPr>
                <w:rFonts w:hint="eastAsia"/>
                <w:b/>
                <w:bCs/>
                <w:color w:val="auto"/>
                <w:sz w:val="24"/>
                <w:highlight w:val="none"/>
              </w:rPr>
              <w:t>（2）污染防治措施</w:t>
            </w:r>
          </w:p>
          <w:p w14:paraId="7D114DB8">
            <w:pPr>
              <w:keepNext w:val="0"/>
              <w:keepLines w:val="0"/>
              <w:pageBreakBefore w:val="0"/>
              <w:widowControl w:val="0"/>
              <w:kinsoku/>
              <w:wordWrap/>
              <w:overflowPunct/>
              <w:topLinePunct w:val="0"/>
              <w:autoSpaceDE/>
              <w:autoSpaceDN/>
              <w:bidi w:val="0"/>
              <w:adjustRightInd/>
              <w:snapToGrid w:val="0"/>
              <w:spacing w:line="460" w:lineRule="exact"/>
              <w:ind w:left="0" w:firstLine="480" w:firstLineChars="200"/>
              <w:textAlignment w:val="auto"/>
              <w:rPr>
                <w:color w:val="auto"/>
                <w:sz w:val="24"/>
                <w:highlight w:val="none"/>
              </w:rPr>
            </w:pPr>
            <w:r>
              <w:rPr>
                <w:rFonts w:hint="eastAsia"/>
                <w:color w:val="auto"/>
                <w:sz w:val="24"/>
                <w:highlight w:val="none"/>
                <w:lang w:val="en-US" w:eastAsia="zh-CN"/>
              </w:rPr>
              <w:t>①</w:t>
            </w:r>
            <w:r>
              <w:rPr>
                <w:color w:val="auto"/>
                <w:sz w:val="24"/>
                <w:highlight w:val="none"/>
              </w:rPr>
              <w:t>源头控制</w:t>
            </w:r>
          </w:p>
          <w:p w14:paraId="7E92D279">
            <w:pPr>
              <w:keepNext w:val="0"/>
              <w:keepLines w:val="0"/>
              <w:pageBreakBefore w:val="0"/>
              <w:widowControl w:val="0"/>
              <w:kinsoku/>
              <w:wordWrap/>
              <w:overflowPunct/>
              <w:topLinePunct w:val="0"/>
              <w:autoSpaceDE/>
              <w:autoSpaceDN/>
              <w:bidi w:val="0"/>
              <w:adjustRightInd/>
              <w:snapToGrid w:val="0"/>
              <w:spacing w:line="460" w:lineRule="exact"/>
              <w:ind w:left="0" w:firstLine="480" w:firstLineChars="200"/>
              <w:textAlignment w:val="auto"/>
              <w:rPr>
                <w:color w:val="auto"/>
                <w:sz w:val="24"/>
                <w:highlight w:val="none"/>
              </w:rPr>
            </w:pPr>
            <w:bookmarkStart w:id="58" w:name="sys6781060"/>
            <w:r>
              <w:rPr>
                <w:color w:val="auto"/>
                <w:sz w:val="24"/>
                <w:highlight w:val="none"/>
              </w:rPr>
              <w:t>加强</w:t>
            </w:r>
            <w:r>
              <w:rPr>
                <w:rFonts w:hint="eastAsia"/>
                <w:color w:val="auto"/>
                <w:sz w:val="24"/>
                <w:highlight w:val="none"/>
              </w:rPr>
              <w:t>生产</w:t>
            </w:r>
            <w:r>
              <w:rPr>
                <w:color w:val="auto"/>
                <w:sz w:val="24"/>
                <w:highlight w:val="none"/>
              </w:rPr>
              <w:t>管理，严格</w:t>
            </w:r>
            <w:r>
              <w:rPr>
                <w:rFonts w:hint="eastAsia"/>
                <w:color w:val="auto"/>
                <w:sz w:val="24"/>
                <w:highlight w:val="none"/>
              </w:rPr>
              <w:t>原料取用、危险废物管理工作，制定原料取用制度、危险废物管理制度，避免原料、危险废物在厂内发生泄漏事故</w:t>
            </w:r>
            <w:r>
              <w:rPr>
                <w:color w:val="auto"/>
                <w:sz w:val="24"/>
                <w:highlight w:val="none"/>
              </w:rPr>
              <w:t>。</w:t>
            </w:r>
            <w:bookmarkEnd w:id="58"/>
          </w:p>
          <w:p w14:paraId="11F6B366">
            <w:pPr>
              <w:keepNext w:val="0"/>
              <w:keepLines w:val="0"/>
              <w:pageBreakBefore w:val="0"/>
              <w:widowControl w:val="0"/>
              <w:kinsoku/>
              <w:wordWrap/>
              <w:overflowPunct/>
              <w:topLinePunct w:val="0"/>
              <w:autoSpaceDE/>
              <w:autoSpaceDN/>
              <w:bidi w:val="0"/>
              <w:adjustRightInd/>
              <w:snapToGrid w:val="0"/>
              <w:spacing w:line="460" w:lineRule="exact"/>
              <w:ind w:left="0" w:firstLine="480" w:firstLineChars="200"/>
              <w:textAlignment w:val="auto"/>
              <w:rPr>
                <w:color w:val="auto"/>
                <w:sz w:val="24"/>
                <w:highlight w:val="none"/>
              </w:rPr>
            </w:pPr>
            <w:r>
              <w:rPr>
                <w:rFonts w:hint="eastAsia"/>
                <w:color w:val="auto"/>
                <w:sz w:val="24"/>
                <w:highlight w:val="none"/>
                <w:lang w:val="en-US" w:eastAsia="zh-CN"/>
              </w:rPr>
              <w:t>②</w:t>
            </w:r>
            <w:r>
              <w:rPr>
                <w:color w:val="auto"/>
                <w:sz w:val="24"/>
                <w:highlight w:val="none"/>
              </w:rPr>
              <w:t>分区防渗</w:t>
            </w:r>
          </w:p>
          <w:p w14:paraId="3CFD1FB1">
            <w:pPr>
              <w:keepNext w:val="0"/>
              <w:keepLines w:val="0"/>
              <w:pageBreakBefore w:val="0"/>
              <w:widowControl w:val="0"/>
              <w:kinsoku/>
              <w:wordWrap/>
              <w:overflowPunct/>
              <w:topLinePunct w:val="0"/>
              <w:autoSpaceDE/>
              <w:autoSpaceDN/>
              <w:bidi w:val="0"/>
              <w:adjustRightInd/>
              <w:snapToGrid w:val="0"/>
              <w:spacing w:line="460" w:lineRule="exact"/>
              <w:ind w:left="0" w:firstLine="480" w:firstLineChars="200"/>
              <w:textAlignment w:val="auto"/>
              <w:rPr>
                <w:color w:val="auto"/>
                <w:sz w:val="24"/>
                <w:highlight w:val="none"/>
              </w:rPr>
            </w:pPr>
            <w:r>
              <w:rPr>
                <w:color w:val="auto"/>
                <w:sz w:val="24"/>
                <w:highlight w:val="none"/>
              </w:rPr>
              <w:t>根据场地防污性能、污染控制难易程度和污染物特性对</w:t>
            </w:r>
            <w:r>
              <w:rPr>
                <w:rFonts w:hint="eastAsia"/>
                <w:color w:val="auto"/>
                <w:sz w:val="24"/>
                <w:highlight w:val="none"/>
              </w:rPr>
              <w:t>本项目所在场地</w:t>
            </w:r>
            <w:r>
              <w:rPr>
                <w:color w:val="auto"/>
                <w:sz w:val="24"/>
                <w:highlight w:val="none"/>
              </w:rPr>
              <w:t>进行分区防渗</w:t>
            </w:r>
            <w:r>
              <w:rPr>
                <w:rFonts w:hint="eastAsia"/>
                <w:color w:val="auto"/>
                <w:sz w:val="24"/>
                <w:highlight w:val="none"/>
              </w:rPr>
              <w:t>，分区防渗方案及防渗措施见下表</w:t>
            </w:r>
            <w:r>
              <w:rPr>
                <w:color w:val="auto"/>
                <w:sz w:val="24"/>
                <w:highlight w:val="none"/>
              </w:rPr>
              <w:t>。</w:t>
            </w:r>
          </w:p>
          <w:p w14:paraId="3FC5901B">
            <w:pPr>
              <w:pStyle w:val="162"/>
              <w:bidi w:val="0"/>
              <w:rPr>
                <w:color w:val="auto"/>
                <w:highlight w:val="none"/>
                <w:lang w:val="zh-CN"/>
              </w:rPr>
            </w:pPr>
            <w:r>
              <w:rPr>
                <w:rFonts w:hint="eastAsia"/>
                <w:color w:val="auto"/>
                <w:highlight w:val="none"/>
                <w:lang w:val="zh-CN"/>
              </w:rPr>
              <w:t>本项目</w:t>
            </w:r>
            <w:r>
              <w:rPr>
                <w:color w:val="auto"/>
                <w:highlight w:val="none"/>
                <w:lang w:val="zh-CN"/>
              </w:rPr>
              <w:t>分区防渗方案及防渗措施表</w:t>
            </w:r>
          </w:p>
          <w:tbl>
            <w:tblPr>
              <w:tblStyle w:val="32"/>
              <w:tblW w:w="84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07"/>
              <w:gridCol w:w="1073"/>
              <w:gridCol w:w="1909"/>
              <w:gridCol w:w="4763"/>
            </w:tblGrid>
            <w:tr w14:paraId="21A19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07" w:type="dxa"/>
                  <w:vAlign w:val="center"/>
                </w:tcPr>
                <w:p w14:paraId="0B783D60">
                  <w:pPr>
                    <w:pStyle w:val="41"/>
                    <w:bidi w:val="0"/>
                    <w:rPr>
                      <w:b/>
                      <w:bCs/>
                      <w:color w:val="auto"/>
                      <w:highlight w:val="none"/>
                      <w:lang w:val="zh-CN"/>
                    </w:rPr>
                  </w:pPr>
                  <w:r>
                    <w:rPr>
                      <w:b/>
                      <w:bCs/>
                      <w:color w:val="auto"/>
                      <w:highlight w:val="none"/>
                      <w:lang w:val="zh-CN"/>
                    </w:rPr>
                    <w:t>序号</w:t>
                  </w:r>
                </w:p>
              </w:tc>
              <w:tc>
                <w:tcPr>
                  <w:tcW w:w="1073" w:type="dxa"/>
                  <w:vAlign w:val="center"/>
                </w:tcPr>
                <w:p w14:paraId="672D3328">
                  <w:pPr>
                    <w:pStyle w:val="41"/>
                    <w:bidi w:val="0"/>
                    <w:rPr>
                      <w:b/>
                      <w:bCs/>
                      <w:color w:val="auto"/>
                      <w:highlight w:val="none"/>
                      <w:lang w:val="zh-CN"/>
                    </w:rPr>
                  </w:pPr>
                  <w:r>
                    <w:rPr>
                      <w:b/>
                      <w:bCs/>
                      <w:color w:val="auto"/>
                      <w:highlight w:val="none"/>
                      <w:lang w:val="zh-CN"/>
                    </w:rPr>
                    <w:t>防治分区</w:t>
                  </w:r>
                </w:p>
              </w:tc>
              <w:tc>
                <w:tcPr>
                  <w:tcW w:w="1909" w:type="dxa"/>
                  <w:vAlign w:val="center"/>
                </w:tcPr>
                <w:p w14:paraId="46EBFD8E">
                  <w:pPr>
                    <w:pStyle w:val="41"/>
                    <w:bidi w:val="0"/>
                    <w:rPr>
                      <w:b/>
                      <w:bCs/>
                      <w:color w:val="auto"/>
                      <w:highlight w:val="none"/>
                      <w:lang w:val="zh-CN"/>
                    </w:rPr>
                  </w:pPr>
                  <w:r>
                    <w:rPr>
                      <w:b/>
                      <w:bCs/>
                      <w:color w:val="auto"/>
                      <w:highlight w:val="none"/>
                      <w:lang w:val="zh-CN"/>
                    </w:rPr>
                    <w:t>分区位置</w:t>
                  </w:r>
                </w:p>
              </w:tc>
              <w:tc>
                <w:tcPr>
                  <w:tcW w:w="4763" w:type="dxa"/>
                  <w:vAlign w:val="center"/>
                </w:tcPr>
                <w:p w14:paraId="728477FF">
                  <w:pPr>
                    <w:pStyle w:val="41"/>
                    <w:bidi w:val="0"/>
                    <w:rPr>
                      <w:b/>
                      <w:bCs/>
                      <w:color w:val="auto"/>
                      <w:highlight w:val="none"/>
                      <w:lang w:val="zh-CN"/>
                    </w:rPr>
                  </w:pPr>
                  <w:r>
                    <w:rPr>
                      <w:b/>
                      <w:bCs/>
                      <w:color w:val="auto"/>
                      <w:highlight w:val="none"/>
                      <w:lang w:val="zh-CN"/>
                    </w:rPr>
                    <w:t>防渗</w:t>
                  </w:r>
                  <w:r>
                    <w:rPr>
                      <w:rFonts w:hint="eastAsia"/>
                      <w:b/>
                      <w:bCs/>
                      <w:color w:val="auto"/>
                      <w:highlight w:val="none"/>
                      <w:lang w:val="zh-CN"/>
                    </w:rPr>
                    <w:t>技术</w:t>
                  </w:r>
                  <w:r>
                    <w:rPr>
                      <w:b/>
                      <w:bCs/>
                      <w:color w:val="auto"/>
                      <w:highlight w:val="none"/>
                      <w:lang w:val="zh-CN"/>
                    </w:rPr>
                    <w:t>要求</w:t>
                  </w:r>
                </w:p>
              </w:tc>
            </w:tr>
            <w:tr w14:paraId="31E73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07" w:type="dxa"/>
                  <w:vAlign w:val="center"/>
                </w:tcPr>
                <w:p w14:paraId="065E3E6E">
                  <w:pPr>
                    <w:pStyle w:val="41"/>
                    <w:bidi w:val="0"/>
                    <w:rPr>
                      <w:color w:val="auto"/>
                      <w:highlight w:val="none"/>
                      <w:lang w:val="zh-CN"/>
                    </w:rPr>
                  </w:pPr>
                  <w:r>
                    <w:rPr>
                      <w:color w:val="auto"/>
                      <w:highlight w:val="none"/>
                      <w:lang w:val="zh-CN"/>
                    </w:rPr>
                    <w:t>1</w:t>
                  </w:r>
                </w:p>
              </w:tc>
              <w:tc>
                <w:tcPr>
                  <w:tcW w:w="1073" w:type="dxa"/>
                  <w:vAlign w:val="center"/>
                </w:tcPr>
                <w:p w14:paraId="03C3568A">
                  <w:pPr>
                    <w:pStyle w:val="41"/>
                    <w:bidi w:val="0"/>
                    <w:rPr>
                      <w:color w:val="auto"/>
                      <w:highlight w:val="none"/>
                      <w:lang w:val="zh-CN"/>
                    </w:rPr>
                  </w:pPr>
                  <w:r>
                    <w:rPr>
                      <w:color w:val="auto"/>
                      <w:highlight w:val="none"/>
                      <w:lang w:val="zh-CN"/>
                    </w:rPr>
                    <w:t>重点</w:t>
                  </w:r>
                </w:p>
                <w:p w14:paraId="01B75372">
                  <w:pPr>
                    <w:pStyle w:val="41"/>
                    <w:bidi w:val="0"/>
                    <w:rPr>
                      <w:color w:val="auto"/>
                      <w:highlight w:val="none"/>
                      <w:lang w:val="zh-CN"/>
                    </w:rPr>
                  </w:pPr>
                  <w:r>
                    <w:rPr>
                      <w:color w:val="auto"/>
                      <w:highlight w:val="none"/>
                      <w:lang w:val="zh-CN"/>
                    </w:rPr>
                    <w:t>防渗区</w:t>
                  </w:r>
                </w:p>
              </w:tc>
              <w:tc>
                <w:tcPr>
                  <w:tcW w:w="1909" w:type="dxa"/>
                  <w:vAlign w:val="center"/>
                </w:tcPr>
                <w:p w14:paraId="2EA2EF5F">
                  <w:pPr>
                    <w:pStyle w:val="41"/>
                    <w:bidi w:val="0"/>
                    <w:rPr>
                      <w:rFonts w:hint="eastAsia" w:eastAsia="宋体"/>
                      <w:color w:val="auto"/>
                      <w:highlight w:val="none"/>
                      <w:lang w:eastAsia="zh-CN"/>
                    </w:rPr>
                  </w:pPr>
                  <w:r>
                    <w:rPr>
                      <w:rFonts w:hint="eastAsia"/>
                      <w:color w:val="auto"/>
                      <w:highlight w:val="none"/>
                      <w:lang w:val="en-US" w:eastAsia="zh-CN"/>
                    </w:rPr>
                    <w:t>危废暂存点</w:t>
                  </w:r>
                  <w:r>
                    <w:rPr>
                      <w:rFonts w:hint="eastAsia"/>
                      <w:color w:val="auto"/>
                      <w:highlight w:val="none"/>
                      <w:lang w:eastAsia="zh-CN"/>
                    </w:rPr>
                    <w:t>、</w:t>
                  </w:r>
                  <w:r>
                    <w:rPr>
                      <w:rFonts w:hint="eastAsia"/>
                      <w:color w:val="auto"/>
                      <w:highlight w:val="none"/>
                      <w:lang w:val="en-US" w:eastAsia="zh-CN"/>
                    </w:rPr>
                    <w:t>危化品库</w:t>
                  </w:r>
                </w:p>
              </w:tc>
              <w:tc>
                <w:tcPr>
                  <w:tcW w:w="4763" w:type="dxa"/>
                  <w:vAlign w:val="center"/>
                </w:tcPr>
                <w:p w14:paraId="36C0D400">
                  <w:pPr>
                    <w:pStyle w:val="41"/>
                    <w:bidi w:val="0"/>
                    <w:rPr>
                      <w:color w:val="auto"/>
                      <w:highlight w:val="none"/>
                      <w:lang w:val="zh-CN" w:eastAsia="zh-CN"/>
                    </w:rPr>
                  </w:pPr>
                  <w:r>
                    <w:rPr>
                      <w:rFonts w:hint="eastAsia"/>
                      <w:color w:val="auto"/>
                      <w:highlight w:val="none"/>
                      <w:lang w:val="zh-CN"/>
                    </w:rPr>
                    <w:t>等效黏土防渗层≥</w:t>
                  </w:r>
                  <w:r>
                    <w:rPr>
                      <w:rFonts w:hint="eastAsia"/>
                      <w:color w:val="auto"/>
                      <w:highlight w:val="none"/>
                    </w:rPr>
                    <w:t>6.0m，K≤1×10</w:t>
                  </w:r>
                  <w:r>
                    <w:rPr>
                      <w:rFonts w:hint="eastAsia"/>
                      <w:color w:val="auto"/>
                      <w:highlight w:val="none"/>
                      <w:vertAlign w:val="superscript"/>
                    </w:rPr>
                    <w:t>-7</w:t>
                  </w:r>
                  <w:r>
                    <w:rPr>
                      <w:rFonts w:hint="eastAsia"/>
                      <w:color w:val="auto"/>
                      <w:highlight w:val="none"/>
                    </w:rPr>
                    <w:t>cm/s，或参照GB18595执行。</w:t>
                  </w:r>
                </w:p>
              </w:tc>
            </w:tr>
            <w:tr w14:paraId="7E3F7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07" w:type="dxa"/>
                  <w:vAlign w:val="center"/>
                </w:tcPr>
                <w:p w14:paraId="540CC6EB">
                  <w:pPr>
                    <w:pStyle w:val="41"/>
                    <w:bidi w:val="0"/>
                    <w:rPr>
                      <w:color w:val="auto"/>
                      <w:highlight w:val="none"/>
                      <w:lang w:val="zh-CN"/>
                    </w:rPr>
                  </w:pPr>
                  <w:r>
                    <w:rPr>
                      <w:rFonts w:hint="eastAsia"/>
                      <w:color w:val="auto"/>
                      <w:highlight w:val="none"/>
                    </w:rPr>
                    <w:t>2</w:t>
                  </w:r>
                </w:p>
              </w:tc>
              <w:tc>
                <w:tcPr>
                  <w:tcW w:w="1073" w:type="dxa"/>
                  <w:vAlign w:val="center"/>
                </w:tcPr>
                <w:p w14:paraId="0501048E">
                  <w:pPr>
                    <w:pStyle w:val="41"/>
                    <w:bidi w:val="0"/>
                    <w:rPr>
                      <w:color w:val="auto"/>
                      <w:highlight w:val="none"/>
                      <w:lang w:val="zh-CN"/>
                    </w:rPr>
                  </w:pPr>
                  <w:r>
                    <w:rPr>
                      <w:color w:val="auto"/>
                      <w:highlight w:val="none"/>
                      <w:lang w:val="zh-CN"/>
                    </w:rPr>
                    <w:t>一般</w:t>
                  </w:r>
                </w:p>
                <w:p w14:paraId="043CD19C">
                  <w:pPr>
                    <w:pStyle w:val="41"/>
                    <w:bidi w:val="0"/>
                    <w:rPr>
                      <w:color w:val="auto"/>
                      <w:highlight w:val="none"/>
                      <w:lang w:val="zh-CN"/>
                    </w:rPr>
                  </w:pPr>
                  <w:r>
                    <w:rPr>
                      <w:color w:val="auto"/>
                      <w:highlight w:val="none"/>
                      <w:lang w:val="zh-CN"/>
                    </w:rPr>
                    <w:t>防渗区</w:t>
                  </w:r>
                </w:p>
              </w:tc>
              <w:tc>
                <w:tcPr>
                  <w:tcW w:w="1909" w:type="dxa"/>
                  <w:vAlign w:val="center"/>
                </w:tcPr>
                <w:p w14:paraId="31690BC2">
                  <w:pPr>
                    <w:pStyle w:val="41"/>
                    <w:bidi w:val="0"/>
                    <w:rPr>
                      <w:rFonts w:hint="eastAsia"/>
                      <w:color w:val="auto"/>
                      <w:highlight w:val="none"/>
                      <w:lang w:eastAsia="zh-CN"/>
                    </w:rPr>
                  </w:pPr>
                  <w:r>
                    <w:rPr>
                      <w:rFonts w:hint="eastAsia"/>
                      <w:color w:val="auto"/>
                      <w:highlight w:val="none"/>
                      <w:lang w:val="en-US" w:eastAsia="zh-CN"/>
                    </w:rPr>
                    <w:t>实验室</w:t>
                  </w:r>
                </w:p>
              </w:tc>
              <w:tc>
                <w:tcPr>
                  <w:tcW w:w="4763" w:type="dxa"/>
                  <w:vAlign w:val="center"/>
                </w:tcPr>
                <w:p w14:paraId="71D7639A">
                  <w:pPr>
                    <w:pStyle w:val="41"/>
                    <w:bidi w:val="0"/>
                    <w:rPr>
                      <w:rFonts w:hint="eastAsia"/>
                      <w:color w:val="auto"/>
                      <w:highlight w:val="none"/>
                      <w:lang w:val="zh-CN" w:eastAsia="zh-CN"/>
                    </w:rPr>
                  </w:pPr>
                  <w:r>
                    <w:rPr>
                      <w:rFonts w:hint="eastAsia"/>
                      <w:color w:val="auto"/>
                      <w:highlight w:val="none"/>
                      <w:lang w:val="zh-CN"/>
                    </w:rPr>
                    <w:t>根据GB18599</w:t>
                  </w:r>
                  <w:r>
                    <w:rPr>
                      <w:rFonts w:hint="eastAsia"/>
                      <w:color w:val="auto"/>
                      <w:highlight w:val="none"/>
                    </w:rPr>
                    <w:t>-</w:t>
                  </w:r>
                  <w:r>
                    <w:rPr>
                      <w:rFonts w:hint="eastAsia"/>
                      <w:color w:val="auto"/>
                      <w:highlight w:val="none"/>
                      <w:lang w:val="zh-CN"/>
                    </w:rPr>
                    <w:t>2020，防渗性能应至少相当于渗透系数为1.0×10</w:t>
                  </w:r>
                  <w:r>
                    <w:rPr>
                      <w:rFonts w:hint="eastAsia"/>
                      <w:color w:val="auto"/>
                      <w:highlight w:val="none"/>
                      <w:vertAlign w:val="superscript"/>
                      <w:lang w:val="zh-CN"/>
                    </w:rPr>
                    <w:t>-5</w:t>
                  </w:r>
                  <w:r>
                    <w:rPr>
                      <w:rFonts w:hint="eastAsia"/>
                      <w:color w:val="auto"/>
                      <w:highlight w:val="none"/>
                      <w:lang w:val="zh-CN"/>
                    </w:rPr>
                    <w:t>cm/s且厚度为0.75m的天然基础层。</w:t>
                  </w:r>
                </w:p>
              </w:tc>
            </w:tr>
            <w:tr w14:paraId="6B186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07" w:type="dxa"/>
                  <w:vAlign w:val="center"/>
                </w:tcPr>
                <w:p w14:paraId="59643613">
                  <w:pPr>
                    <w:pStyle w:val="41"/>
                    <w:bidi w:val="0"/>
                    <w:rPr>
                      <w:color w:val="auto"/>
                      <w:highlight w:val="none"/>
                    </w:rPr>
                  </w:pPr>
                  <w:r>
                    <w:rPr>
                      <w:rFonts w:hint="eastAsia"/>
                      <w:color w:val="auto"/>
                      <w:highlight w:val="none"/>
                    </w:rPr>
                    <w:t>3</w:t>
                  </w:r>
                </w:p>
              </w:tc>
              <w:tc>
                <w:tcPr>
                  <w:tcW w:w="1073" w:type="dxa"/>
                  <w:vAlign w:val="center"/>
                </w:tcPr>
                <w:p w14:paraId="46065168">
                  <w:pPr>
                    <w:pStyle w:val="41"/>
                    <w:bidi w:val="0"/>
                    <w:rPr>
                      <w:color w:val="auto"/>
                      <w:highlight w:val="none"/>
                      <w:lang w:val="zh-CN"/>
                    </w:rPr>
                  </w:pPr>
                  <w:r>
                    <w:rPr>
                      <w:rFonts w:hint="eastAsia"/>
                      <w:color w:val="auto"/>
                      <w:highlight w:val="none"/>
                      <w:lang w:val="zh-CN"/>
                    </w:rPr>
                    <w:t>简单防渗区</w:t>
                  </w:r>
                </w:p>
              </w:tc>
              <w:tc>
                <w:tcPr>
                  <w:tcW w:w="1909" w:type="dxa"/>
                  <w:vAlign w:val="center"/>
                </w:tcPr>
                <w:p w14:paraId="1EC64F35">
                  <w:pPr>
                    <w:pStyle w:val="41"/>
                    <w:bidi w:val="0"/>
                    <w:rPr>
                      <w:rFonts w:hint="eastAsia"/>
                      <w:color w:val="auto"/>
                      <w:highlight w:val="none"/>
                      <w:lang w:eastAsia="zh-CN"/>
                    </w:rPr>
                  </w:pPr>
                  <w:r>
                    <w:rPr>
                      <w:rFonts w:hint="eastAsia"/>
                      <w:color w:val="auto"/>
                      <w:highlight w:val="none"/>
                      <w:lang w:val="en-US" w:eastAsia="zh-CN"/>
                    </w:rPr>
                    <w:t>其他区域</w:t>
                  </w:r>
                </w:p>
              </w:tc>
              <w:tc>
                <w:tcPr>
                  <w:tcW w:w="4763" w:type="dxa"/>
                  <w:vAlign w:val="center"/>
                </w:tcPr>
                <w:p w14:paraId="7D96B553">
                  <w:pPr>
                    <w:pStyle w:val="41"/>
                    <w:bidi w:val="0"/>
                    <w:rPr>
                      <w:color w:val="auto"/>
                      <w:highlight w:val="none"/>
                      <w:lang w:val="zh-CN"/>
                    </w:rPr>
                  </w:pPr>
                  <w:r>
                    <w:rPr>
                      <w:rFonts w:hint="eastAsia"/>
                      <w:color w:val="auto"/>
                      <w:highlight w:val="none"/>
                      <w:lang w:val="zh-CN"/>
                    </w:rPr>
                    <w:t>一般地面硬化</w:t>
                  </w:r>
                </w:p>
              </w:tc>
            </w:tr>
          </w:tbl>
          <w:p w14:paraId="7F8D45B7">
            <w:pPr>
              <w:pStyle w:val="41"/>
              <w:bidi w:val="0"/>
              <w:rPr>
                <w:rFonts w:hint="eastAsia"/>
                <w:color w:val="auto"/>
                <w:highlight w:val="none"/>
              </w:rPr>
            </w:pPr>
          </w:p>
          <w:p w14:paraId="2366DB36">
            <w:pPr>
              <w:keepNext w:val="0"/>
              <w:keepLines w:val="0"/>
              <w:pageBreakBefore w:val="0"/>
              <w:widowControl w:val="0"/>
              <w:kinsoku/>
              <w:wordWrap/>
              <w:overflowPunct/>
              <w:topLinePunct w:val="0"/>
              <w:autoSpaceDE/>
              <w:autoSpaceDN/>
              <w:bidi w:val="0"/>
              <w:spacing w:line="460" w:lineRule="exact"/>
              <w:ind w:firstLine="482" w:firstLineChars="200"/>
              <w:textAlignment w:val="auto"/>
              <w:rPr>
                <w:b/>
                <w:bCs/>
                <w:color w:val="auto"/>
                <w:sz w:val="24"/>
                <w:highlight w:val="none"/>
              </w:rPr>
            </w:pPr>
            <w:r>
              <w:rPr>
                <w:rFonts w:hint="eastAsia"/>
                <w:b/>
                <w:bCs/>
                <w:color w:val="auto"/>
                <w:sz w:val="24"/>
                <w:highlight w:val="none"/>
              </w:rPr>
              <w:t>6、</w:t>
            </w:r>
            <w:r>
              <w:rPr>
                <w:b/>
                <w:bCs/>
                <w:color w:val="auto"/>
                <w:sz w:val="24"/>
                <w:highlight w:val="none"/>
              </w:rPr>
              <w:t>环境风险分析</w:t>
            </w:r>
          </w:p>
          <w:p w14:paraId="013FFD30">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b/>
                <w:bCs/>
                <w:color w:val="auto"/>
                <w:sz w:val="24"/>
                <w:szCs w:val="22"/>
                <w:highlight w:val="none"/>
              </w:rPr>
            </w:pPr>
            <w:r>
              <w:rPr>
                <w:b/>
                <w:bCs/>
                <w:color w:val="auto"/>
                <w:sz w:val="24"/>
                <w:szCs w:val="22"/>
                <w:highlight w:val="none"/>
              </w:rPr>
              <w:t>（1）物质风险识别</w:t>
            </w:r>
          </w:p>
          <w:p w14:paraId="37A99665">
            <w:pPr>
              <w:keepNext w:val="0"/>
              <w:keepLines w:val="0"/>
              <w:pageBreakBefore w:val="0"/>
              <w:widowControl w:val="0"/>
              <w:kinsoku/>
              <w:wordWrap/>
              <w:overflowPunct/>
              <w:topLinePunct w:val="0"/>
              <w:autoSpaceDE/>
              <w:autoSpaceDN/>
              <w:bidi w:val="0"/>
              <w:snapToGrid w:val="0"/>
              <w:spacing w:line="460" w:lineRule="exact"/>
              <w:ind w:firstLine="480" w:firstLineChars="200"/>
              <w:textAlignment w:val="auto"/>
              <w:rPr>
                <w:rFonts w:hint="eastAsia"/>
                <w:color w:val="auto"/>
                <w:sz w:val="24"/>
                <w:szCs w:val="22"/>
                <w:highlight w:val="none"/>
                <w:lang w:eastAsia="zh-CN"/>
              </w:rPr>
            </w:pPr>
            <w:r>
              <w:rPr>
                <w:rFonts w:hint="eastAsia"/>
                <w:color w:val="auto"/>
                <w:sz w:val="24"/>
                <w:szCs w:val="22"/>
                <w:highlight w:val="none"/>
              </w:rPr>
              <w:t>对照</w:t>
            </w:r>
            <w:r>
              <w:rPr>
                <w:color w:val="auto"/>
                <w:sz w:val="24"/>
                <w:szCs w:val="22"/>
                <w:highlight w:val="none"/>
              </w:rPr>
              <w:t>《建设项目环境风险评价技术导则》（HJ169-2018）附录B，</w:t>
            </w:r>
            <w:r>
              <w:rPr>
                <w:rFonts w:hint="eastAsia"/>
                <w:color w:val="auto"/>
                <w:sz w:val="24"/>
                <w:szCs w:val="22"/>
                <w:highlight w:val="none"/>
              </w:rPr>
              <w:t>本项目涉及的风险物质见下表</w:t>
            </w:r>
            <w:r>
              <w:rPr>
                <w:rFonts w:hint="eastAsia"/>
                <w:color w:val="auto"/>
                <w:sz w:val="24"/>
                <w:szCs w:val="22"/>
                <w:highlight w:val="none"/>
                <w:lang w:eastAsia="zh-CN"/>
              </w:rPr>
              <w:t>。</w:t>
            </w:r>
          </w:p>
          <w:p w14:paraId="6F23B510">
            <w:pPr>
              <w:pStyle w:val="162"/>
              <w:bidi w:val="0"/>
              <w:rPr>
                <w:color w:val="auto"/>
                <w:highlight w:val="none"/>
              </w:rPr>
            </w:pPr>
            <w:r>
              <w:rPr>
                <w:color w:val="auto"/>
                <w:highlight w:val="none"/>
              </w:rPr>
              <w:t>建设项目涉及环境风险物质识别表</w:t>
            </w:r>
          </w:p>
          <w:tbl>
            <w:tblPr>
              <w:tblStyle w:val="32"/>
              <w:tblW w:w="4991"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fixed"/>
              <w:tblCellMar>
                <w:top w:w="0" w:type="dxa"/>
                <w:left w:w="108" w:type="dxa"/>
                <w:bottom w:w="0" w:type="dxa"/>
                <w:right w:w="108" w:type="dxa"/>
              </w:tblCellMar>
            </w:tblPr>
            <w:tblGrid>
              <w:gridCol w:w="528"/>
              <w:gridCol w:w="1327"/>
              <w:gridCol w:w="1066"/>
              <w:gridCol w:w="1164"/>
              <w:gridCol w:w="941"/>
              <w:gridCol w:w="2290"/>
              <w:gridCol w:w="1144"/>
            </w:tblGrid>
            <w:tr w14:paraId="0A87242A">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699402FD">
                  <w:pPr>
                    <w:pStyle w:val="41"/>
                    <w:bidi w:val="0"/>
                    <w:jc w:val="center"/>
                    <w:rPr>
                      <w:b/>
                      <w:bCs/>
                      <w:color w:val="auto"/>
                      <w:highlight w:val="none"/>
                    </w:rPr>
                  </w:pPr>
                  <w:r>
                    <w:rPr>
                      <w:b/>
                      <w:bCs/>
                      <w:color w:val="auto"/>
                      <w:highlight w:val="none"/>
                    </w:rPr>
                    <w:t>序号</w:t>
                  </w:r>
                </w:p>
              </w:tc>
              <w:tc>
                <w:tcPr>
                  <w:tcW w:w="784" w:type="pct"/>
                  <w:tcBorders>
                    <w:tl2br w:val="nil"/>
                    <w:tr2bl w:val="nil"/>
                  </w:tcBorders>
                  <w:vAlign w:val="center"/>
                </w:tcPr>
                <w:p w14:paraId="3727B151">
                  <w:pPr>
                    <w:pStyle w:val="41"/>
                    <w:bidi w:val="0"/>
                    <w:jc w:val="center"/>
                    <w:rPr>
                      <w:b/>
                      <w:bCs/>
                      <w:color w:val="auto"/>
                      <w:highlight w:val="none"/>
                    </w:rPr>
                  </w:pPr>
                  <w:r>
                    <w:rPr>
                      <w:b/>
                      <w:bCs/>
                      <w:color w:val="auto"/>
                      <w:highlight w:val="none"/>
                    </w:rPr>
                    <w:t>危险物质名称</w:t>
                  </w:r>
                </w:p>
              </w:tc>
              <w:tc>
                <w:tcPr>
                  <w:tcW w:w="630" w:type="pct"/>
                  <w:tcBorders>
                    <w:tl2br w:val="nil"/>
                    <w:tr2bl w:val="nil"/>
                  </w:tcBorders>
                  <w:vAlign w:val="center"/>
                </w:tcPr>
                <w:p w14:paraId="383D56B9">
                  <w:pPr>
                    <w:pStyle w:val="41"/>
                    <w:bidi w:val="0"/>
                    <w:jc w:val="center"/>
                    <w:rPr>
                      <w:b/>
                      <w:bCs/>
                      <w:color w:val="auto"/>
                      <w:highlight w:val="none"/>
                    </w:rPr>
                  </w:pPr>
                  <w:r>
                    <w:rPr>
                      <w:b/>
                      <w:bCs/>
                      <w:color w:val="auto"/>
                      <w:highlight w:val="none"/>
                    </w:rPr>
                    <w:t>CAS号</w:t>
                  </w:r>
                </w:p>
              </w:tc>
              <w:tc>
                <w:tcPr>
                  <w:tcW w:w="687" w:type="pct"/>
                  <w:tcBorders>
                    <w:tl2br w:val="nil"/>
                    <w:tr2bl w:val="nil"/>
                  </w:tcBorders>
                  <w:vAlign w:val="center"/>
                </w:tcPr>
                <w:p w14:paraId="510FDD18">
                  <w:pPr>
                    <w:pStyle w:val="41"/>
                    <w:bidi w:val="0"/>
                    <w:jc w:val="center"/>
                    <w:rPr>
                      <w:b/>
                      <w:bCs/>
                      <w:color w:val="auto"/>
                      <w:highlight w:val="none"/>
                    </w:rPr>
                  </w:pPr>
                  <w:r>
                    <w:rPr>
                      <w:b/>
                      <w:bCs/>
                      <w:color w:val="auto"/>
                      <w:highlight w:val="none"/>
                    </w:rPr>
                    <w:t>最大存在总量qn/t</w:t>
                  </w:r>
                </w:p>
              </w:tc>
              <w:tc>
                <w:tcPr>
                  <w:tcW w:w="556" w:type="pct"/>
                  <w:tcBorders>
                    <w:tl2br w:val="nil"/>
                    <w:tr2bl w:val="nil"/>
                  </w:tcBorders>
                  <w:vAlign w:val="center"/>
                </w:tcPr>
                <w:p w14:paraId="2561BCB4">
                  <w:pPr>
                    <w:pStyle w:val="41"/>
                    <w:bidi w:val="0"/>
                    <w:jc w:val="center"/>
                    <w:rPr>
                      <w:b/>
                      <w:bCs/>
                      <w:color w:val="auto"/>
                      <w:highlight w:val="none"/>
                    </w:rPr>
                  </w:pPr>
                  <w:r>
                    <w:rPr>
                      <w:b/>
                      <w:bCs/>
                      <w:color w:val="auto"/>
                      <w:highlight w:val="none"/>
                    </w:rPr>
                    <w:t>临界量Qn/t</w:t>
                  </w:r>
                </w:p>
              </w:tc>
              <w:tc>
                <w:tcPr>
                  <w:tcW w:w="1353" w:type="pct"/>
                  <w:tcBorders>
                    <w:tl2br w:val="nil"/>
                    <w:tr2bl w:val="nil"/>
                  </w:tcBorders>
                  <w:vAlign w:val="center"/>
                </w:tcPr>
                <w:p w14:paraId="48A3C89D">
                  <w:pPr>
                    <w:pStyle w:val="41"/>
                    <w:bidi w:val="0"/>
                    <w:jc w:val="center"/>
                    <w:rPr>
                      <w:rFonts w:hint="default"/>
                      <w:b/>
                      <w:bCs/>
                      <w:color w:val="auto"/>
                      <w:highlight w:val="none"/>
                      <w:lang w:val="en-US" w:eastAsia="zh-CN"/>
                    </w:rPr>
                  </w:pPr>
                  <w:r>
                    <w:rPr>
                      <w:rFonts w:hint="eastAsia"/>
                      <w:b/>
                      <w:bCs/>
                      <w:color w:val="auto"/>
                      <w:highlight w:val="none"/>
                      <w:lang w:val="en-US" w:eastAsia="zh-CN"/>
                    </w:rPr>
                    <w:t>对应</w:t>
                  </w:r>
                  <w:r>
                    <w:rPr>
                      <w:b/>
                      <w:bCs/>
                      <w:color w:val="auto"/>
                      <w:highlight w:val="none"/>
                    </w:rPr>
                    <w:t>HJ169</w:t>
                  </w:r>
                  <w:r>
                    <w:rPr>
                      <w:rFonts w:hint="eastAsia"/>
                      <w:b/>
                      <w:bCs/>
                      <w:color w:val="auto"/>
                      <w:highlight w:val="none"/>
                      <w:lang w:val="en-US" w:eastAsia="zh-CN"/>
                    </w:rPr>
                    <w:t>/HJ941物质名称</w:t>
                  </w:r>
                </w:p>
              </w:tc>
              <w:tc>
                <w:tcPr>
                  <w:tcW w:w="676" w:type="pct"/>
                  <w:tcBorders>
                    <w:tl2br w:val="nil"/>
                    <w:tr2bl w:val="nil"/>
                  </w:tcBorders>
                  <w:vAlign w:val="center"/>
                </w:tcPr>
                <w:p w14:paraId="3C6FE374">
                  <w:pPr>
                    <w:pStyle w:val="41"/>
                    <w:bidi w:val="0"/>
                    <w:jc w:val="center"/>
                    <w:rPr>
                      <w:b/>
                      <w:bCs/>
                      <w:color w:val="auto"/>
                      <w:highlight w:val="none"/>
                    </w:rPr>
                  </w:pPr>
                  <w:r>
                    <w:rPr>
                      <w:b/>
                      <w:bCs/>
                      <w:color w:val="auto"/>
                      <w:highlight w:val="none"/>
                    </w:rPr>
                    <w:t>危险物质</w:t>
                  </w:r>
                </w:p>
                <w:p w14:paraId="1E6968C3">
                  <w:pPr>
                    <w:pStyle w:val="41"/>
                    <w:bidi w:val="0"/>
                    <w:jc w:val="center"/>
                    <w:rPr>
                      <w:b/>
                      <w:bCs/>
                      <w:color w:val="auto"/>
                      <w:highlight w:val="none"/>
                    </w:rPr>
                  </w:pPr>
                  <w:r>
                    <w:rPr>
                      <w:b/>
                      <w:bCs/>
                      <w:color w:val="auto"/>
                      <w:highlight w:val="none"/>
                    </w:rPr>
                    <w:t>Q值</w:t>
                  </w:r>
                </w:p>
              </w:tc>
            </w:tr>
            <w:tr w14:paraId="4261FA07">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10A7EBC7">
                  <w:pPr>
                    <w:pStyle w:val="41"/>
                    <w:numPr>
                      <w:ilvl w:val="0"/>
                      <w:numId w:val="18"/>
                    </w:numPr>
                    <w:tabs>
                      <w:tab w:val="clear" w:pos="420"/>
                    </w:tabs>
                    <w:bidi w:val="0"/>
                    <w:ind w:left="425" w:leftChars="0" w:hanging="425" w:firstLineChars="0"/>
                    <w:jc w:val="center"/>
                    <w:rPr>
                      <w:rFonts w:hint="default"/>
                      <w:color w:val="auto"/>
                      <w:highlight w:val="none"/>
                      <w:lang w:val="en-US" w:eastAsia="zh-CN"/>
                    </w:rPr>
                  </w:pPr>
                  <w:bookmarkStart w:id="59" w:name="OLE_LINK37" w:colFirst="4" w:colLast="5"/>
                </w:p>
              </w:tc>
              <w:tc>
                <w:tcPr>
                  <w:tcW w:w="784" w:type="pct"/>
                  <w:tcBorders>
                    <w:tl2br w:val="nil"/>
                    <w:tr2bl w:val="nil"/>
                  </w:tcBorders>
                  <w:shd w:val="clear" w:color="auto" w:fill="auto"/>
                  <w:vAlign w:val="center"/>
                </w:tcPr>
                <w:p w14:paraId="2DF309BA">
                  <w:pPr>
                    <w:pStyle w:val="41"/>
                    <w:bidi w:val="0"/>
                    <w:jc w:val="center"/>
                    <w:rPr>
                      <w:rFonts w:hint="eastAsia" w:eastAsia="宋体"/>
                      <w:color w:val="auto"/>
                      <w:highlight w:val="none"/>
                      <w:lang w:eastAsia="zh-CN"/>
                    </w:rPr>
                  </w:pPr>
                  <w:r>
                    <w:rPr>
                      <w:rFonts w:hint="eastAsia"/>
                      <w:color w:val="auto"/>
                      <w:highlight w:val="none"/>
                      <w:lang w:val="en-US" w:eastAsia="zh-CN"/>
                    </w:rPr>
                    <w:t>乙酸乙酯</w:t>
                  </w:r>
                </w:p>
              </w:tc>
              <w:tc>
                <w:tcPr>
                  <w:tcW w:w="630" w:type="pct"/>
                  <w:tcBorders>
                    <w:tl2br w:val="nil"/>
                    <w:tr2bl w:val="nil"/>
                  </w:tcBorders>
                  <w:vAlign w:val="center"/>
                </w:tcPr>
                <w:p w14:paraId="52BA2BA9">
                  <w:pPr>
                    <w:pStyle w:val="41"/>
                    <w:bidi w:val="0"/>
                    <w:jc w:val="center"/>
                    <w:rPr>
                      <w:rFonts w:hint="default" w:eastAsia="宋体"/>
                      <w:color w:val="auto"/>
                      <w:highlight w:val="none"/>
                      <w:lang w:val="en-US" w:eastAsia="zh-CN"/>
                    </w:rPr>
                  </w:pPr>
                  <w:r>
                    <w:rPr>
                      <w:rFonts w:hint="eastAsia"/>
                      <w:color w:val="auto"/>
                      <w:highlight w:val="none"/>
                      <w:lang w:val="en-US" w:eastAsia="zh-CN"/>
                    </w:rPr>
                    <w:t>141-78-6</w:t>
                  </w:r>
                </w:p>
              </w:tc>
              <w:tc>
                <w:tcPr>
                  <w:tcW w:w="687" w:type="pct"/>
                  <w:tcBorders>
                    <w:tl2br w:val="nil"/>
                    <w:tr2bl w:val="nil"/>
                  </w:tcBorders>
                  <w:vAlign w:val="center"/>
                </w:tcPr>
                <w:p w14:paraId="18E2D47C">
                  <w:pPr>
                    <w:pStyle w:val="41"/>
                    <w:bidi w:val="0"/>
                    <w:jc w:val="center"/>
                    <w:rPr>
                      <w:rFonts w:hint="default"/>
                      <w:color w:val="auto"/>
                      <w:highlight w:val="none"/>
                      <w:lang w:val="en-US" w:eastAsia="zh-CN"/>
                    </w:rPr>
                  </w:pPr>
                  <w:r>
                    <w:rPr>
                      <w:rFonts w:hint="eastAsia"/>
                      <w:color w:val="auto"/>
                      <w:highlight w:val="none"/>
                      <w:lang w:val="en-US" w:eastAsia="zh-CN"/>
                    </w:rPr>
                    <w:t>0.0451</w:t>
                  </w:r>
                </w:p>
              </w:tc>
              <w:tc>
                <w:tcPr>
                  <w:tcW w:w="556" w:type="pct"/>
                  <w:tcBorders>
                    <w:tl2br w:val="nil"/>
                    <w:tr2bl w:val="nil"/>
                  </w:tcBorders>
                  <w:vAlign w:val="center"/>
                </w:tcPr>
                <w:p w14:paraId="2CAC21A0">
                  <w:pPr>
                    <w:pStyle w:val="41"/>
                    <w:bidi w:val="0"/>
                    <w:jc w:val="center"/>
                    <w:rPr>
                      <w:rFonts w:hint="default"/>
                      <w:color w:val="auto"/>
                      <w:highlight w:val="none"/>
                      <w:lang w:val="en-US" w:eastAsia="zh-CN"/>
                    </w:rPr>
                  </w:pPr>
                  <w:r>
                    <w:rPr>
                      <w:rFonts w:hint="eastAsia"/>
                      <w:color w:val="auto"/>
                      <w:highlight w:val="none"/>
                      <w:lang w:val="en-US" w:eastAsia="zh-CN"/>
                    </w:rPr>
                    <w:t>10</w:t>
                  </w:r>
                </w:p>
              </w:tc>
              <w:tc>
                <w:tcPr>
                  <w:tcW w:w="1353" w:type="pct"/>
                  <w:tcBorders>
                    <w:tl2br w:val="nil"/>
                    <w:tr2bl w:val="nil"/>
                  </w:tcBorders>
                  <w:vAlign w:val="center"/>
                </w:tcPr>
                <w:p w14:paraId="06AF25BE">
                  <w:pPr>
                    <w:pStyle w:val="41"/>
                    <w:bidi w:val="0"/>
                    <w:jc w:val="center"/>
                    <w:rPr>
                      <w:rFonts w:hint="eastAsia"/>
                      <w:color w:val="auto"/>
                      <w:highlight w:val="none"/>
                      <w:lang w:val="en-US" w:eastAsia="zh-CN"/>
                    </w:rPr>
                  </w:pPr>
                  <w:r>
                    <w:rPr>
                      <w:rFonts w:hint="eastAsia"/>
                      <w:color w:val="auto"/>
                      <w:highlight w:val="none"/>
                      <w:lang w:val="en-US" w:eastAsia="zh-CN"/>
                    </w:rPr>
                    <w:t>乙酸乙酯</w:t>
                  </w:r>
                </w:p>
              </w:tc>
              <w:tc>
                <w:tcPr>
                  <w:tcW w:w="676" w:type="pct"/>
                  <w:tcBorders>
                    <w:tl2br w:val="nil"/>
                    <w:tr2bl w:val="nil"/>
                  </w:tcBorders>
                  <w:shd w:val="clear" w:color="auto" w:fill="auto"/>
                  <w:vAlign w:val="center"/>
                </w:tcPr>
                <w:p w14:paraId="66153C27">
                  <w:pPr>
                    <w:pStyle w:val="41"/>
                    <w:bidi w:val="0"/>
                    <w:jc w:val="center"/>
                    <w:rPr>
                      <w:rFonts w:hint="eastAsia"/>
                      <w:lang w:val="en-US" w:eastAsia="zh-CN"/>
                    </w:rPr>
                  </w:pPr>
                  <w:r>
                    <w:rPr>
                      <w:rFonts w:hint="eastAsia"/>
                    </w:rPr>
                    <w:t>0.00451</w:t>
                  </w:r>
                </w:p>
              </w:tc>
            </w:tr>
            <w:tr w14:paraId="1FB84237">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5D033C93">
                  <w:pPr>
                    <w:pStyle w:val="41"/>
                    <w:numPr>
                      <w:ilvl w:val="0"/>
                      <w:numId w:val="18"/>
                    </w:numPr>
                    <w:tabs>
                      <w:tab w:val="clear" w:pos="420"/>
                    </w:tabs>
                    <w:bidi w:val="0"/>
                    <w:ind w:left="425" w:leftChars="0" w:hanging="425" w:firstLineChars="0"/>
                    <w:jc w:val="center"/>
                    <w:rPr>
                      <w:rFonts w:hint="default"/>
                      <w:color w:val="auto"/>
                      <w:highlight w:val="none"/>
                      <w:lang w:val="en-US" w:eastAsia="zh-CN"/>
                    </w:rPr>
                  </w:pPr>
                </w:p>
              </w:tc>
              <w:tc>
                <w:tcPr>
                  <w:tcW w:w="784" w:type="pct"/>
                  <w:tcBorders>
                    <w:tl2br w:val="nil"/>
                    <w:tr2bl w:val="nil"/>
                  </w:tcBorders>
                  <w:shd w:val="clear" w:color="auto" w:fill="auto"/>
                  <w:vAlign w:val="center"/>
                </w:tcPr>
                <w:p w14:paraId="796DA501">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甲醇</w:t>
                  </w:r>
                </w:p>
              </w:tc>
              <w:tc>
                <w:tcPr>
                  <w:tcW w:w="630" w:type="pct"/>
                  <w:tcBorders>
                    <w:tl2br w:val="nil"/>
                    <w:tr2bl w:val="nil"/>
                  </w:tcBorders>
                  <w:vAlign w:val="center"/>
                </w:tcPr>
                <w:p w14:paraId="148CD85B">
                  <w:pPr>
                    <w:pStyle w:val="41"/>
                    <w:bidi w:val="0"/>
                    <w:jc w:val="center"/>
                    <w:rPr>
                      <w:rFonts w:hint="default"/>
                      <w:color w:val="auto"/>
                      <w:highlight w:val="none"/>
                      <w:lang w:val="en-US" w:eastAsia="zh-CN"/>
                    </w:rPr>
                  </w:pPr>
                  <w:r>
                    <w:rPr>
                      <w:rFonts w:hint="eastAsia"/>
                      <w:color w:val="auto"/>
                      <w:highlight w:val="none"/>
                      <w:lang w:val="en-US" w:eastAsia="zh-CN"/>
                    </w:rPr>
                    <w:t>67-56-1</w:t>
                  </w:r>
                </w:p>
              </w:tc>
              <w:tc>
                <w:tcPr>
                  <w:tcW w:w="687" w:type="pct"/>
                  <w:tcBorders>
                    <w:tl2br w:val="nil"/>
                    <w:tr2bl w:val="nil"/>
                  </w:tcBorders>
                  <w:vAlign w:val="center"/>
                </w:tcPr>
                <w:p w14:paraId="590EECEE">
                  <w:pPr>
                    <w:pStyle w:val="41"/>
                    <w:bidi w:val="0"/>
                    <w:jc w:val="center"/>
                    <w:rPr>
                      <w:rFonts w:hint="default"/>
                      <w:color w:val="auto"/>
                      <w:highlight w:val="none"/>
                      <w:lang w:val="en-US" w:eastAsia="zh-CN"/>
                    </w:rPr>
                  </w:pPr>
                  <w:r>
                    <w:rPr>
                      <w:rFonts w:hint="eastAsia"/>
                      <w:color w:val="auto"/>
                      <w:highlight w:val="none"/>
                      <w:lang w:val="en-US" w:eastAsia="zh-CN"/>
                    </w:rPr>
                    <w:t>0.0101</w:t>
                  </w:r>
                </w:p>
              </w:tc>
              <w:tc>
                <w:tcPr>
                  <w:tcW w:w="556" w:type="pct"/>
                  <w:tcBorders>
                    <w:tl2br w:val="nil"/>
                    <w:tr2bl w:val="nil"/>
                  </w:tcBorders>
                  <w:shd w:val="clear" w:color="auto" w:fill="auto"/>
                  <w:vAlign w:val="center"/>
                </w:tcPr>
                <w:p w14:paraId="2024E9EB">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7E35DF96">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甲醇</w:t>
                  </w:r>
                </w:p>
              </w:tc>
              <w:tc>
                <w:tcPr>
                  <w:tcW w:w="676" w:type="pct"/>
                  <w:tcBorders>
                    <w:tl2br w:val="nil"/>
                    <w:tr2bl w:val="nil"/>
                  </w:tcBorders>
                  <w:shd w:val="clear" w:color="auto" w:fill="auto"/>
                  <w:vAlign w:val="center"/>
                </w:tcPr>
                <w:p w14:paraId="3295B2B7">
                  <w:pPr>
                    <w:pStyle w:val="41"/>
                    <w:bidi w:val="0"/>
                    <w:jc w:val="center"/>
                    <w:rPr>
                      <w:rFonts w:hint="default"/>
                      <w:lang w:val="en-US" w:eastAsia="zh-CN"/>
                    </w:rPr>
                  </w:pPr>
                  <w:r>
                    <w:rPr>
                      <w:rFonts w:hint="eastAsia"/>
                    </w:rPr>
                    <w:t>0.00101</w:t>
                  </w:r>
                </w:p>
              </w:tc>
            </w:tr>
            <w:tr w14:paraId="4464361E">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3BFD5CB8">
                  <w:pPr>
                    <w:pStyle w:val="41"/>
                    <w:numPr>
                      <w:ilvl w:val="0"/>
                      <w:numId w:val="18"/>
                    </w:numPr>
                    <w:tabs>
                      <w:tab w:val="clear" w:pos="420"/>
                    </w:tabs>
                    <w:bidi w:val="0"/>
                    <w:ind w:left="425" w:leftChars="0" w:hanging="425" w:firstLineChars="0"/>
                    <w:jc w:val="center"/>
                    <w:rPr>
                      <w:rFonts w:hint="default"/>
                      <w:color w:val="auto"/>
                      <w:highlight w:val="none"/>
                      <w:lang w:val="en-US" w:eastAsia="zh-CN"/>
                    </w:rPr>
                  </w:pPr>
                </w:p>
              </w:tc>
              <w:tc>
                <w:tcPr>
                  <w:tcW w:w="784" w:type="pct"/>
                  <w:tcBorders>
                    <w:tl2br w:val="nil"/>
                    <w:tr2bl w:val="nil"/>
                  </w:tcBorders>
                  <w:shd w:val="clear" w:color="auto" w:fill="auto"/>
                  <w:vAlign w:val="center"/>
                </w:tcPr>
                <w:p w14:paraId="0517EA4F">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二氯甲烷</w:t>
                  </w:r>
                </w:p>
              </w:tc>
              <w:tc>
                <w:tcPr>
                  <w:tcW w:w="630" w:type="pct"/>
                  <w:tcBorders>
                    <w:tl2br w:val="nil"/>
                    <w:tr2bl w:val="nil"/>
                  </w:tcBorders>
                  <w:vAlign w:val="center"/>
                </w:tcPr>
                <w:p w14:paraId="49193E38">
                  <w:pPr>
                    <w:pStyle w:val="41"/>
                    <w:bidi w:val="0"/>
                    <w:jc w:val="center"/>
                    <w:rPr>
                      <w:rFonts w:hint="default" w:eastAsia="宋体"/>
                      <w:color w:val="auto"/>
                      <w:highlight w:val="none"/>
                      <w:lang w:val="en-US" w:eastAsia="zh-CN"/>
                    </w:rPr>
                  </w:pPr>
                  <w:r>
                    <w:rPr>
                      <w:rFonts w:hint="eastAsia"/>
                      <w:color w:val="auto"/>
                      <w:highlight w:val="none"/>
                      <w:lang w:val="en-US" w:eastAsia="zh-CN"/>
                    </w:rPr>
                    <w:t>75-09-2</w:t>
                  </w:r>
                </w:p>
              </w:tc>
              <w:tc>
                <w:tcPr>
                  <w:tcW w:w="687" w:type="pct"/>
                  <w:tcBorders>
                    <w:tl2br w:val="nil"/>
                    <w:tr2bl w:val="nil"/>
                  </w:tcBorders>
                  <w:vAlign w:val="center"/>
                </w:tcPr>
                <w:p w14:paraId="2D1FE0DC">
                  <w:pPr>
                    <w:pStyle w:val="41"/>
                    <w:bidi w:val="0"/>
                    <w:jc w:val="center"/>
                    <w:rPr>
                      <w:rFonts w:hint="default"/>
                      <w:color w:val="auto"/>
                      <w:highlight w:val="none"/>
                      <w:lang w:val="en-US" w:eastAsia="zh-CN"/>
                    </w:rPr>
                  </w:pPr>
                  <w:r>
                    <w:rPr>
                      <w:rFonts w:hint="eastAsia"/>
                      <w:color w:val="auto"/>
                      <w:highlight w:val="none"/>
                      <w:lang w:val="en-US" w:eastAsia="zh-CN"/>
                    </w:rPr>
                    <w:t>0.0351</w:t>
                  </w:r>
                </w:p>
              </w:tc>
              <w:tc>
                <w:tcPr>
                  <w:tcW w:w="556" w:type="pct"/>
                  <w:tcBorders>
                    <w:tl2br w:val="nil"/>
                    <w:tr2bl w:val="nil"/>
                  </w:tcBorders>
                  <w:shd w:val="clear" w:color="auto" w:fill="auto"/>
                  <w:vAlign w:val="center"/>
                </w:tcPr>
                <w:p w14:paraId="5ECAF32D">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34F8703F">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二氯甲烷</w:t>
                  </w:r>
                </w:p>
              </w:tc>
              <w:tc>
                <w:tcPr>
                  <w:tcW w:w="676" w:type="pct"/>
                  <w:tcBorders>
                    <w:tl2br w:val="nil"/>
                    <w:tr2bl w:val="nil"/>
                  </w:tcBorders>
                  <w:shd w:val="clear" w:color="auto" w:fill="auto"/>
                  <w:vAlign w:val="center"/>
                </w:tcPr>
                <w:p w14:paraId="5E1C1E65">
                  <w:pPr>
                    <w:pStyle w:val="41"/>
                    <w:bidi w:val="0"/>
                    <w:jc w:val="center"/>
                    <w:rPr>
                      <w:rFonts w:hint="default"/>
                      <w:lang w:val="en-US" w:eastAsia="zh-CN"/>
                    </w:rPr>
                  </w:pPr>
                  <w:r>
                    <w:rPr>
                      <w:rFonts w:hint="eastAsia"/>
                    </w:rPr>
                    <w:t>0.00351</w:t>
                  </w:r>
                </w:p>
              </w:tc>
            </w:tr>
            <w:bookmarkEnd w:id="59"/>
            <w:tr w14:paraId="22E46373">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87" w:hRule="atLeast"/>
              </w:trPr>
              <w:tc>
                <w:tcPr>
                  <w:tcW w:w="312" w:type="pct"/>
                  <w:tcBorders>
                    <w:tl2br w:val="nil"/>
                    <w:tr2bl w:val="nil"/>
                  </w:tcBorders>
                  <w:vAlign w:val="center"/>
                </w:tcPr>
                <w:p w14:paraId="4C41B2A7">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0440B01D">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00B050"/>
                      <w:lang w:val="en-US" w:eastAsia="zh-CN"/>
                    </w:rPr>
                    <w:t>盐酸</w:t>
                  </w:r>
                </w:p>
              </w:tc>
              <w:tc>
                <w:tcPr>
                  <w:tcW w:w="630" w:type="pct"/>
                  <w:tcBorders>
                    <w:tl2br w:val="nil"/>
                    <w:tr2bl w:val="nil"/>
                  </w:tcBorders>
                  <w:vAlign w:val="center"/>
                </w:tcPr>
                <w:p w14:paraId="2C25BE5C">
                  <w:pPr>
                    <w:pStyle w:val="41"/>
                    <w:bidi w:val="0"/>
                    <w:jc w:val="center"/>
                    <w:rPr>
                      <w:rFonts w:hint="default"/>
                      <w:color w:val="auto"/>
                      <w:highlight w:val="none"/>
                      <w:lang w:val="en-US" w:eastAsia="zh-CN"/>
                    </w:rPr>
                  </w:pPr>
                  <w:r>
                    <w:rPr>
                      <w:rFonts w:hint="eastAsia"/>
                      <w:color w:val="auto"/>
                      <w:highlight w:val="none"/>
                      <w:lang w:val="en-US" w:eastAsia="zh-CN"/>
                    </w:rPr>
                    <w:t>7647-01-0</w:t>
                  </w:r>
                </w:p>
              </w:tc>
              <w:tc>
                <w:tcPr>
                  <w:tcW w:w="687" w:type="pct"/>
                  <w:tcBorders>
                    <w:tl2br w:val="nil"/>
                    <w:tr2bl w:val="nil"/>
                  </w:tcBorders>
                  <w:vAlign w:val="center"/>
                </w:tcPr>
                <w:p w14:paraId="1210C494">
                  <w:pPr>
                    <w:pStyle w:val="41"/>
                    <w:bidi w:val="0"/>
                    <w:jc w:val="center"/>
                    <w:rPr>
                      <w:rFonts w:hint="default"/>
                      <w:color w:val="auto"/>
                      <w:highlight w:val="none"/>
                      <w:lang w:val="en-US" w:eastAsia="zh-CN"/>
                    </w:rPr>
                  </w:pPr>
                  <w:r>
                    <w:rPr>
                      <w:rFonts w:hint="eastAsia"/>
                      <w:color w:val="auto"/>
                      <w:highlight w:val="none"/>
                      <w:lang w:val="en-US" w:eastAsia="zh-CN"/>
                    </w:rPr>
                    <w:t>0.005</w:t>
                  </w:r>
                </w:p>
              </w:tc>
              <w:tc>
                <w:tcPr>
                  <w:tcW w:w="556" w:type="pct"/>
                  <w:tcBorders>
                    <w:tl2br w:val="nil"/>
                    <w:tr2bl w:val="nil"/>
                  </w:tcBorders>
                  <w:shd w:val="clear" w:color="auto" w:fill="auto"/>
                  <w:vAlign w:val="center"/>
                </w:tcPr>
                <w:p w14:paraId="224FEC40">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7.5</w:t>
                  </w:r>
                </w:p>
              </w:tc>
              <w:tc>
                <w:tcPr>
                  <w:tcW w:w="1353" w:type="pct"/>
                  <w:tcBorders>
                    <w:tl2br w:val="nil"/>
                    <w:tr2bl w:val="nil"/>
                  </w:tcBorders>
                  <w:shd w:val="clear" w:color="auto" w:fill="auto"/>
                  <w:vAlign w:val="center"/>
                </w:tcPr>
                <w:p w14:paraId="4B804DB4">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盐酸（≥37%）</w:t>
                  </w:r>
                </w:p>
              </w:tc>
              <w:tc>
                <w:tcPr>
                  <w:tcW w:w="676" w:type="pct"/>
                  <w:tcBorders>
                    <w:tl2br w:val="nil"/>
                    <w:tr2bl w:val="nil"/>
                  </w:tcBorders>
                  <w:shd w:val="clear" w:color="auto" w:fill="auto"/>
                  <w:vAlign w:val="center"/>
                </w:tcPr>
                <w:p w14:paraId="68357B08">
                  <w:pPr>
                    <w:pStyle w:val="41"/>
                    <w:bidi w:val="0"/>
                    <w:jc w:val="center"/>
                    <w:rPr>
                      <w:rFonts w:hint="default"/>
                      <w:lang w:val="en-US" w:eastAsia="zh-CN"/>
                    </w:rPr>
                  </w:pPr>
                  <w:r>
                    <w:rPr>
                      <w:rFonts w:hint="eastAsia"/>
                    </w:rPr>
                    <w:t>0.000666667</w:t>
                  </w:r>
                </w:p>
              </w:tc>
            </w:tr>
            <w:tr w14:paraId="41642501">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2BD8A16B">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4FE0FD1D">
                  <w:pPr>
                    <w:pStyle w:val="41"/>
                    <w:bidi w:val="0"/>
                    <w:jc w:val="center"/>
                    <w:rPr>
                      <w:rFonts w:hint="default" w:eastAsia="宋体"/>
                      <w:color w:val="auto"/>
                      <w:highlight w:val="none"/>
                      <w:lang w:val="en-US" w:eastAsia="zh-CN"/>
                    </w:rPr>
                  </w:pPr>
                  <w:r>
                    <w:rPr>
                      <w:rFonts w:hint="eastAsia"/>
                      <w:color w:val="auto"/>
                      <w:highlight w:val="none"/>
                      <w:lang w:val="en-US" w:eastAsia="zh-CN"/>
                    </w:rPr>
                    <w:t>天然气</w:t>
                  </w:r>
                </w:p>
              </w:tc>
              <w:tc>
                <w:tcPr>
                  <w:tcW w:w="630" w:type="pct"/>
                  <w:tcBorders>
                    <w:tl2br w:val="nil"/>
                    <w:tr2bl w:val="nil"/>
                  </w:tcBorders>
                  <w:vAlign w:val="center"/>
                </w:tcPr>
                <w:p w14:paraId="5A99D674">
                  <w:pPr>
                    <w:pStyle w:val="41"/>
                    <w:bidi w:val="0"/>
                    <w:jc w:val="center"/>
                    <w:rPr>
                      <w:rFonts w:hint="default"/>
                      <w:color w:val="auto"/>
                      <w:highlight w:val="none"/>
                      <w:lang w:val="en-US" w:eastAsia="zh-CN"/>
                    </w:rPr>
                  </w:pPr>
                  <w:r>
                    <w:rPr>
                      <w:rFonts w:hint="eastAsia"/>
                      <w:color w:val="auto"/>
                      <w:highlight w:val="none"/>
                      <w:lang w:val="en-US" w:eastAsia="zh-CN"/>
                    </w:rPr>
                    <w:t>74-82-3</w:t>
                  </w:r>
                </w:p>
              </w:tc>
              <w:tc>
                <w:tcPr>
                  <w:tcW w:w="687" w:type="pct"/>
                  <w:tcBorders>
                    <w:tl2br w:val="nil"/>
                    <w:tr2bl w:val="nil"/>
                  </w:tcBorders>
                  <w:vAlign w:val="center"/>
                </w:tcPr>
                <w:p w14:paraId="3838098F">
                  <w:pPr>
                    <w:pStyle w:val="41"/>
                    <w:bidi w:val="0"/>
                    <w:jc w:val="center"/>
                    <w:rPr>
                      <w:rFonts w:hint="default"/>
                      <w:color w:val="auto"/>
                      <w:highlight w:val="none"/>
                      <w:lang w:val="en-US" w:eastAsia="zh-CN"/>
                    </w:rPr>
                  </w:pPr>
                  <w:r>
                    <w:rPr>
                      <w:rFonts w:hint="eastAsia"/>
                      <w:color w:val="auto"/>
                      <w:highlight w:val="none"/>
                      <w:lang w:val="en-US" w:eastAsia="zh-CN"/>
                    </w:rPr>
                    <w:t>0.035</w:t>
                  </w:r>
                </w:p>
              </w:tc>
              <w:tc>
                <w:tcPr>
                  <w:tcW w:w="556" w:type="pct"/>
                  <w:tcBorders>
                    <w:tl2br w:val="nil"/>
                    <w:tr2bl w:val="nil"/>
                  </w:tcBorders>
                  <w:shd w:val="clear" w:color="auto" w:fill="auto"/>
                  <w:vAlign w:val="center"/>
                </w:tcPr>
                <w:p w14:paraId="6E596266">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w:t>
                  </w:r>
                </w:p>
              </w:tc>
              <w:tc>
                <w:tcPr>
                  <w:tcW w:w="1353" w:type="pct"/>
                  <w:tcBorders>
                    <w:tl2br w:val="nil"/>
                    <w:tr2bl w:val="nil"/>
                  </w:tcBorders>
                  <w:shd w:val="clear" w:color="auto" w:fill="auto"/>
                  <w:vAlign w:val="center"/>
                </w:tcPr>
                <w:p w14:paraId="1C7C17E9">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甲烷</w:t>
                  </w:r>
                </w:p>
              </w:tc>
              <w:tc>
                <w:tcPr>
                  <w:tcW w:w="676" w:type="pct"/>
                  <w:tcBorders>
                    <w:tl2br w:val="nil"/>
                    <w:tr2bl w:val="nil"/>
                  </w:tcBorders>
                  <w:shd w:val="clear" w:color="auto" w:fill="auto"/>
                  <w:vAlign w:val="center"/>
                </w:tcPr>
                <w:p w14:paraId="3F481B2F">
                  <w:pPr>
                    <w:pStyle w:val="41"/>
                    <w:bidi w:val="0"/>
                    <w:jc w:val="center"/>
                    <w:rPr>
                      <w:rFonts w:hint="eastAsia"/>
                      <w:lang w:val="en-US" w:eastAsia="zh-CN"/>
                    </w:rPr>
                  </w:pPr>
                  <w:r>
                    <w:rPr>
                      <w:rFonts w:hint="eastAsia"/>
                    </w:rPr>
                    <w:t>0.00035</w:t>
                  </w:r>
                </w:p>
              </w:tc>
            </w:tr>
            <w:tr w14:paraId="72B34A2E">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4AF6CDE6">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658F375B">
                  <w:pPr>
                    <w:pStyle w:val="41"/>
                    <w:bidi w:val="0"/>
                    <w:jc w:val="center"/>
                    <w:rPr>
                      <w:rFonts w:hint="default"/>
                      <w:color w:val="auto"/>
                      <w:highlight w:val="none"/>
                      <w:lang w:val="en-US" w:eastAsia="zh-CN"/>
                    </w:rPr>
                  </w:pPr>
                  <w:r>
                    <w:rPr>
                      <w:rFonts w:hint="eastAsia"/>
                      <w:color w:val="auto"/>
                      <w:highlight w:val="none"/>
                      <w:lang w:val="en-US" w:eastAsia="zh-CN"/>
                    </w:rPr>
                    <w:t>石油醚</w:t>
                  </w:r>
                </w:p>
              </w:tc>
              <w:tc>
                <w:tcPr>
                  <w:tcW w:w="630" w:type="pct"/>
                  <w:tcBorders>
                    <w:tl2br w:val="nil"/>
                    <w:tr2bl w:val="nil"/>
                  </w:tcBorders>
                  <w:shd w:val="clear" w:color="auto" w:fill="auto"/>
                  <w:vAlign w:val="center"/>
                </w:tcPr>
                <w:p w14:paraId="04AD14F0">
                  <w:pPr>
                    <w:pStyle w:val="41"/>
                    <w:bidi w:val="0"/>
                    <w:jc w:val="center"/>
                    <w:rPr>
                      <w:rFonts w:hint="default"/>
                      <w:color w:val="auto"/>
                      <w:highlight w:val="none"/>
                      <w:lang w:val="en-US" w:eastAsia="zh-CN"/>
                    </w:rPr>
                  </w:pPr>
                  <w:r>
                    <w:rPr>
                      <w:rFonts w:hint="eastAsia"/>
                      <w:color w:val="auto"/>
                      <w:highlight w:val="none"/>
                      <w:lang w:val="en-US" w:eastAsia="zh-CN"/>
                    </w:rPr>
                    <w:t>8032-32-4</w:t>
                  </w:r>
                </w:p>
              </w:tc>
              <w:tc>
                <w:tcPr>
                  <w:tcW w:w="687" w:type="pct"/>
                  <w:tcBorders>
                    <w:tl2br w:val="nil"/>
                    <w:tr2bl w:val="nil"/>
                  </w:tcBorders>
                  <w:shd w:val="clear" w:color="auto" w:fill="auto"/>
                  <w:vAlign w:val="center"/>
                </w:tcPr>
                <w:p w14:paraId="2689F5DD">
                  <w:pPr>
                    <w:pStyle w:val="41"/>
                    <w:bidi w:val="0"/>
                    <w:jc w:val="center"/>
                    <w:rPr>
                      <w:rFonts w:hint="default"/>
                      <w:color w:val="auto"/>
                      <w:highlight w:val="none"/>
                      <w:lang w:val="en-US" w:eastAsia="zh-CN"/>
                    </w:rPr>
                  </w:pPr>
                  <w:r>
                    <w:rPr>
                      <w:rFonts w:hint="eastAsia"/>
                      <w:color w:val="auto"/>
                      <w:highlight w:val="none"/>
                      <w:lang w:val="en-US" w:eastAsia="zh-CN"/>
                    </w:rPr>
                    <w:t>0.025</w:t>
                  </w:r>
                </w:p>
              </w:tc>
              <w:tc>
                <w:tcPr>
                  <w:tcW w:w="556" w:type="pct"/>
                  <w:tcBorders>
                    <w:tl2br w:val="nil"/>
                    <w:tr2bl w:val="nil"/>
                  </w:tcBorders>
                  <w:shd w:val="clear" w:color="auto" w:fill="auto"/>
                  <w:vAlign w:val="center"/>
                </w:tcPr>
                <w:p w14:paraId="59395DC4">
                  <w:pPr>
                    <w:pStyle w:val="41"/>
                    <w:bidi w:val="0"/>
                    <w:jc w:val="center"/>
                    <w:rPr>
                      <w:rFonts w:hint="default"/>
                      <w:color w:val="auto"/>
                      <w:highlight w:val="none"/>
                      <w:lang w:val="en-US" w:eastAsia="zh-CN"/>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18AD7B42">
                  <w:pPr>
                    <w:pStyle w:val="41"/>
                    <w:bidi w:val="0"/>
                    <w:jc w:val="center"/>
                    <w:rPr>
                      <w:rFonts w:hint="default"/>
                      <w:color w:val="auto"/>
                      <w:highlight w:val="none"/>
                      <w:lang w:val="en-US" w:eastAsia="zh-CN"/>
                    </w:rPr>
                  </w:pPr>
                  <w:r>
                    <w:rPr>
                      <w:rFonts w:hint="eastAsia"/>
                      <w:color w:val="auto"/>
                      <w:highlight w:val="none"/>
                      <w:lang w:val="en-US" w:eastAsia="zh-CN"/>
                    </w:rPr>
                    <w:t>石油醚</w:t>
                  </w:r>
                </w:p>
              </w:tc>
              <w:tc>
                <w:tcPr>
                  <w:tcW w:w="676" w:type="pct"/>
                  <w:tcBorders>
                    <w:tl2br w:val="nil"/>
                    <w:tr2bl w:val="nil"/>
                  </w:tcBorders>
                  <w:shd w:val="clear" w:color="auto" w:fill="auto"/>
                  <w:vAlign w:val="center"/>
                </w:tcPr>
                <w:p w14:paraId="2ED22310">
                  <w:pPr>
                    <w:pStyle w:val="41"/>
                    <w:bidi w:val="0"/>
                    <w:jc w:val="center"/>
                    <w:rPr>
                      <w:rFonts w:hint="eastAsia"/>
                      <w:lang w:val="en-US" w:eastAsia="zh-CN"/>
                    </w:rPr>
                  </w:pPr>
                  <w:r>
                    <w:rPr>
                      <w:rFonts w:hint="eastAsia"/>
                    </w:rPr>
                    <w:t>0.0025</w:t>
                  </w:r>
                </w:p>
              </w:tc>
            </w:tr>
            <w:tr w14:paraId="4620BF2C">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0D995843">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63971D7C">
                  <w:pPr>
                    <w:pStyle w:val="41"/>
                    <w:bidi w:val="0"/>
                    <w:jc w:val="center"/>
                    <w:rPr>
                      <w:rFonts w:hint="eastAsia"/>
                      <w:color w:val="auto"/>
                      <w:highlight w:val="none"/>
                      <w:lang w:val="en-US" w:eastAsia="zh-CN"/>
                    </w:rPr>
                  </w:pPr>
                  <w:r>
                    <w:rPr>
                      <w:rFonts w:hint="eastAsia"/>
                      <w:color w:val="auto"/>
                      <w:highlight w:val="none"/>
                    </w:rPr>
                    <w:t>N,N-二甲基甲酰胺</w:t>
                  </w:r>
                </w:p>
              </w:tc>
              <w:tc>
                <w:tcPr>
                  <w:tcW w:w="630" w:type="pct"/>
                  <w:tcBorders>
                    <w:tl2br w:val="nil"/>
                    <w:tr2bl w:val="nil"/>
                  </w:tcBorders>
                  <w:vAlign w:val="center"/>
                </w:tcPr>
                <w:p w14:paraId="50F04AFD">
                  <w:pPr>
                    <w:pStyle w:val="41"/>
                    <w:bidi w:val="0"/>
                    <w:jc w:val="center"/>
                    <w:rPr>
                      <w:rFonts w:hint="default"/>
                      <w:color w:val="auto"/>
                      <w:highlight w:val="none"/>
                      <w:lang w:val="en-US" w:eastAsia="zh-CN"/>
                    </w:rPr>
                  </w:pPr>
                  <w:r>
                    <w:rPr>
                      <w:rFonts w:hint="eastAsia"/>
                      <w:color w:val="auto"/>
                      <w:highlight w:val="none"/>
                      <w:lang w:val="en-US" w:eastAsia="zh-CN"/>
                    </w:rPr>
                    <w:t>68-12-2</w:t>
                  </w:r>
                </w:p>
              </w:tc>
              <w:tc>
                <w:tcPr>
                  <w:tcW w:w="687" w:type="pct"/>
                  <w:tcBorders>
                    <w:tl2br w:val="nil"/>
                    <w:tr2bl w:val="nil"/>
                  </w:tcBorders>
                  <w:vAlign w:val="center"/>
                </w:tcPr>
                <w:p w14:paraId="088AA7C4">
                  <w:pPr>
                    <w:pStyle w:val="41"/>
                    <w:bidi w:val="0"/>
                    <w:jc w:val="center"/>
                    <w:rPr>
                      <w:rFonts w:hint="default"/>
                      <w:color w:val="auto"/>
                      <w:highlight w:val="none"/>
                      <w:lang w:val="en-US" w:eastAsia="zh-CN"/>
                    </w:rPr>
                  </w:pPr>
                  <w:r>
                    <w:rPr>
                      <w:rFonts w:hint="eastAsia"/>
                      <w:color w:val="auto"/>
                      <w:highlight w:val="none"/>
                      <w:lang w:val="en-US" w:eastAsia="zh-CN"/>
                    </w:rPr>
                    <w:t>0.005</w:t>
                  </w:r>
                </w:p>
              </w:tc>
              <w:tc>
                <w:tcPr>
                  <w:tcW w:w="556" w:type="pct"/>
                  <w:tcBorders>
                    <w:tl2br w:val="nil"/>
                    <w:tr2bl w:val="nil"/>
                  </w:tcBorders>
                  <w:shd w:val="clear" w:color="auto" w:fill="auto"/>
                  <w:vAlign w:val="center"/>
                </w:tcPr>
                <w:p w14:paraId="0422BBEA">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w:t>
                  </w:r>
                </w:p>
              </w:tc>
              <w:tc>
                <w:tcPr>
                  <w:tcW w:w="1353" w:type="pct"/>
                  <w:tcBorders>
                    <w:tl2br w:val="nil"/>
                    <w:tr2bl w:val="nil"/>
                  </w:tcBorders>
                  <w:shd w:val="clear" w:color="auto" w:fill="auto"/>
                  <w:vAlign w:val="center"/>
                </w:tcPr>
                <w:p w14:paraId="7B8AB1FC">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N,N-二甲基甲酰胺</w:t>
                  </w:r>
                </w:p>
              </w:tc>
              <w:tc>
                <w:tcPr>
                  <w:tcW w:w="676" w:type="pct"/>
                  <w:tcBorders>
                    <w:tl2br w:val="nil"/>
                    <w:tr2bl w:val="nil"/>
                  </w:tcBorders>
                  <w:shd w:val="clear" w:color="auto" w:fill="auto"/>
                  <w:vAlign w:val="center"/>
                </w:tcPr>
                <w:p w14:paraId="240CF277">
                  <w:pPr>
                    <w:pStyle w:val="41"/>
                    <w:bidi w:val="0"/>
                    <w:jc w:val="center"/>
                    <w:rPr>
                      <w:rFonts w:hint="eastAsia"/>
                      <w:lang w:val="en-US" w:eastAsia="zh-CN"/>
                    </w:rPr>
                  </w:pPr>
                  <w:r>
                    <w:rPr>
                      <w:rFonts w:hint="eastAsia"/>
                    </w:rPr>
                    <w:t>0.001</w:t>
                  </w:r>
                </w:p>
              </w:tc>
            </w:tr>
            <w:tr w14:paraId="2DF7F254">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7CAAF449">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6F51D098">
                  <w:pPr>
                    <w:pStyle w:val="41"/>
                    <w:bidi w:val="0"/>
                    <w:jc w:val="center"/>
                    <w:rPr>
                      <w:rFonts w:hint="eastAsia" w:eastAsia="宋体"/>
                      <w:color w:val="auto"/>
                      <w:highlight w:val="none"/>
                      <w:lang w:val="en-US" w:eastAsia="zh-CN"/>
                    </w:rPr>
                  </w:pPr>
                  <w:r>
                    <w:rPr>
                      <w:rFonts w:hint="eastAsia"/>
                      <w:color w:val="auto"/>
                      <w:highlight w:val="none"/>
                      <w:lang w:val="en-US" w:eastAsia="zh-CN"/>
                    </w:rPr>
                    <w:t>甲酸</w:t>
                  </w:r>
                </w:p>
              </w:tc>
              <w:tc>
                <w:tcPr>
                  <w:tcW w:w="630" w:type="pct"/>
                  <w:tcBorders>
                    <w:tl2br w:val="nil"/>
                    <w:tr2bl w:val="nil"/>
                  </w:tcBorders>
                  <w:vAlign w:val="center"/>
                </w:tcPr>
                <w:p w14:paraId="175C6FB6">
                  <w:pPr>
                    <w:pStyle w:val="41"/>
                    <w:bidi w:val="0"/>
                    <w:jc w:val="center"/>
                    <w:rPr>
                      <w:rFonts w:hint="default"/>
                      <w:color w:val="auto"/>
                      <w:highlight w:val="none"/>
                      <w:lang w:val="en-US" w:eastAsia="zh-CN"/>
                    </w:rPr>
                  </w:pPr>
                  <w:r>
                    <w:rPr>
                      <w:rFonts w:hint="eastAsia"/>
                      <w:color w:val="auto"/>
                      <w:highlight w:val="none"/>
                      <w:lang w:val="en-US" w:eastAsia="zh-CN"/>
                    </w:rPr>
                    <w:t>64-18-6</w:t>
                  </w:r>
                </w:p>
              </w:tc>
              <w:tc>
                <w:tcPr>
                  <w:tcW w:w="687" w:type="pct"/>
                  <w:tcBorders>
                    <w:tl2br w:val="nil"/>
                    <w:tr2bl w:val="nil"/>
                  </w:tcBorders>
                  <w:vAlign w:val="center"/>
                </w:tcPr>
                <w:p w14:paraId="3C0D4EB0">
                  <w:pPr>
                    <w:pStyle w:val="41"/>
                    <w:bidi w:val="0"/>
                    <w:jc w:val="center"/>
                    <w:rPr>
                      <w:rFonts w:hint="default"/>
                      <w:color w:val="auto"/>
                      <w:highlight w:val="none"/>
                      <w:lang w:val="en-US" w:eastAsia="zh-CN"/>
                    </w:rPr>
                  </w:pPr>
                  <w:r>
                    <w:rPr>
                      <w:rFonts w:hint="eastAsia"/>
                      <w:color w:val="auto"/>
                      <w:highlight w:val="none"/>
                      <w:lang w:val="en-US" w:eastAsia="zh-CN"/>
                    </w:rPr>
                    <w:t>0.0115</w:t>
                  </w:r>
                </w:p>
              </w:tc>
              <w:tc>
                <w:tcPr>
                  <w:tcW w:w="556" w:type="pct"/>
                  <w:tcBorders>
                    <w:tl2br w:val="nil"/>
                    <w:tr2bl w:val="nil"/>
                  </w:tcBorders>
                  <w:shd w:val="clear" w:color="auto" w:fill="auto"/>
                  <w:vAlign w:val="center"/>
                </w:tcPr>
                <w:p w14:paraId="01652827">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10</w:t>
                  </w:r>
                </w:p>
              </w:tc>
              <w:tc>
                <w:tcPr>
                  <w:tcW w:w="1353" w:type="pct"/>
                  <w:tcBorders>
                    <w:tl2br w:val="nil"/>
                    <w:tr2bl w:val="nil"/>
                  </w:tcBorders>
                  <w:shd w:val="clear" w:color="auto" w:fill="auto"/>
                  <w:vAlign w:val="center"/>
                </w:tcPr>
                <w:p w14:paraId="26E6E2F0">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甲酸</w:t>
                  </w:r>
                </w:p>
              </w:tc>
              <w:tc>
                <w:tcPr>
                  <w:tcW w:w="676" w:type="pct"/>
                  <w:tcBorders>
                    <w:tl2br w:val="nil"/>
                    <w:tr2bl w:val="nil"/>
                  </w:tcBorders>
                  <w:shd w:val="clear" w:color="auto" w:fill="auto"/>
                  <w:vAlign w:val="center"/>
                </w:tcPr>
                <w:p w14:paraId="0E719DD9">
                  <w:pPr>
                    <w:pStyle w:val="41"/>
                    <w:bidi w:val="0"/>
                    <w:jc w:val="center"/>
                    <w:rPr>
                      <w:rFonts w:hint="eastAsia"/>
                      <w:lang w:val="en-US" w:eastAsia="zh-CN"/>
                    </w:rPr>
                  </w:pPr>
                  <w:r>
                    <w:rPr>
                      <w:rFonts w:hint="eastAsia"/>
                    </w:rPr>
                    <w:t>0.00115</w:t>
                  </w:r>
                </w:p>
              </w:tc>
            </w:tr>
            <w:tr w14:paraId="21D0E345">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1860AAD8">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1DFE0350">
                  <w:pPr>
                    <w:pStyle w:val="41"/>
                    <w:bidi w:val="0"/>
                    <w:rPr>
                      <w:rFonts w:hint="eastAsia" w:ascii="Times New Roman" w:hAnsi="Times New Roman" w:eastAsia="宋体" w:cs="Times New Roman"/>
                      <w:color w:val="FF0000"/>
                      <w:kern w:val="0"/>
                      <w:sz w:val="21"/>
                      <w:szCs w:val="24"/>
                      <w:lang w:val="en-US" w:eastAsia="zh-CN" w:bidi="ar-SA"/>
                    </w:rPr>
                  </w:pPr>
                  <w:r>
                    <w:rPr>
                      <w:rFonts w:hint="eastAsia"/>
                      <w:color w:val="FF0000"/>
                    </w:rPr>
                    <w:t>甲醇（分析纯）</w:t>
                  </w:r>
                </w:p>
              </w:tc>
              <w:tc>
                <w:tcPr>
                  <w:tcW w:w="630" w:type="pct"/>
                  <w:tcBorders>
                    <w:tl2br w:val="nil"/>
                    <w:tr2bl w:val="nil"/>
                  </w:tcBorders>
                  <w:shd w:val="clear" w:color="auto" w:fill="auto"/>
                  <w:vAlign w:val="center"/>
                </w:tcPr>
                <w:p w14:paraId="493F9EC1">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67-56-1</w:t>
                  </w:r>
                </w:p>
              </w:tc>
              <w:tc>
                <w:tcPr>
                  <w:tcW w:w="687" w:type="pct"/>
                  <w:tcBorders>
                    <w:tl2br w:val="nil"/>
                    <w:tr2bl w:val="nil"/>
                  </w:tcBorders>
                  <w:shd w:val="clear" w:color="auto" w:fill="auto"/>
                  <w:vAlign w:val="center"/>
                </w:tcPr>
                <w:p w14:paraId="7E9706A4">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0.02</w:t>
                  </w:r>
                </w:p>
              </w:tc>
              <w:tc>
                <w:tcPr>
                  <w:tcW w:w="556" w:type="pct"/>
                  <w:tcBorders>
                    <w:tl2br w:val="nil"/>
                    <w:tr2bl w:val="nil"/>
                  </w:tcBorders>
                  <w:shd w:val="clear" w:color="auto" w:fill="auto"/>
                  <w:vAlign w:val="center"/>
                </w:tcPr>
                <w:p w14:paraId="07166B24">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1E7E7019">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甲醇</w:t>
                  </w:r>
                </w:p>
              </w:tc>
              <w:tc>
                <w:tcPr>
                  <w:tcW w:w="676" w:type="pct"/>
                  <w:tcBorders>
                    <w:tl2br w:val="nil"/>
                    <w:tr2bl w:val="nil"/>
                  </w:tcBorders>
                  <w:shd w:val="clear" w:color="auto" w:fill="auto"/>
                  <w:vAlign w:val="center"/>
                </w:tcPr>
                <w:p w14:paraId="58B86FCD">
                  <w:pPr>
                    <w:pStyle w:val="41"/>
                    <w:bidi w:val="0"/>
                    <w:jc w:val="center"/>
                    <w:rPr>
                      <w:rFonts w:hint="eastAsia"/>
                      <w:lang w:val="en-US" w:eastAsia="zh-CN"/>
                    </w:rPr>
                  </w:pPr>
                  <w:r>
                    <w:rPr>
                      <w:rFonts w:hint="eastAsia"/>
                    </w:rPr>
                    <w:t>0.002</w:t>
                  </w:r>
                </w:p>
              </w:tc>
            </w:tr>
            <w:tr w14:paraId="2B95467D">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521A3690">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43F89B27">
                  <w:pPr>
                    <w:pStyle w:val="41"/>
                    <w:bidi w:val="0"/>
                    <w:rPr>
                      <w:rFonts w:hint="eastAsia" w:ascii="Times New Roman" w:hAnsi="Times New Roman" w:eastAsia="宋体" w:cs="Times New Roman"/>
                      <w:color w:val="FF0000"/>
                      <w:kern w:val="0"/>
                      <w:sz w:val="21"/>
                      <w:szCs w:val="24"/>
                      <w:lang w:val="en-US" w:eastAsia="zh-CN" w:bidi="ar-SA"/>
                    </w:rPr>
                  </w:pPr>
                  <w:r>
                    <w:rPr>
                      <w:rFonts w:hint="eastAsia"/>
                      <w:color w:val="FF0000"/>
                    </w:rPr>
                    <w:t>甲醇（质谱纯）</w:t>
                  </w:r>
                </w:p>
              </w:tc>
              <w:tc>
                <w:tcPr>
                  <w:tcW w:w="630" w:type="pct"/>
                  <w:tcBorders>
                    <w:tl2br w:val="nil"/>
                    <w:tr2bl w:val="nil"/>
                  </w:tcBorders>
                  <w:shd w:val="clear" w:color="auto" w:fill="auto"/>
                  <w:vAlign w:val="center"/>
                </w:tcPr>
                <w:p w14:paraId="5D14F465">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67-56-1</w:t>
                  </w:r>
                </w:p>
              </w:tc>
              <w:tc>
                <w:tcPr>
                  <w:tcW w:w="687" w:type="pct"/>
                  <w:tcBorders>
                    <w:tl2br w:val="nil"/>
                    <w:tr2bl w:val="nil"/>
                  </w:tcBorders>
                  <w:shd w:val="clear" w:color="auto" w:fill="auto"/>
                  <w:vAlign w:val="center"/>
                </w:tcPr>
                <w:p w14:paraId="3C122B84">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0.02</w:t>
                  </w:r>
                </w:p>
              </w:tc>
              <w:tc>
                <w:tcPr>
                  <w:tcW w:w="556" w:type="pct"/>
                  <w:tcBorders>
                    <w:tl2br w:val="nil"/>
                    <w:tr2bl w:val="nil"/>
                  </w:tcBorders>
                  <w:shd w:val="clear" w:color="auto" w:fill="auto"/>
                  <w:vAlign w:val="center"/>
                </w:tcPr>
                <w:p w14:paraId="04A9C991">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6CEEC8F4">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甲醇</w:t>
                  </w:r>
                </w:p>
              </w:tc>
              <w:tc>
                <w:tcPr>
                  <w:tcW w:w="676" w:type="pct"/>
                  <w:tcBorders>
                    <w:tl2br w:val="nil"/>
                    <w:tr2bl w:val="nil"/>
                  </w:tcBorders>
                  <w:shd w:val="clear" w:color="auto" w:fill="auto"/>
                  <w:vAlign w:val="center"/>
                </w:tcPr>
                <w:p w14:paraId="300CE0EF">
                  <w:pPr>
                    <w:pStyle w:val="41"/>
                    <w:bidi w:val="0"/>
                    <w:jc w:val="center"/>
                    <w:rPr>
                      <w:rFonts w:hint="eastAsia"/>
                      <w:lang w:val="en-US" w:eastAsia="zh-CN"/>
                    </w:rPr>
                  </w:pPr>
                  <w:r>
                    <w:rPr>
                      <w:rFonts w:hint="eastAsia"/>
                    </w:rPr>
                    <w:t>0.002</w:t>
                  </w:r>
                </w:p>
              </w:tc>
            </w:tr>
            <w:tr w14:paraId="75B28D3D">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7D0E718A">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1D25BE28">
                  <w:pPr>
                    <w:pStyle w:val="41"/>
                    <w:bidi w:val="0"/>
                    <w:rPr>
                      <w:rFonts w:hint="eastAsia" w:ascii="Times New Roman" w:hAnsi="Times New Roman" w:eastAsia="宋体" w:cs="Times New Roman"/>
                      <w:color w:val="FF0000"/>
                      <w:kern w:val="0"/>
                      <w:sz w:val="21"/>
                      <w:szCs w:val="24"/>
                      <w:lang w:val="en-US" w:eastAsia="zh-CN" w:bidi="ar-SA"/>
                    </w:rPr>
                  </w:pPr>
                  <w:r>
                    <w:rPr>
                      <w:rFonts w:hint="eastAsia"/>
                      <w:color w:val="FF0000"/>
                    </w:rPr>
                    <w:t>甲醇（色谱纯）</w:t>
                  </w:r>
                </w:p>
              </w:tc>
              <w:tc>
                <w:tcPr>
                  <w:tcW w:w="630" w:type="pct"/>
                  <w:tcBorders>
                    <w:tl2br w:val="nil"/>
                    <w:tr2bl w:val="nil"/>
                  </w:tcBorders>
                  <w:shd w:val="clear" w:color="auto" w:fill="auto"/>
                  <w:vAlign w:val="center"/>
                </w:tcPr>
                <w:p w14:paraId="3E6F27A3">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67-56-1</w:t>
                  </w:r>
                </w:p>
              </w:tc>
              <w:tc>
                <w:tcPr>
                  <w:tcW w:w="687" w:type="pct"/>
                  <w:tcBorders>
                    <w:tl2br w:val="nil"/>
                    <w:tr2bl w:val="nil"/>
                  </w:tcBorders>
                  <w:shd w:val="clear" w:color="auto" w:fill="auto"/>
                  <w:vAlign w:val="center"/>
                </w:tcPr>
                <w:p w14:paraId="00322E78">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0.05</w:t>
                  </w:r>
                </w:p>
              </w:tc>
              <w:tc>
                <w:tcPr>
                  <w:tcW w:w="556" w:type="pct"/>
                  <w:tcBorders>
                    <w:tl2br w:val="nil"/>
                    <w:tr2bl w:val="nil"/>
                  </w:tcBorders>
                  <w:shd w:val="clear" w:color="auto" w:fill="auto"/>
                  <w:vAlign w:val="center"/>
                </w:tcPr>
                <w:p w14:paraId="76700D0A">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433FD91C">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甲醇</w:t>
                  </w:r>
                </w:p>
              </w:tc>
              <w:tc>
                <w:tcPr>
                  <w:tcW w:w="676" w:type="pct"/>
                  <w:tcBorders>
                    <w:tl2br w:val="nil"/>
                    <w:tr2bl w:val="nil"/>
                  </w:tcBorders>
                  <w:shd w:val="clear" w:color="auto" w:fill="auto"/>
                  <w:vAlign w:val="center"/>
                </w:tcPr>
                <w:p w14:paraId="6671DF82">
                  <w:pPr>
                    <w:pStyle w:val="41"/>
                    <w:bidi w:val="0"/>
                    <w:jc w:val="center"/>
                    <w:rPr>
                      <w:rFonts w:hint="eastAsia"/>
                      <w:lang w:val="en-US" w:eastAsia="zh-CN"/>
                    </w:rPr>
                  </w:pPr>
                  <w:r>
                    <w:rPr>
                      <w:rFonts w:hint="eastAsia"/>
                    </w:rPr>
                    <w:t>0.005</w:t>
                  </w:r>
                </w:p>
              </w:tc>
            </w:tr>
            <w:tr w14:paraId="01DEE0FA">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5D9578B0">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7482A00E">
                  <w:pPr>
                    <w:pStyle w:val="41"/>
                    <w:bidi w:val="0"/>
                    <w:rPr>
                      <w:rFonts w:hint="eastAsia" w:ascii="Times New Roman" w:hAnsi="Times New Roman" w:eastAsia="宋体" w:cs="Times New Roman"/>
                      <w:color w:val="FF0000"/>
                      <w:kern w:val="0"/>
                      <w:sz w:val="21"/>
                      <w:szCs w:val="24"/>
                      <w:lang w:val="en-US" w:eastAsia="zh-CN" w:bidi="ar-SA"/>
                    </w:rPr>
                  </w:pPr>
                  <w:r>
                    <w:rPr>
                      <w:rFonts w:hint="eastAsia"/>
                      <w:color w:val="FF0000"/>
                    </w:rPr>
                    <w:t>乙腈（色谱纯）</w:t>
                  </w:r>
                </w:p>
              </w:tc>
              <w:tc>
                <w:tcPr>
                  <w:tcW w:w="630" w:type="pct"/>
                  <w:tcBorders>
                    <w:tl2br w:val="nil"/>
                    <w:tr2bl w:val="nil"/>
                  </w:tcBorders>
                  <w:shd w:val="clear" w:color="auto" w:fill="auto"/>
                  <w:vAlign w:val="center"/>
                </w:tcPr>
                <w:p w14:paraId="758B0BEE">
                  <w:pPr>
                    <w:pStyle w:val="41"/>
                    <w:bidi w:val="0"/>
                    <w:jc w:val="center"/>
                    <w:rPr>
                      <w:rFonts w:hint="default"/>
                      <w:color w:val="auto"/>
                      <w:highlight w:val="none"/>
                      <w:lang w:val="en-US" w:eastAsia="zh-CN"/>
                    </w:rPr>
                  </w:pPr>
                  <w:r>
                    <w:rPr>
                      <w:rFonts w:hint="eastAsia"/>
                      <w:color w:val="auto"/>
                      <w:highlight w:val="none"/>
                      <w:lang w:val="en-US" w:eastAsia="zh-CN"/>
                    </w:rPr>
                    <w:t>75-05-8</w:t>
                  </w:r>
                </w:p>
              </w:tc>
              <w:tc>
                <w:tcPr>
                  <w:tcW w:w="687" w:type="pct"/>
                  <w:tcBorders>
                    <w:tl2br w:val="nil"/>
                    <w:tr2bl w:val="nil"/>
                  </w:tcBorders>
                  <w:shd w:val="clear" w:color="auto" w:fill="auto"/>
                  <w:vAlign w:val="center"/>
                </w:tcPr>
                <w:p w14:paraId="3E9C7977">
                  <w:pPr>
                    <w:pStyle w:val="41"/>
                    <w:bidi w:val="0"/>
                    <w:jc w:val="center"/>
                    <w:rPr>
                      <w:rFonts w:hint="default"/>
                      <w:color w:val="auto"/>
                      <w:highlight w:val="none"/>
                      <w:lang w:val="en-US" w:eastAsia="zh-CN"/>
                    </w:rPr>
                  </w:pPr>
                  <w:r>
                    <w:rPr>
                      <w:rFonts w:hint="eastAsia"/>
                      <w:color w:val="auto"/>
                      <w:highlight w:val="none"/>
                      <w:lang w:val="en-US" w:eastAsia="zh-CN"/>
                    </w:rPr>
                    <w:t>0.05</w:t>
                  </w:r>
                </w:p>
              </w:tc>
              <w:tc>
                <w:tcPr>
                  <w:tcW w:w="556" w:type="pct"/>
                  <w:tcBorders>
                    <w:tl2br w:val="nil"/>
                    <w:tr2bl w:val="nil"/>
                  </w:tcBorders>
                  <w:shd w:val="clear" w:color="auto" w:fill="auto"/>
                  <w:vAlign w:val="center"/>
                </w:tcPr>
                <w:p w14:paraId="083D70FB">
                  <w:pPr>
                    <w:pStyle w:val="41"/>
                    <w:bidi w:val="0"/>
                    <w:jc w:val="center"/>
                    <w:rPr>
                      <w:rFonts w:hint="default"/>
                      <w:color w:val="auto"/>
                      <w:highlight w:val="none"/>
                      <w:lang w:val="en-US" w:eastAsia="zh-CN"/>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551D1CFD">
                  <w:pPr>
                    <w:pStyle w:val="41"/>
                    <w:bidi w:val="0"/>
                    <w:jc w:val="center"/>
                    <w:rPr>
                      <w:rFonts w:hint="default"/>
                      <w:color w:val="auto"/>
                      <w:highlight w:val="none"/>
                      <w:lang w:val="en-US" w:eastAsia="zh-CN"/>
                    </w:rPr>
                  </w:pPr>
                  <w:r>
                    <w:rPr>
                      <w:rFonts w:hint="eastAsia"/>
                      <w:color w:val="auto"/>
                      <w:highlight w:val="none"/>
                      <w:lang w:val="en-US" w:eastAsia="zh-CN"/>
                    </w:rPr>
                    <w:t>乙腈</w:t>
                  </w:r>
                </w:p>
              </w:tc>
              <w:tc>
                <w:tcPr>
                  <w:tcW w:w="676" w:type="pct"/>
                  <w:tcBorders>
                    <w:tl2br w:val="nil"/>
                    <w:tr2bl w:val="nil"/>
                  </w:tcBorders>
                  <w:shd w:val="clear" w:color="auto" w:fill="auto"/>
                  <w:vAlign w:val="center"/>
                </w:tcPr>
                <w:p w14:paraId="2BEE9B64">
                  <w:pPr>
                    <w:pStyle w:val="41"/>
                    <w:bidi w:val="0"/>
                    <w:jc w:val="center"/>
                    <w:rPr>
                      <w:rFonts w:hint="eastAsia"/>
                      <w:lang w:val="en-US" w:eastAsia="zh-CN"/>
                    </w:rPr>
                  </w:pPr>
                  <w:r>
                    <w:rPr>
                      <w:rFonts w:hint="eastAsia"/>
                    </w:rPr>
                    <w:t>0.005</w:t>
                  </w:r>
                </w:p>
              </w:tc>
            </w:tr>
            <w:tr w14:paraId="11195077">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792360CA">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554AF9F9">
                  <w:pPr>
                    <w:pStyle w:val="41"/>
                    <w:bidi w:val="0"/>
                    <w:rPr>
                      <w:rFonts w:hint="eastAsia" w:ascii="Times New Roman" w:hAnsi="Times New Roman" w:eastAsia="宋体" w:cs="Times New Roman"/>
                      <w:color w:val="FF0000"/>
                      <w:kern w:val="0"/>
                      <w:sz w:val="21"/>
                      <w:szCs w:val="24"/>
                      <w:lang w:val="en-US" w:eastAsia="zh-CN" w:bidi="ar-SA"/>
                    </w:rPr>
                  </w:pPr>
                  <w:r>
                    <w:rPr>
                      <w:rFonts w:hint="eastAsia"/>
                      <w:color w:val="FF0000"/>
                    </w:rPr>
                    <w:t>乙腈（质谱纯）</w:t>
                  </w:r>
                </w:p>
              </w:tc>
              <w:tc>
                <w:tcPr>
                  <w:tcW w:w="630" w:type="pct"/>
                  <w:tcBorders>
                    <w:tl2br w:val="nil"/>
                    <w:tr2bl w:val="nil"/>
                  </w:tcBorders>
                  <w:shd w:val="clear" w:color="auto" w:fill="auto"/>
                  <w:vAlign w:val="center"/>
                </w:tcPr>
                <w:p w14:paraId="0786237E">
                  <w:pPr>
                    <w:pStyle w:val="41"/>
                    <w:bidi w:val="0"/>
                    <w:jc w:val="center"/>
                    <w:rPr>
                      <w:rFonts w:hint="default"/>
                      <w:color w:val="auto"/>
                      <w:highlight w:val="none"/>
                      <w:lang w:val="en-US" w:eastAsia="zh-CN"/>
                    </w:rPr>
                  </w:pPr>
                  <w:r>
                    <w:rPr>
                      <w:rFonts w:hint="eastAsia"/>
                      <w:color w:val="auto"/>
                      <w:highlight w:val="none"/>
                      <w:lang w:val="en-US" w:eastAsia="zh-CN"/>
                    </w:rPr>
                    <w:t>75-05-8</w:t>
                  </w:r>
                </w:p>
              </w:tc>
              <w:tc>
                <w:tcPr>
                  <w:tcW w:w="687" w:type="pct"/>
                  <w:tcBorders>
                    <w:tl2br w:val="nil"/>
                    <w:tr2bl w:val="nil"/>
                  </w:tcBorders>
                  <w:shd w:val="clear" w:color="auto" w:fill="auto"/>
                  <w:vAlign w:val="center"/>
                </w:tcPr>
                <w:p w14:paraId="0F059DC5">
                  <w:pPr>
                    <w:pStyle w:val="41"/>
                    <w:bidi w:val="0"/>
                    <w:jc w:val="center"/>
                    <w:rPr>
                      <w:rFonts w:hint="default"/>
                      <w:color w:val="auto"/>
                      <w:highlight w:val="none"/>
                      <w:lang w:val="en-US" w:eastAsia="zh-CN"/>
                    </w:rPr>
                  </w:pPr>
                  <w:r>
                    <w:rPr>
                      <w:rFonts w:hint="eastAsia"/>
                      <w:color w:val="auto"/>
                      <w:highlight w:val="none"/>
                      <w:lang w:val="en-US" w:eastAsia="zh-CN"/>
                    </w:rPr>
                    <w:t>0.05</w:t>
                  </w:r>
                </w:p>
              </w:tc>
              <w:tc>
                <w:tcPr>
                  <w:tcW w:w="556" w:type="pct"/>
                  <w:tcBorders>
                    <w:tl2br w:val="nil"/>
                    <w:tr2bl w:val="nil"/>
                  </w:tcBorders>
                  <w:shd w:val="clear" w:color="auto" w:fill="auto"/>
                  <w:vAlign w:val="center"/>
                </w:tcPr>
                <w:p w14:paraId="4632904D">
                  <w:pPr>
                    <w:pStyle w:val="41"/>
                    <w:bidi w:val="0"/>
                    <w:jc w:val="center"/>
                    <w:rPr>
                      <w:rFonts w:hint="default"/>
                      <w:color w:val="auto"/>
                      <w:highlight w:val="none"/>
                      <w:lang w:val="en-US" w:eastAsia="zh-CN"/>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1DF3FAD8">
                  <w:pPr>
                    <w:pStyle w:val="41"/>
                    <w:bidi w:val="0"/>
                    <w:jc w:val="center"/>
                    <w:rPr>
                      <w:rFonts w:hint="default"/>
                      <w:color w:val="auto"/>
                      <w:highlight w:val="none"/>
                      <w:lang w:val="en-US" w:eastAsia="zh-CN"/>
                    </w:rPr>
                  </w:pPr>
                  <w:r>
                    <w:rPr>
                      <w:rFonts w:hint="eastAsia"/>
                      <w:color w:val="auto"/>
                      <w:highlight w:val="none"/>
                      <w:lang w:val="en-US" w:eastAsia="zh-CN"/>
                    </w:rPr>
                    <w:t>乙腈</w:t>
                  </w:r>
                </w:p>
              </w:tc>
              <w:tc>
                <w:tcPr>
                  <w:tcW w:w="676" w:type="pct"/>
                  <w:tcBorders>
                    <w:tl2br w:val="nil"/>
                    <w:tr2bl w:val="nil"/>
                  </w:tcBorders>
                  <w:shd w:val="clear" w:color="auto" w:fill="auto"/>
                  <w:vAlign w:val="center"/>
                </w:tcPr>
                <w:p w14:paraId="4DFA17FC">
                  <w:pPr>
                    <w:pStyle w:val="41"/>
                    <w:bidi w:val="0"/>
                    <w:jc w:val="center"/>
                    <w:rPr>
                      <w:rFonts w:hint="eastAsia"/>
                      <w:lang w:val="en-US" w:eastAsia="zh-CN"/>
                    </w:rPr>
                  </w:pPr>
                  <w:r>
                    <w:rPr>
                      <w:rFonts w:hint="eastAsia"/>
                    </w:rPr>
                    <w:t>0.005</w:t>
                  </w:r>
                </w:p>
              </w:tc>
            </w:tr>
            <w:tr w14:paraId="544B23CC">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45A023E7">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61CC9E3D">
                  <w:pPr>
                    <w:pStyle w:val="41"/>
                    <w:bidi w:val="0"/>
                    <w:rPr>
                      <w:rFonts w:hint="eastAsia"/>
                      <w:color w:val="FF0000"/>
                    </w:rPr>
                  </w:pPr>
                  <w:r>
                    <w:rPr>
                      <w:rFonts w:hint="eastAsia"/>
                      <w:color w:val="FF0000"/>
                    </w:rPr>
                    <w:t>正丁醇</w:t>
                  </w:r>
                </w:p>
              </w:tc>
              <w:tc>
                <w:tcPr>
                  <w:tcW w:w="630" w:type="pct"/>
                  <w:tcBorders>
                    <w:tl2br w:val="nil"/>
                    <w:tr2bl w:val="nil"/>
                  </w:tcBorders>
                  <w:shd w:val="clear" w:color="auto" w:fill="auto"/>
                  <w:vAlign w:val="center"/>
                </w:tcPr>
                <w:p w14:paraId="314080CE">
                  <w:pPr>
                    <w:pStyle w:val="41"/>
                    <w:bidi w:val="0"/>
                    <w:jc w:val="center"/>
                    <w:rPr>
                      <w:rFonts w:hint="default"/>
                      <w:color w:val="auto"/>
                      <w:highlight w:val="none"/>
                      <w:lang w:val="en-US" w:eastAsia="zh-CN"/>
                    </w:rPr>
                  </w:pPr>
                  <w:r>
                    <w:rPr>
                      <w:rFonts w:hint="eastAsia"/>
                      <w:color w:val="auto"/>
                      <w:highlight w:val="none"/>
                      <w:lang w:val="en-US" w:eastAsia="zh-CN"/>
                    </w:rPr>
                    <w:t>71-36-3</w:t>
                  </w:r>
                </w:p>
              </w:tc>
              <w:tc>
                <w:tcPr>
                  <w:tcW w:w="687" w:type="pct"/>
                  <w:tcBorders>
                    <w:tl2br w:val="nil"/>
                    <w:tr2bl w:val="nil"/>
                  </w:tcBorders>
                  <w:shd w:val="clear" w:color="auto" w:fill="auto"/>
                  <w:vAlign w:val="center"/>
                </w:tcPr>
                <w:p w14:paraId="14B2E580">
                  <w:pPr>
                    <w:pStyle w:val="41"/>
                    <w:bidi w:val="0"/>
                    <w:jc w:val="center"/>
                    <w:rPr>
                      <w:rFonts w:hint="default"/>
                      <w:color w:val="auto"/>
                      <w:highlight w:val="none"/>
                      <w:lang w:val="en-US" w:eastAsia="zh-CN"/>
                    </w:rPr>
                  </w:pPr>
                  <w:r>
                    <w:rPr>
                      <w:rFonts w:hint="eastAsia"/>
                      <w:color w:val="auto"/>
                      <w:highlight w:val="none"/>
                      <w:lang w:val="en-US" w:eastAsia="zh-CN"/>
                    </w:rPr>
                    <w:t>0.02</w:t>
                  </w:r>
                </w:p>
              </w:tc>
              <w:tc>
                <w:tcPr>
                  <w:tcW w:w="556" w:type="pct"/>
                  <w:tcBorders>
                    <w:tl2br w:val="nil"/>
                    <w:tr2bl w:val="nil"/>
                  </w:tcBorders>
                  <w:shd w:val="clear" w:color="auto" w:fill="auto"/>
                  <w:vAlign w:val="center"/>
                </w:tcPr>
                <w:p w14:paraId="1717B0E7">
                  <w:pPr>
                    <w:pStyle w:val="41"/>
                    <w:bidi w:val="0"/>
                    <w:jc w:val="center"/>
                    <w:rPr>
                      <w:rFonts w:hint="default"/>
                      <w:color w:val="auto"/>
                      <w:highlight w:val="none"/>
                      <w:lang w:val="en-US" w:eastAsia="zh-CN"/>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28C5F89A">
                  <w:pPr>
                    <w:pStyle w:val="41"/>
                    <w:bidi w:val="0"/>
                    <w:jc w:val="center"/>
                    <w:rPr>
                      <w:rFonts w:hint="default"/>
                      <w:color w:val="auto"/>
                      <w:highlight w:val="none"/>
                      <w:lang w:val="en-US" w:eastAsia="zh-CN"/>
                    </w:rPr>
                  </w:pPr>
                  <w:r>
                    <w:rPr>
                      <w:rFonts w:hint="eastAsia"/>
                      <w:color w:val="auto"/>
                      <w:highlight w:val="none"/>
                      <w:lang w:val="en-US" w:eastAsia="zh-CN"/>
                    </w:rPr>
                    <w:t>丁醇</w:t>
                  </w:r>
                </w:p>
              </w:tc>
              <w:tc>
                <w:tcPr>
                  <w:tcW w:w="676" w:type="pct"/>
                  <w:tcBorders>
                    <w:tl2br w:val="nil"/>
                    <w:tr2bl w:val="nil"/>
                  </w:tcBorders>
                  <w:shd w:val="clear" w:color="auto" w:fill="auto"/>
                  <w:vAlign w:val="center"/>
                </w:tcPr>
                <w:p w14:paraId="25A74FDE">
                  <w:pPr>
                    <w:pStyle w:val="41"/>
                    <w:bidi w:val="0"/>
                    <w:jc w:val="center"/>
                    <w:rPr>
                      <w:rFonts w:hint="eastAsia"/>
                      <w:lang w:val="en-US" w:eastAsia="zh-CN"/>
                    </w:rPr>
                  </w:pPr>
                  <w:r>
                    <w:rPr>
                      <w:rFonts w:hint="eastAsia"/>
                    </w:rPr>
                    <w:t>0.002</w:t>
                  </w:r>
                </w:p>
              </w:tc>
            </w:tr>
            <w:tr w14:paraId="01556016">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2A5CDA29">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0502209B">
                  <w:pPr>
                    <w:pStyle w:val="41"/>
                    <w:bidi w:val="0"/>
                    <w:jc w:val="center"/>
                    <w:rPr>
                      <w:rFonts w:hint="eastAsia"/>
                      <w:color w:val="auto"/>
                      <w:highlight w:val="none"/>
                    </w:rPr>
                  </w:pPr>
                  <w:r>
                    <w:rPr>
                      <w:rFonts w:hint="eastAsia"/>
                      <w:color w:val="auto"/>
                      <w:highlight w:val="none"/>
                    </w:rPr>
                    <w:t>异丙醇（色谱纯）</w:t>
                  </w:r>
                </w:p>
              </w:tc>
              <w:tc>
                <w:tcPr>
                  <w:tcW w:w="630" w:type="pct"/>
                  <w:tcBorders>
                    <w:tl2br w:val="nil"/>
                    <w:tr2bl w:val="nil"/>
                  </w:tcBorders>
                  <w:vAlign w:val="center"/>
                </w:tcPr>
                <w:p w14:paraId="3D577994">
                  <w:pPr>
                    <w:pStyle w:val="41"/>
                    <w:bidi w:val="0"/>
                    <w:jc w:val="center"/>
                    <w:rPr>
                      <w:rFonts w:hint="default"/>
                      <w:color w:val="auto"/>
                      <w:highlight w:val="none"/>
                      <w:lang w:val="en-US" w:eastAsia="zh-CN"/>
                    </w:rPr>
                  </w:pPr>
                  <w:r>
                    <w:rPr>
                      <w:rFonts w:hint="eastAsia"/>
                      <w:color w:val="auto"/>
                      <w:highlight w:val="none"/>
                      <w:lang w:val="en-US" w:eastAsia="zh-CN"/>
                    </w:rPr>
                    <w:t>67-63-0</w:t>
                  </w:r>
                </w:p>
              </w:tc>
              <w:tc>
                <w:tcPr>
                  <w:tcW w:w="687" w:type="pct"/>
                  <w:tcBorders>
                    <w:tl2br w:val="nil"/>
                    <w:tr2bl w:val="nil"/>
                  </w:tcBorders>
                  <w:vAlign w:val="center"/>
                </w:tcPr>
                <w:p w14:paraId="09F72E75">
                  <w:pPr>
                    <w:pStyle w:val="41"/>
                    <w:bidi w:val="0"/>
                    <w:jc w:val="center"/>
                    <w:rPr>
                      <w:rFonts w:hint="default"/>
                      <w:color w:val="auto"/>
                      <w:highlight w:val="none"/>
                      <w:lang w:val="en-US" w:eastAsia="zh-CN"/>
                    </w:rPr>
                  </w:pPr>
                  <w:r>
                    <w:rPr>
                      <w:rFonts w:hint="eastAsia"/>
                      <w:color w:val="auto"/>
                      <w:highlight w:val="none"/>
                      <w:lang w:val="en-US" w:eastAsia="zh-CN"/>
                    </w:rPr>
                    <w:t>0.004</w:t>
                  </w:r>
                </w:p>
              </w:tc>
              <w:tc>
                <w:tcPr>
                  <w:tcW w:w="556" w:type="pct"/>
                  <w:tcBorders>
                    <w:tl2br w:val="nil"/>
                    <w:tr2bl w:val="nil"/>
                  </w:tcBorders>
                  <w:shd w:val="clear" w:color="auto" w:fill="auto"/>
                  <w:vAlign w:val="center"/>
                </w:tcPr>
                <w:p w14:paraId="6E1FC6AD">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10</w:t>
                  </w:r>
                </w:p>
              </w:tc>
              <w:tc>
                <w:tcPr>
                  <w:tcW w:w="1353" w:type="pct"/>
                  <w:tcBorders>
                    <w:tl2br w:val="nil"/>
                    <w:tr2bl w:val="nil"/>
                  </w:tcBorders>
                  <w:shd w:val="clear" w:color="auto" w:fill="auto"/>
                  <w:vAlign w:val="center"/>
                </w:tcPr>
                <w:p w14:paraId="5C20B1BA">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异丙醇</w:t>
                  </w:r>
                </w:p>
              </w:tc>
              <w:tc>
                <w:tcPr>
                  <w:tcW w:w="676" w:type="pct"/>
                  <w:tcBorders>
                    <w:tl2br w:val="nil"/>
                    <w:tr2bl w:val="nil"/>
                  </w:tcBorders>
                  <w:shd w:val="clear" w:color="auto" w:fill="auto"/>
                  <w:vAlign w:val="center"/>
                </w:tcPr>
                <w:p w14:paraId="5B8F7416">
                  <w:pPr>
                    <w:pStyle w:val="41"/>
                    <w:bidi w:val="0"/>
                    <w:jc w:val="center"/>
                    <w:rPr>
                      <w:rFonts w:hint="eastAsia"/>
                      <w:lang w:val="en-US" w:eastAsia="zh-CN"/>
                    </w:rPr>
                  </w:pPr>
                  <w:r>
                    <w:rPr>
                      <w:rFonts w:hint="eastAsia"/>
                    </w:rPr>
                    <w:t>0.0004</w:t>
                  </w:r>
                </w:p>
              </w:tc>
            </w:tr>
            <w:tr w14:paraId="4763EEA4">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46299FA4">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7F813B3F">
                  <w:pPr>
                    <w:pStyle w:val="41"/>
                    <w:bidi w:val="0"/>
                    <w:jc w:val="center"/>
                    <w:rPr>
                      <w:rFonts w:hint="default"/>
                      <w:color w:val="auto"/>
                      <w:highlight w:val="none"/>
                      <w:lang w:val="en-US" w:eastAsia="zh-CN"/>
                    </w:rPr>
                  </w:pPr>
                  <w:r>
                    <w:rPr>
                      <w:rFonts w:hint="eastAsia"/>
                      <w:color w:val="auto"/>
                      <w:highlight w:val="none"/>
                      <w:lang w:val="en-US" w:eastAsia="zh-CN"/>
                    </w:rPr>
                    <w:t>氨水</w:t>
                  </w:r>
                </w:p>
              </w:tc>
              <w:tc>
                <w:tcPr>
                  <w:tcW w:w="630" w:type="pct"/>
                  <w:tcBorders>
                    <w:tl2br w:val="nil"/>
                    <w:tr2bl w:val="nil"/>
                  </w:tcBorders>
                  <w:shd w:val="clear" w:color="auto" w:fill="auto"/>
                  <w:vAlign w:val="center"/>
                </w:tcPr>
                <w:p w14:paraId="5736D91C">
                  <w:pPr>
                    <w:pStyle w:val="41"/>
                    <w:bidi w:val="0"/>
                    <w:jc w:val="center"/>
                    <w:rPr>
                      <w:rFonts w:hint="default"/>
                      <w:color w:val="auto"/>
                      <w:highlight w:val="none"/>
                      <w:lang w:val="en-US" w:eastAsia="zh-CN"/>
                    </w:rPr>
                  </w:pPr>
                  <w:r>
                    <w:rPr>
                      <w:rFonts w:hint="eastAsia"/>
                      <w:color w:val="auto"/>
                      <w:highlight w:val="none"/>
                      <w:lang w:val="en-US" w:eastAsia="zh-CN"/>
                    </w:rPr>
                    <w:t>1336-21-6</w:t>
                  </w:r>
                </w:p>
              </w:tc>
              <w:tc>
                <w:tcPr>
                  <w:tcW w:w="687" w:type="pct"/>
                  <w:tcBorders>
                    <w:tl2br w:val="nil"/>
                    <w:tr2bl w:val="nil"/>
                  </w:tcBorders>
                  <w:shd w:val="clear" w:color="auto" w:fill="auto"/>
                  <w:vAlign w:val="center"/>
                </w:tcPr>
                <w:p w14:paraId="2711E1C5">
                  <w:pPr>
                    <w:pStyle w:val="41"/>
                    <w:bidi w:val="0"/>
                    <w:jc w:val="center"/>
                    <w:rPr>
                      <w:rFonts w:hint="default"/>
                      <w:color w:val="auto"/>
                      <w:highlight w:val="none"/>
                      <w:lang w:val="en-US" w:eastAsia="zh-CN"/>
                    </w:rPr>
                  </w:pPr>
                  <w:r>
                    <w:rPr>
                      <w:rFonts w:hint="eastAsia"/>
                      <w:color w:val="auto"/>
                      <w:highlight w:val="none"/>
                      <w:lang w:val="en-US" w:eastAsia="zh-CN"/>
                    </w:rPr>
                    <w:t>0.02</w:t>
                  </w:r>
                </w:p>
              </w:tc>
              <w:tc>
                <w:tcPr>
                  <w:tcW w:w="556" w:type="pct"/>
                  <w:tcBorders>
                    <w:tl2br w:val="nil"/>
                    <w:tr2bl w:val="nil"/>
                  </w:tcBorders>
                  <w:shd w:val="clear" w:color="auto" w:fill="auto"/>
                  <w:vAlign w:val="center"/>
                </w:tcPr>
                <w:p w14:paraId="39F0125C">
                  <w:pPr>
                    <w:pStyle w:val="41"/>
                    <w:bidi w:val="0"/>
                    <w:jc w:val="center"/>
                    <w:rPr>
                      <w:rFonts w:hint="default"/>
                      <w:color w:val="auto"/>
                      <w:highlight w:val="none"/>
                      <w:lang w:val="en-US" w:eastAsia="zh-CN"/>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7730842D">
                  <w:pPr>
                    <w:pStyle w:val="41"/>
                    <w:bidi w:val="0"/>
                    <w:jc w:val="center"/>
                    <w:rPr>
                      <w:rFonts w:hint="default"/>
                      <w:color w:val="auto"/>
                      <w:highlight w:val="none"/>
                      <w:lang w:val="en-US" w:eastAsia="zh-CN"/>
                    </w:rPr>
                  </w:pPr>
                  <w:r>
                    <w:rPr>
                      <w:rFonts w:hint="eastAsia"/>
                      <w:color w:val="auto"/>
                      <w:highlight w:val="none"/>
                      <w:lang w:val="en-US" w:eastAsia="zh-CN"/>
                    </w:rPr>
                    <w:t>氨水（浓度≥20%）</w:t>
                  </w:r>
                </w:p>
              </w:tc>
              <w:tc>
                <w:tcPr>
                  <w:tcW w:w="676" w:type="pct"/>
                  <w:tcBorders>
                    <w:tl2br w:val="nil"/>
                    <w:tr2bl w:val="nil"/>
                  </w:tcBorders>
                  <w:shd w:val="clear" w:color="auto" w:fill="auto"/>
                  <w:vAlign w:val="center"/>
                </w:tcPr>
                <w:p w14:paraId="0564CD83">
                  <w:pPr>
                    <w:pStyle w:val="41"/>
                    <w:bidi w:val="0"/>
                    <w:jc w:val="center"/>
                    <w:rPr>
                      <w:rFonts w:hint="eastAsia"/>
                      <w:lang w:val="en-US" w:eastAsia="zh-CN"/>
                    </w:rPr>
                  </w:pPr>
                  <w:r>
                    <w:rPr>
                      <w:rFonts w:hint="eastAsia"/>
                    </w:rPr>
                    <w:t>0.002</w:t>
                  </w:r>
                </w:p>
              </w:tc>
            </w:tr>
            <w:tr w14:paraId="0089AF2F">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5F90E252">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48E2E4C6">
                  <w:pPr>
                    <w:pStyle w:val="41"/>
                    <w:bidi w:val="0"/>
                    <w:jc w:val="center"/>
                    <w:rPr>
                      <w:rFonts w:hint="eastAsia"/>
                      <w:color w:val="auto"/>
                      <w:highlight w:val="none"/>
                      <w:lang w:val="en-US" w:eastAsia="zh-CN"/>
                    </w:rPr>
                  </w:pPr>
                  <w:r>
                    <w:rPr>
                      <w:rFonts w:hint="eastAsia"/>
                      <w:color w:val="auto"/>
                      <w:highlight w:val="none"/>
                      <w:lang w:val="en-US" w:eastAsia="zh-CN"/>
                    </w:rPr>
                    <w:t>无水甲醇</w:t>
                  </w:r>
                </w:p>
              </w:tc>
              <w:tc>
                <w:tcPr>
                  <w:tcW w:w="630" w:type="pct"/>
                  <w:tcBorders>
                    <w:tl2br w:val="nil"/>
                    <w:tr2bl w:val="nil"/>
                  </w:tcBorders>
                  <w:shd w:val="clear" w:color="auto" w:fill="auto"/>
                  <w:vAlign w:val="center"/>
                </w:tcPr>
                <w:p w14:paraId="5191C28C">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67-56-1</w:t>
                  </w:r>
                </w:p>
              </w:tc>
              <w:tc>
                <w:tcPr>
                  <w:tcW w:w="687" w:type="pct"/>
                  <w:tcBorders>
                    <w:tl2br w:val="nil"/>
                    <w:tr2bl w:val="nil"/>
                  </w:tcBorders>
                  <w:shd w:val="clear" w:color="auto" w:fill="auto"/>
                  <w:vAlign w:val="center"/>
                </w:tcPr>
                <w:p w14:paraId="1C01CCA6">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0.001</w:t>
                  </w:r>
                </w:p>
              </w:tc>
              <w:tc>
                <w:tcPr>
                  <w:tcW w:w="556" w:type="pct"/>
                  <w:tcBorders>
                    <w:tl2br w:val="nil"/>
                    <w:tr2bl w:val="nil"/>
                  </w:tcBorders>
                  <w:shd w:val="clear" w:color="auto" w:fill="auto"/>
                  <w:vAlign w:val="center"/>
                </w:tcPr>
                <w:p w14:paraId="158F00D7">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119F5945">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甲醇</w:t>
                  </w:r>
                </w:p>
              </w:tc>
              <w:tc>
                <w:tcPr>
                  <w:tcW w:w="676" w:type="pct"/>
                  <w:tcBorders>
                    <w:tl2br w:val="nil"/>
                    <w:tr2bl w:val="nil"/>
                  </w:tcBorders>
                  <w:shd w:val="clear" w:color="auto" w:fill="auto"/>
                  <w:vAlign w:val="center"/>
                </w:tcPr>
                <w:p w14:paraId="0C5FB228">
                  <w:pPr>
                    <w:pStyle w:val="41"/>
                    <w:bidi w:val="0"/>
                    <w:jc w:val="center"/>
                    <w:rPr>
                      <w:rFonts w:hint="eastAsia"/>
                      <w:lang w:val="en-US" w:eastAsia="zh-CN"/>
                    </w:rPr>
                  </w:pPr>
                  <w:r>
                    <w:rPr>
                      <w:rFonts w:hint="eastAsia"/>
                    </w:rPr>
                    <w:t>0.0001</w:t>
                  </w:r>
                </w:p>
              </w:tc>
            </w:tr>
            <w:tr w14:paraId="3D5F8EDD">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312A36ED">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7DD9B3A6">
                  <w:pPr>
                    <w:pStyle w:val="41"/>
                    <w:bidi w:val="0"/>
                    <w:jc w:val="center"/>
                    <w:rPr>
                      <w:rFonts w:hint="eastAsia"/>
                      <w:color w:val="auto"/>
                      <w:highlight w:val="none"/>
                      <w:lang w:val="en-US" w:eastAsia="zh-CN"/>
                    </w:rPr>
                  </w:pPr>
                  <w:r>
                    <w:rPr>
                      <w:rFonts w:hint="eastAsia"/>
                      <w:color w:val="auto"/>
                      <w:highlight w:val="none"/>
                      <w:lang w:val="en-US" w:eastAsia="zh-CN"/>
                    </w:rPr>
                    <w:t>石油醚 30-60</w:t>
                  </w:r>
                </w:p>
              </w:tc>
              <w:tc>
                <w:tcPr>
                  <w:tcW w:w="630" w:type="pct"/>
                  <w:tcBorders>
                    <w:tl2br w:val="nil"/>
                    <w:tr2bl w:val="nil"/>
                  </w:tcBorders>
                  <w:shd w:val="clear" w:color="auto" w:fill="auto"/>
                  <w:vAlign w:val="center"/>
                </w:tcPr>
                <w:p w14:paraId="79FE6CC4">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8032-32-4</w:t>
                  </w:r>
                </w:p>
              </w:tc>
              <w:tc>
                <w:tcPr>
                  <w:tcW w:w="687" w:type="pct"/>
                  <w:tcBorders>
                    <w:tl2br w:val="nil"/>
                    <w:tr2bl w:val="nil"/>
                  </w:tcBorders>
                  <w:shd w:val="clear" w:color="auto" w:fill="auto"/>
                  <w:vAlign w:val="center"/>
                </w:tcPr>
                <w:p w14:paraId="080949A4">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0.01</w:t>
                  </w:r>
                </w:p>
              </w:tc>
              <w:tc>
                <w:tcPr>
                  <w:tcW w:w="556" w:type="pct"/>
                  <w:tcBorders>
                    <w:tl2br w:val="nil"/>
                    <w:tr2bl w:val="nil"/>
                  </w:tcBorders>
                  <w:shd w:val="clear" w:color="auto" w:fill="auto"/>
                  <w:vAlign w:val="center"/>
                </w:tcPr>
                <w:p w14:paraId="559F0ED2">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1164B09B">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石油醚</w:t>
                  </w:r>
                </w:p>
              </w:tc>
              <w:tc>
                <w:tcPr>
                  <w:tcW w:w="676" w:type="pct"/>
                  <w:tcBorders>
                    <w:tl2br w:val="nil"/>
                    <w:tr2bl w:val="nil"/>
                  </w:tcBorders>
                  <w:shd w:val="clear" w:color="auto" w:fill="auto"/>
                  <w:vAlign w:val="center"/>
                </w:tcPr>
                <w:p w14:paraId="77EAE043">
                  <w:pPr>
                    <w:pStyle w:val="41"/>
                    <w:bidi w:val="0"/>
                    <w:jc w:val="center"/>
                    <w:rPr>
                      <w:rFonts w:hint="eastAsia"/>
                      <w:lang w:val="en-US" w:eastAsia="zh-CN"/>
                    </w:rPr>
                  </w:pPr>
                  <w:r>
                    <w:rPr>
                      <w:rFonts w:hint="eastAsia"/>
                    </w:rPr>
                    <w:t>0.001</w:t>
                  </w:r>
                </w:p>
              </w:tc>
            </w:tr>
            <w:tr w14:paraId="2BB247EB">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6EE001C5">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1F8F12BC">
                  <w:pPr>
                    <w:pStyle w:val="41"/>
                    <w:bidi w:val="0"/>
                    <w:jc w:val="center"/>
                    <w:rPr>
                      <w:rFonts w:hint="eastAsia"/>
                      <w:color w:val="auto"/>
                      <w:highlight w:val="none"/>
                      <w:lang w:val="en-US" w:eastAsia="zh-CN"/>
                    </w:rPr>
                  </w:pPr>
                  <w:r>
                    <w:rPr>
                      <w:rFonts w:hint="eastAsia"/>
                      <w:color w:val="auto"/>
                      <w:highlight w:val="none"/>
                      <w:lang w:val="en-US" w:eastAsia="zh-CN"/>
                    </w:rPr>
                    <w:t>石油醚 60-90</w:t>
                  </w:r>
                </w:p>
              </w:tc>
              <w:tc>
                <w:tcPr>
                  <w:tcW w:w="630" w:type="pct"/>
                  <w:tcBorders>
                    <w:tl2br w:val="nil"/>
                    <w:tr2bl w:val="nil"/>
                  </w:tcBorders>
                  <w:shd w:val="clear" w:color="auto" w:fill="auto"/>
                  <w:vAlign w:val="center"/>
                </w:tcPr>
                <w:p w14:paraId="05CFD032">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8032-32-4</w:t>
                  </w:r>
                </w:p>
              </w:tc>
              <w:tc>
                <w:tcPr>
                  <w:tcW w:w="687" w:type="pct"/>
                  <w:tcBorders>
                    <w:tl2br w:val="nil"/>
                    <w:tr2bl w:val="nil"/>
                  </w:tcBorders>
                  <w:shd w:val="clear" w:color="auto" w:fill="auto"/>
                  <w:vAlign w:val="center"/>
                </w:tcPr>
                <w:p w14:paraId="5DD06AE5">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0.01</w:t>
                  </w:r>
                </w:p>
              </w:tc>
              <w:tc>
                <w:tcPr>
                  <w:tcW w:w="556" w:type="pct"/>
                  <w:tcBorders>
                    <w:tl2br w:val="nil"/>
                    <w:tr2bl w:val="nil"/>
                  </w:tcBorders>
                  <w:shd w:val="clear" w:color="auto" w:fill="auto"/>
                  <w:vAlign w:val="center"/>
                </w:tcPr>
                <w:p w14:paraId="1C49A5C4">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4ED6AD54">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石油醚</w:t>
                  </w:r>
                </w:p>
              </w:tc>
              <w:tc>
                <w:tcPr>
                  <w:tcW w:w="676" w:type="pct"/>
                  <w:tcBorders>
                    <w:tl2br w:val="nil"/>
                    <w:tr2bl w:val="nil"/>
                  </w:tcBorders>
                  <w:shd w:val="clear" w:color="auto" w:fill="auto"/>
                  <w:vAlign w:val="center"/>
                </w:tcPr>
                <w:p w14:paraId="1011D318">
                  <w:pPr>
                    <w:pStyle w:val="41"/>
                    <w:bidi w:val="0"/>
                    <w:jc w:val="center"/>
                    <w:rPr>
                      <w:rFonts w:hint="eastAsia"/>
                      <w:lang w:val="en-US" w:eastAsia="zh-CN"/>
                    </w:rPr>
                  </w:pPr>
                  <w:r>
                    <w:rPr>
                      <w:rFonts w:hint="eastAsia"/>
                    </w:rPr>
                    <w:t>0.001</w:t>
                  </w:r>
                </w:p>
              </w:tc>
            </w:tr>
            <w:tr w14:paraId="0C98A320">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731F4E15">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68328F2B">
                  <w:pPr>
                    <w:pStyle w:val="41"/>
                    <w:bidi w:val="0"/>
                    <w:jc w:val="center"/>
                    <w:rPr>
                      <w:rFonts w:hint="eastAsia"/>
                      <w:color w:val="auto"/>
                      <w:highlight w:val="none"/>
                      <w:lang w:val="en-US" w:eastAsia="zh-CN"/>
                    </w:rPr>
                  </w:pPr>
                  <w:r>
                    <w:rPr>
                      <w:rFonts w:hint="eastAsia"/>
                      <w:color w:val="auto"/>
                      <w:highlight w:val="none"/>
                      <w:lang w:val="en-US" w:eastAsia="zh-CN"/>
                    </w:rPr>
                    <w:t>乙腈 AR</w:t>
                  </w:r>
                </w:p>
              </w:tc>
              <w:tc>
                <w:tcPr>
                  <w:tcW w:w="630" w:type="pct"/>
                  <w:tcBorders>
                    <w:tl2br w:val="nil"/>
                    <w:tr2bl w:val="nil"/>
                  </w:tcBorders>
                  <w:shd w:val="clear" w:color="auto" w:fill="auto"/>
                  <w:vAlign w:val="center"/>
                </w:tcPr>
                <w:p w14:paraId="5D46D08D">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75-05-8</w:t>
                  </w:r>
                </w:p>
              </w:tc>
              <w:tc>
                <w:tcPr>
                  <w:tcW w:w="687" w:type="pct"/>
                  <w:tcBorders>
                    <w:tl2br w:val="nil"/>
                    <w:tr2bl w:val="nil"/>
                  </w:tcBorders>
                  <w:shd w:val="clear" w:color="auto" w:fill="auto"/>
                  <w:vAlign w:val="center"/>
                </w:tcPr>
                <w:p w14:paraId="703C357A">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0.01</w:t>
                  </w:r>
                </w:p>
              </w:tc>
              <w:tc>
                <w:tcPr>
                  <w:tcW w:w="556" w:type="pct"/>
                  <w:tcBorders>
                    <w:tl2br w:val="nil"/>
                    <w:tr2bl w:val="nil"/>
                  </w:tcBorders>
                  <w:shd w:val="clear" w:color="auto" w:fill="auto"/>
                  <w:vAlign w:val="center"/>
                </w:tcPr>
                <w:p w14:paraId="3457DCB9">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7BD63B1B">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乙腈</w:t>
                  </w:r>
                </w:p>
              </w:tc>
              <w:tc>
                <w:tcPr>
                  <w:tcW w:w="676" w:type="pct"/>
                  <w:tcBorders>
                    <w:tl2br w:val="nil"/>
                    <w:tr2bl w:val="nil"/>
                  </w:tcBorders>
                  <w:shd w:val="clear" w:color="auto" w:fill="auto"/>
                  <w:vAlign w:val="center"/>
                </w:tcPr>
                <w:p w14:paraId="671FA531">
                  <w:pPr>
                    <w:pStyle w:val="41"/>
                    <w:bidi w:val="0"/>
                    <w:jc w:val="center"/>
                    <w:rPr>
                      <w:rFonts w:hint="eastAsia"/>
                      <w:lang w:val="en-US" w:eastAsia="zh-CN"/>
                    </w:rPr>
                  </w:pPr>
                  <w:r>
                    <w:rPr>
                      <w:rFonts w:hint="eastAsia"/>
                    </w:rPr>
                    <w:t>0.001</w:t>
                  </w:r>
                </w:p>
              </w:tc>
            </w:tr>
            <w:tr w14:paraId="4E0F5609">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42C6CC04">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06EAA473">
                  <w:pPr>
                    <w:pStyle w:val="41"/>
                    <w:bidi w:val="0"/>
                    <w:jc w:val="center"/>
                    <w:rPr>
                      <w:rFonts w:hint="eastAsia"/>
                      <w:color w:val="auto"/>
                      <w:highlight w:val="none"/>
                      <w:lang w:val="en-US" w:eastAsia="zh-CN"/>
                    </w:rPr>
                  </w:pPr>
                  <w:r>
                    <w:rPr>
                      <w:rFonts w:hint="eastAsia"/>
                      <w:color w:val="auto"/>
                      <w:highlight w:val="none"/>
                      <w:lang w:val="en-US" w:eastAsia="zh-CN"/>
                    </w:rPr>
                    <w:t>正己烷</w:t>
                  </w:r>
                </w:p>
              </w:tc>
              <w:tc>
                <w:tcPr>
                  <w:tcW w:w="630" w:type="pct"/>
                  <w:tcBorders>
                    <w:tl2br w:val="nil"/>
                    <w:tr2bl w:val="nil"/>
                  </w:tcBorders>
                  <w:shd w:val="clear" w:color="auto" w:fill="auto"/>
                  <w:vAlign w:val="center"/>
                </w:tcPr>
                <w:p w14:paraId="24FC4D02">
                  <w:pPr>
                    <w:pStyle w:val="41"/>
                    <w:bidi w:val="0"/>
                    <w:jc w:val="center"/>
                    <w:rPr>
                      <w:rFonts w:hint="default"/>
                      <w:color w:val="auto"/>
                      <w:highlight w:val="none"/>
                      <w:lang w:val="en-US" w:eastAsia="zh-CN"/>
                    </w:rPr>
                  </w:pPr>
                  <w:r>
                    <w:rPr>
                      <w:rFonts w:hint="eastAsia"/>
                      <w:color w:val="auto"/>
                      <w:highlight w:val="none"/>
                      <w:lang w:val="en-US" w:eastAsia="zh-CN"/>
                    </w:rPr>
                    <w:t>110-54-3</w:t>
                  </w:r>
                </w:p>
              </w:tc>
              <w:tc>
                <w:tcPr>
                  <w:tcW w:w="687" w:type="pct"/>
                  <w:tcBorders>
                    <w:tl2br w:val="nil"/>
                    <w:tr2bl w:val="nil"/>
                  </w:tcBorders>
                  <w:shd w:val="clear" w:color="auto" w:fill="auto"/>
                  <w:vAlign w:val="center"/>
                </w:tcPr>
                <w:p w14:paraId="4CFDBED6">
                  <w:pPr>
                    <w:pStyle w:val="41"/>
                    <w:bidi w:val="0"/>
                    <w:jc w:val="center"/>
                    <w:rPr>
                      <w:rFonts w:hint="default"/>
                      <w:color w:val="auto"/>
                      <w:highlight w:val="none"/>
                      <w:lang w:val="en-US" w:eastAsia="zh-CN"/>
                    </w:rPr>
                  </w:pPr>
                  <w:r>
                    <w:rPr>
                      <w:rFonts w:hint="eastAsia"/>
                      <w:color w:val="auto"/>
                      <w:highlight w:val="none"/>
                      <w:lang w:val="en-US" w:eastAsia="zh-CN"/>
                    </w:rPr>
                    <w:t>0.006</w:t>
                  </w:r>
                </w:p>
              </w:tc>
              <w:tc>
                <w:tcPr>
                  <w:tcW w:w="556" w:type="pct"/>
                  <w:tcBorders>
                    <w:tl2br w:val="nil"/>
                    <w:tr2bl w:val="nil"/>
                  </w:tcBorders>
                  <w:shd w:val="clear" w:color="auto" w:fill="auto"/>
                  <w:vAlign w:val="center"/>
                </w:tcPr>
                <w:p w14:paraId="13614965">
                  <w:pPr>
                    <w:pStyle w:val="41"/>
                    <w:bidi w:val="0"/>
                    <w:jc w:val="center"/>
                    <w:rPr>
                      <w:rFonts w:hint="default"/>
                      <w:color w:val="auto"/>
                      <w:highlight w:val="none"/>
                      <w:lang w:val="en-US" w:eastAsia="zh-CN"/>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187AE600">
                  <w:pPr>
                    <w:pStyle w:val="41"/>
                    <w:bidi w:val="0"/>
                    <w:jc w:val="center"/>
                    <w:rPr>
                      <w:rFonts w:hint="eastAsia"/>
                      <w:color w:val="auto"/>
                      <w:highlight w:val="none"/>
                      <w:lang w:val="en-US" w:eastAsia="zh-CN"/>
                    </w:rPr>
                  </w:pPr>
                  <w:r>
                    <w:rPr>
                      <w:rFonts w:hint="eastAsia"/>
                      <w:color w:val="auto"/>
                      <w:highlight w:val="none"/>
                      <w:lang w:val="en-US" w:eastAsia="zh-CN"/>
                    </w:rPr>
                    <w:t>正己烷</w:t>
                  </w:r>
                </w:p>
              </w:tc>
              <w:tc>
                <w:tcPr>
                  <w:tcW w:w="676" w:type="pct"/>
                  <w:tcBorders>
                    <w:tl2br w:val="nil"/>
                    <w:tr2bl w:val="nil"/>
                  </w:tcBorders>
                  <w:shd w:val="clear" w:color="auto" w:fill="auto"/>
                  <w:vAlign w:val="center"/>
                </w:tcPr>
                <w:p w14:paraId="50AF58CA">
                  <w:pPr>
                    <w:pStyle w:val="41"/>
                    <w:bidi w:val="0"/>
                    <w:jc w:val="center"/>
                    <w:rPr>
                      <w:rFonts w:hint="eastAsia"/>
                      <w:lang w:val="en-US" w:eastAsia="zh-CN"/>
                    </w:rPr>
                  </w:pPr>
                  <w:r>
                    <w:rPr>
                      <w:rFonts w:hint="eastAsia"/>
                    </w:rPr>
                    <w:t>0.0006</w:t>
                  </w:r>
                </w:p>
              </w:tc>
            </w:tr>
            <w:tr w14:paraId="7561581D">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0ED5E470">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3CF0D0D3">
                  <w:pPr>
                    <w:pStyle w:val="41"/>
                    <w:bidi w:val="0"/>
                    <w:jc w:val="center"/>
                    <w:rPr>
                      <w:rFonts w:hint="default"/>
                      <w:color w:val="auto"/>
                      <w:highlight w:val="none"/>
                      <w:lang w:val="en-US" w:eastAsia="zh-CN"/>
                    </w:rPr>
                  </w:pPr>
                  <w:r>
                    <w:rPr>
                      <w:rFonts w:hint="eastAsia"/>
                      <w:color w:val="auto"/>
                      <w:highlight w:val="none"/>
                      <w:lang w:val="en-US" w:eastAsia="zh-CN"/>
                    </w:rPr>
                    <w:t>异丁醇</w:t>
                  </w:r>
                </w:p>
              </w:tc>
              <w:tc>
                <w:tcPr>
                  <w:tcW w:w="630" w:type="pct"/>
                  <w:tcBorders>
                    <w:tl2br w:val="nil"/>
                    <w:tr2bl w:val="nil"/>
                  </w:tcBorders>
                  <w:shd w:val="clear" w:color="auto" w:fill="auto"/>
                  <w:vAlign w:val="center"/>
                </w:tcPr>
                <w:p w14:paraId="1140B16F">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71-36-3</w:t>
                  </w:r>
                </w:p>
              </w:tc>
              <w:tc>
                <w:tcPr>
                  <w:tcW w:w="687" w:type="pct"/>
                  <w:tcBorders>
                    <w:tl2br w:val="nil"/>
                    <w:tr2bl w:val="nil"/>
                  </w:tcBorders>
                  <w:shd w:val="clear" w:color="auto" w:fill="auto"/>
                  <w:vAlign w:val="center"/>
                </w:tcPr>
                <w:p w14:paraId="4FFCBB63">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0.001</w:t>
                  </w:r>
                </w:p>
              </w:tc>
              <w:tc>
                <w:tcPr>
                  <w:tcW w:w="556" w:type="pct"/>
                  <w:tcBorders>
                    <w:tl2br w:val="nil"/>
                    <w:tr2bl w:val="nil"/>
                  </w:tcBorders>
                  <w:shd w:val="clear" w:color="auto" w:fill="auto"/>
                  <w:vAlign w:val="center"/>
                </w:tcPr>
                <w:p w14:paraId="45CAAA8F">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044878CC">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丁醇</w:t>
                  </w:r>
                </w:p>
              </w:tc>
              <w:tc>
                <w:tcPr>
                  <w:tcW w:w="676" w:type="pct"/>
                  <w:tcBorders>
                    <w:tl2br w:val="nil"/>
                    <w:tr2bl w:val="nil"/>
                  </w:tcBorders>
                  <w:shd w:val="clear" w:color="auto" w:fill="auto"/>
                  <w:vAlign w:val="center"/>
                </w:tcPr>
                <w:p w14:paraId="7B5F189D">
                  <w:pPr>
                    <w:pStyle w:val="41"/>
                    <w:bidi w:val="0"/>
                    <w:jc w:val="center"/>
                    <w:rPr>
                      <w:rFonts w:hint="eastAsia"/>
                      <w:lang w:val="en-US" w:eastAsia="zh-CN"/>
                    </w:rPr>
                  </w:pPr>
                  <w:r>
                    <w:rPr>
                      <w:rFonts w:hint="eastAsia"/>
                    </w:rPr>
                    <w:t>0.0001</w:t>
                  </w:r>
                </w:p>
              </w:tc>
            </w:tr>
            <w:tr w14:paraId="53C79B76">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5215284F">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05F665CC">
                  <w:pPr>
                    <w:pStyle w:val="41"/>
                    <w:bidi w:val="0"/>
                    <w:jc w:val="center"/>
                    <w:rPr>
                      <w:rFonts w:hint="eastAsia"/>
                      <w:color w:val="auto"/>
                      <w:highlight w:val="none"/>
                      <w:lang w:val="en-US" w:eastAsia="zh-CN"/>
                    </w:rPr>
                  </w:pPr>
                  <w:r>
                    <w:rPr>
                      <w:rFonts w:hint="eastAsia"/>
                      <w:color w:val="auto"/>
                      <w:highlight w:val="none"/>
                      <w:lang w:val="en-US" w:eastAsia="zh-CN"/>
                    </w:rPr>
                    <w:t>异丙醇HPLC</w:t>
                  </w:r>
                </w:p>
              </w:tc>
              <w:tc>
                <w:tcPr>
                  <w:tcW w:w="630" w:type="pct"/>
                  <w:tcBorders>
                    <w:tl2br w:val="nil"/>
                    <w:tr2bl w:val="nil"/>
                  </w:tcBorders>
                  <w:shd w:val="clear" w:color="auto" w:fill="auto"/>
                  <w:vAlign w:val="center"/>
                </w:tcPr>
                <w:p w14:paraId="4522CE44">
                  <w:pPr>
                    <w:pStyle w:val="41"/>
                    <w:bidi w:val="0"/>
                    <w:jc w:val="center"/>
                    <w:rPr>
                      <w:rFonts w:hint="default"/>
                      <w:color w:val="auto"/>
                      <w:highlight w:val="none"/>
                      <w:lang w:val="en-US" w:eastAsia="zh-CN"/>
                    </w:rPr>
                  </w:pPr>
                  <w:r>
                    <w:rPr>
                      <w:rFonts w:hint="eastAsia"/>
                      <w:color w:val="auto"/>
                      <w:highlight w:val="none"/>
                      <w:lang w:val="en-US" w:eastAsia="zh-CN"/>
                    </w:rPr>
                    <w:t>67-63-0</w:t>
                  </w:r>
                </w:p>
              </w:tc>
              <w:tc>
                <w:tcPr>
                  <w:tcW w:w="687" w:type="pct"/>
                  <w:tcBorders>
                    <w:tl2br w:val="nil"/>
                    <w:tr2bl w:val="nil"/>
                  </w:tcBorders>
                  <w:shd w:val="clear" w:color="auto" w:fill="auto"/>
                  <w:vAlign w:val="center"/>
                </w:tcPr>
                <w:p w14:paraId="2F96D30B">
                  <w:pPr>
                    <w:pStyle w:val="41"/>
                    <w:bidi w:val="0"/>
                    <w:jc w:val="center"/>
                    <w:rPr>
                      <w:rFonts w:hint="default"/>
                      <w:color w:val="auto"/>
                      <w:highlight w:val="none"/>
                      <w:lang w:val="en-US" w:eastAsia="zh-CN"/>
                    </w:rPr>
                  </w:pPr>
                  <w:r>
                    <w:rPr>
                      <w:rFonts w:hint="eastAsia"/>
                      <w:color w:val="auto"/>
                      <w:highlight w:val="none"/>
                      <w:lang w:val="en-US" w:eastAsia="zh-CN"/>
                    </w:rPr>
                    <w:t>0.001</w:t>
                  </w:r>
                </w:p>
              </w:tc>
              <w:tc>
                <w:tcPr>
                  <w:tcW w:w="556" w:type="pct"/>
                  <w:tcBorders>
                    <w:tl2br w:val="nil"/>
                    <w:tr2bl w:val="nil"/>
                  </w:tcBorders>
                  <w:shd w:val="clear" w:color="auto" w:fill="auto"/>
                  <w:vAlign w:val="center"/>
                </w:tcPr>
                <w:p w14:paraId="2DB3E655">
                  <w:pPr>
                    <w:pStyle w:val="41"/>
                    <w:bidi w:val="0"/>
                    <w:jc w:val="center"/>
                    <w:rPr>
                      <w:rFonts w:hint="default"/>
                      <w:color w:val="auto"/>
                      <w:highlight w:val="none"/>
                      <w:lang w:val="en-US" w:eastAsia="zh-CN"/>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2A352B6B">
                  <w:pPr>
                    <w:pStyle w:val="41"/>
                    <w:bidi w:val="0"/>
                    <w:jc w:val="center"/>
                    <w:rPr>
                      <w:rFonts w:hint="default"/>
                      <w:color w:val="auto"/>
                      <w:highlight w:val="none"/>
                      <w:lang w:val="en-US" w:eastAsia="zh-CN"/>
                    </w:rPr>
                  </w:pPr>
                  <w:r>
                    <w:rPr>
                      <w:rFonts w:hint="eastAsia"/>
                      <w:color w:val="auto"/>
                      <w:highlight w:val="none"/>
                      <w:lang w:val="en-US" w:eastAsia="zh-CN"/>
                    </w:rPr>
                    <w:t>异丙醇</w:t>
                  </w:r>
                </w:p>
              </w:tc>
              <w:tc>
                <w:tcPr>
                  <w:tcW w:w="676" w:type="pct"/>
                  <w:tcBorders>
                    <w:tl2br w:val="nil"/>
                    <w:tr2bl w:val="nil"/>
                  </w:tcBorders>
                  <w:shd w:val="clear" w:color="auto" w:fill="auto"/>
                  <w:vAlign w:val="center"/>
                </w:tcPr>
                <w:p w14:paraId="66AF74AB">
                  <w:pPr>
                    <w:pStyle w:val="41"/>
                    <w:bidi w:val="0"/>
                    <w:jc w:val="center"/>
                    <w:rPr>
                      <w:rFonts w:hint="eastAsia"/>
                      <w:lang w:val="en-US" w:eastAsia="zh-CN"/>
                    </w:rPr>
                  </w:pPr>
                  <w:r>
                    <w:rPr>
                      <w:rFonts w:hint="eastAsia"/>
                    </w:rPr>
                    <w:t>0.0001</w:t>
                  </w:r>
                </w:p>
              </w:tc>
            </w:tr>
            <w:tr w14:paraId="5991D082">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19977819">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2D124F81">
                  <w:pPr>
                    <w:pStyle w:val="41"/>
                    <w:bidi w:val="0"/>
                    <w:jc w:val="center"/>
                    <w:rPr>
                      <w:rFonts w:hint="eastAsia"/>
                      <w:color w:val="auto"/>
                      <w:highlight w:val="none"/>
                      <w:lang w:val="en-US" w:eastAsia="zh-CN"/>
                    </w:rPr>
                  </w:pPr>
                  <w:r>
                    <w:rPr>
                      <w:rFonts w:hint="eastAsia"/>
                      <w:color w:val="auto"/>
                      <w:highlight w:val="none"/>
                      <w:lang w:val="en-US" w:eastAsia="zh-CN"/>
                    </w:rPr>
                    <w:t>二氯甲烷HPLC</w:t>
                  </w:r>
                </w:p>
              </w:tc>
              <w:tc>
                <w:tcPr>
                  <w:tcW w:w="630" w:type="pct"/>
                  <w:tcBorders>
                    <w:tl2br w:val="nil"/>
                    <w:tr2bl w:val="nil"/>
                  </w:tcBorders>
                  <w:shd w:val="clear" w:color="auto" w:fill="auto"/>
                  <w:vAlign w:val="center"/>
                </w:tcPr>
                <w:p w14:paraId="7F55FBA9">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75-09-2</w:t>
                  </w:r>
                </w:p>
              </w:tc>
              <w:tc>
                <w:tcPr>
                  <w:tcW w:w="687" w:type="pct"/>
                  <w:tcBorders>
                    <w:tl2br w:val="nil"/>
                    <w:tr2bl w:val="nil"/>
                  </w:tcBorders>
                  <w:shd w:val="clear" w:color="auto" w:fill="auto"/>
                  <w:vAlign w:val="center"/>
                </w:tcPr>
                <w:p w14:paraId="152539A6">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0.001</w:t>
                  </w:r>
                </w:p>
              </w:tc>
              <w:tc>
                <w:tcPr>
                  <w:tcW w:w="556" w:type="pct"/>
                  <w:tcBorders>
                    <w:tl2br w:val="nil"/>
                    <w:tr2bl w:val="nil"/>
                  </w:tcBorders>
                  <w:shd w:val="clear" w:color="auto" w:fill="auto"/>
                  <w:vAlign w:val="center"/>
                </w:tcPr>
                <w:p w14:paraId="0599DD10">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w:t>
                  </w:r>
                </w:p>
              </w:tc>
              <w:tc>
                <w:tcPr>
                  <w:tcW w:w="1353" w:type="pct"/>
                  <w:tcBorders>
                    <w:tl2br w:val="nil"/>
                    <w:tr2bl w:val="nil"/>
                  </w:tcBorders>
                  <w:shd w:val="clear" w:color="auto" w:fill="auto"/>
                  <w:vAlign w:val="center"/>
                </w:tcPr>
                <w:p w14:paraId="7D159AC8">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二氯甲烷</w:t>
                  </w:r>
                </w:p>
              </w:tc>
              <w:tc>
                <w:tcPr>
                  <w:tcW w:w="676" w:type="pct"/>
                  <w:tcBorders>
                    <w:tl2br w:val="nil"/>
                    <w:tr2bl w:val="nil"/>
                  </w:tcBorders>
                  <w:shd w:val="clear" w:color="auto" w:fill="auto"/>
                  <w:vAlign w:val="center"/>
                </w:tcPr>
                <w:p w14:paraId="66A58BF9">
                  <w:pPr>
                    <w:pStyle w:val="41"/>
                    <w:bidi w:val="0"/>
                    <w:jc w:val="center"/>
                    <w:rPr>
                      <w:rFonts w:hint="eastAsia"/>
                      <w:lang w:val="en-US" w:eastAsia="zh-CN"/>
                    </w:rPr>
                  </w:pPr>
                  <w:r>
                    <w:rPr>
                      <w:rFonts w:hint="eastAsia"/>
                    </w:rPr>
                    <w:t>0.0001</w:t>
                  </w:r>
                </w:p>
              </w:tc>
            </w:tr>
            <w:tr w14:paraId="34E186A4">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312" w:type="pct"/>
                  <w:tcBorders>
                    <w:tl2br w:val="nil"/>
                    <w:tr2bl w:val="nil"/>
                  </w:tcBorders>
                  <w:vAlign w:val="center"/>
                </w:tcPr>
                <w:p w14:paraId="50873332">
                  <w:pPr>
                    <w:pStyle w:val="41"/>
                    <w:numPr>
                      <w:ilvl w:val="0"/>
                      <w:numId w:val="18"/>
                    </w:numPr>
                    <w:tabs>
                      <w:tab w:val="clear" w:pos="420"/>
                    </w:tabs>
                    <w:bidi w:val="0"/>
                    <w:ind w:left="425" w:leftChars="0" w:hanging="425"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784" w:type="pct"/>
                  <w:tcBorders>
                    <w:tl2br w:val="nil"/>
                    <w:tr2bl w:val="nil"/>
                  </w:tcBorders>
                  <w:shd w:val="clear" w:color="auto" w:fill="auto"/>
                  <w:vAlign w:val="center"/>
                </w:tcPr>
                <w:p w14:paraId="666AA252">
                  <w:pPr>
                    <w:pStyle w:val="41"/>
                    <w:bidi w:val="0"/>
                    <w:jc w:val="center"/>
                    <w:rPr>
                      <w:rFonts w:hint="default"/>
                      <w:color w:val="auto"/>
                      <w:highlight w:val="none"/>
                      <w:lang w:val="en-US" w:eastAsia="zh-CN"/>
                    </w:rPr>
                  </w:pPr>
                  <w:r>
                    <w:rPr>
                      <w:rFonts w:hint="eastAsia"/>
                      <w:color w:val="auto"/>
                      <w:highlight w:val="none"/>
                      <w:lang w:val="en-US" w:eastAsia="zh-CN"/>
                    </w:rPr>
                    <w:t>暂存点危险废物</w:t>
                  </w:r>
                </w:p>
              </w:tc>
              <w:tc>
                <w:tcPr>
                  <w:tcW w:w="630" w:type="pct"/>
                  <w:tcBorders>
                    <w:tl2br w:val="nil"/>
                    <w:tr2bl w:val="nil"/>
                  </w:tcBorders>
                  <w:vAlign w:val="center"/>
                </w:tcPr>
                <w:p w14:paraId="3A45C3B9">
                  <w:pPr>
                    <w:pStyle w:val="41"/>
                    <w:bidi w:val="0"/>
                    <w:jc w:val="center"/>
                    <w:rPr>
                      <w:rFonts w:hint="default"/>
                      <w:color w:val="auto"/>
                      <w:highlight w:val="none"/>
                      <w:lang w:val="en-US" w:eastAsia="zh-CN"/>
                    </w:rPr>
                  </w:pPr>
                  <w:r>
                    <w:rPr>
                      <w:rFonts w:hint="eastAsia"/>
                      <w:color w:val="auto"/>
                      <w:highlight w:val="none"/>
                      <w:lang w:val="en-US" w:eastAsia="zh-CN"/>
                    </w:rPr>
                    <w:t>/</w:t>
                  </w:r>
                </w:p>
              </w:tc>
              <w:tc>
                <w:tcPr>
                  <w:tcW w:w="687" w:type="pct"/>
                  <w:tcBorders>
                    <w:tl2br w:val="nil"/>
                    <w:tr2bl w:val="nil"/>
                  </w:tcBorders>
                  <w:vAlign w:val="center"/>
                </w:tcPr>
                <w:p w14:paraId="42C9A279">
                  <w:pPr>
                    <w:pStyle w:val="41"/>
                    <w:bidi w:val="0"/>
                    <w:jc w:val="center"/>
                    <w:rPr>
                      <w:rFonts w:hint="default"/>
                      <w:color w:val="auto"/>
                      <w:highlight w:val="none"/>
                      <w:lang w:val="en-US" w:eastAsia="zh-CN"/>
                    </w:rPr>
                  </w:pPr>
                  <w:r>
                    <w:rPr>
                      <w:rFonts w:hint="eastAsia"/>
                      <w:color w:val="auto"/>
                      <w:highlight w:val="none"/>
                      <w:lang w:val="en-US" w:eastAsia="zh-CN"/>
                    </w:rPr>
                    <w:t>2.23</w:t>
                  </w:r>
                </w:p>
              </w:tc>
              <w:tc>
                <w:tcPr>
                  <w:tcW w:w="556" w:type="pct"/>
                  <w:tcBorders>
                    <w:tl2br w:val="nil"/>
                    <w:tr2bl w:val="nil"/>
                  </w:tcBorders>
                  <w:shd w:val="clear" w:color="auto" w:fill="auto"/>
                  <w:vAlign w:val="center"/>
                </w:tcPr>
                <w:p w14:paraId="65473C70">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50</w:t>
                  </w:r>
                </w:p>
              </w:tc>
              <w:tc>
                <w:tcPr>
                  <w:tcW w:w="1353" w:type="pct"/>
                  <w:tcBorders>
                    <w:tl2br w:val="nil"/>
                    <w:tr2bl w:val="nil"/>
                  </w:tcBorders>
                  <w:shd w:val="clear" w:color="auto" w:fill="auto"/>
                  <w:vAlign w:val="center"/>
                </w:tcPr>
                <w:p w14:paraId="5EE1D376">
                  <w:pPr>
                    <w:pStyle w:val="41"/>
                    <w:bidi w:val="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健康危险急性毒性物质（类别2，类别3）</w:t>
                  </w:r>
                </w:p>
              </w:tc>
              <w:tc>
                <w:tcPr>
                  <w:tcW w:w="676" w:type="pct"/>
                  <w:tcBorders>
                    <w:tl2br w:val="nil"/>
                    <w:tr2bl w:val="nil"/>
                  </w:tcBorders>
                  <w:shd w:val="clear" w:color="auto" w:fill="auto"/>
                  <w:vAlign w:val="center"/>
                </w:tcPr>
                <w:p w14:paraId="52B34CAC">
                  <w:pPr>
                    <w:pStyle w:val="41"/>
                    <w:bidi w:val="0"/>
                    <w:jc w:val="center"/>
                    <w:rPr>
                      <w:rFonts w:hint="eastAsia"/>
                      <w:lang w:val="en-US" w:eastAsia="zh-CN"/>
                    </w:rPr>
                  </w:pPr>
                  <w:r>
                    <w:rPr>
                      <w:rFonts w:hint="eastAsia"/>
                    </w:rPr>
                    <w:t>0.0446</w:t>
                  </w:r>
                </w:p>
              </w:tc>
            </w:tr>
            <w:tr w14:paraId="607431A4">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0" w:hRule="atLeast"/>
              </w:trPr>
              <w:tc>
                <w:tcPr>
                  <w:tcW w:w="4323" w:type="pct"/>
                  <w:gridSpan w:val="6"/>
                  <w:vAlign w:val="center"/>
                </w:tcPr>
                <w:p w14:paraId="7EEF885B">
                  <w:pPr>
                    <w:pStyle w:val="41"/>
                    <w:bidi w:val="0"/>
                    <w:jc w:val="center"/>
                    <w:rPr>
                      <w:rFonts w:hint="eastAsia" w:eastAsia="宋体"/>
                      <w:color w:val="auto"/>
                      <w:highlight w:val="none"/>
                      <w:lang w:val="en-US" w:eastAsia="zh-CN"/>
                    </w:rPr>
                  </w:pPr>
                  <w:r>
                    <w:rPr>
                      <w:rFonts w:hint="eastAsia"/>
                      <w:b/>
                      <w:bCs/>
                      <w:color w:val="auto"/>
                      <w:highlight w:val="none"/>
                      <w:lang w:val="en-US" w:eastAsia="zh-CN"/>
                    </w:rPr>
                    <w:t>合计</w:t>
                  </w:r>
                </w:p>
              </w:tc>
              <w:tc>
                <w:tcPr>
                  <w:tcW w:w="676" w:type="pct"/>
                  <w:vAlign w:val="center"/>
                </w:tcPr>
                <w:p w14:paraId="15B970D7">
                  <w:pPr>
                    <w:pStyle w:val="41"/>
                    <w:bidi w:val="0"/>
                    <w:jc w:val="center"/>
                    <w:rPr>
                      <w:rFonts w:hint="default" w:eastAsia="宋体"/>
                      <w:color w:val="auto"/>
                      <w:highlight w:val="none"/>
                      <w:lang w:val="en-US" w:eastAsia="zh-CN"/>
                    </w:rPr>
                  </w:pPr>
                  <w:r>
                    <w:rPr>
                      <w:rFonts w:hint="eastAsia"/>
                      <w:color w:val="auto"/>
                      <w:highlight w:val="none"/>
                      <w:lang w:val="en-US" w:eastAsia="zh-CN"/>
                    </w:rPr>
                    <w:t>0.086697</w:t>
                  </w:r>
                </w:p>
              </w:tc>
            </w:tr>
          </w:tbl>
          <w:p w14:paraId="54089F9B">
            <w:pPr>
              <w:pStyle w:val="41"/>
              <w:bidi w:val="0"/>
              <w:rPr>
                <w:color w:val="auto"/>
                <w:highlight w:val="none"/>
              </w:rPr>
            </w:pPr>
          </w:p>
          <w:p w14:paraId="1B06F4CB">
            <w:pPr>
              <w:bidi w:val="0"/>
              <w:ind w:firstLine="480" w:firstLineChars="200"/>
              <w:rPr>
                <w:color w:val="auto"/>
                <w:highlight w:val="none"/>
              </w:rPr>
            </w:pPr>
            <w:r>
              <w:rPr>
                <w:color w:val="auto"/>
                <w:highlight w:val="none"/>
              </w:rPr>
              <w:t>根据《建设项目环境风险评价技术导则》（HJ169-2018）附录C，当存在多种危险物质时，则按式（C.1）计算物质总量与其临界量比值（Q）。</w:t>
            </w:r>
          </w:p>
          <w:p w14:paraId="0B346742">
            <w:pPr>
              <w:keepNext w:val="0"/>
              <w:keepLines w:val="0"/>
              <w:pageBreakBefore w:val="0"/>
              <w:kinsoku/>
              <w:wordWrap/>
              <w:overflowPunct/>
              <w:topLinePunct w:val="0"/>
              <w:bidi w:val="0"/>
              <w:adjustRightInd w:val="0"/>
              <w:snapToGrid w:val="0"/>
              <w:spacing w:line="360" w:lineRule="auto"/>
              <w:ind w:left="0" w:leftChars="0" w:right="0" w:firstLine="480" w:firstLineChars="200"/>
              <w:jc w:val="center"/>
              <w:textAlignment w:val="auto"/>
              <w:rPr>
                <w:color w:val="auto"/>
                <w:highlight w:val="none"/>
              </w:rPr>
            </w:pPr>
            <m:oMathPara>
              <m:oMath>
                <m:r>
                  <m:rPr>
                    <m:sty m:val="p"/>
                  </m:rPr>
                  <w:rPr>
                    <w:rFonts w:ascii="Cambria Math" w:hAnsi="Cambria Math"/>
                    <w:color w:val="auto"/>
                    <w:sz w:val="24"/>
                    <w:highlight w:val="none"/>
                  </w:rPr>
                  <m:t>Q=</m:t>
                </m:r>
                <m:f>
                  <m:fPr>
                    <m:ctrlPr>
                      <w:rPr>
                        <w:rFonts w:ascii="Cambria Math" w:hAnsi="Cambria Math"/>
                        <w:color w:val="auto"/>
                        <w:sz w:val="24"/>
                        <w:highlight w:val="none"/>
                      </w:rPr>
                    </m:ctrlPr>
                  </m:fPr>
                  <m:num>
                    <m:sSub>
                      <m:sSubPr>
                        <m:ctrlPr>
                          <w:rPr>
                            <w:rFonts w:ascii="Cambria Math" w:hAnsi="Cambria Math"/>
                            <w:color w:val="auto"/>
                            <w:sz w:val="24"/>
                            <w:highlight w:val="none"/>
                          </w:rPr>
                        </m:ctrlPr>
                      </m:sSubPr>
                      <m:e>
                        <m:r>
                          <m:rPr>
                            <m:sty m:val="p"/>
                          </m:rPr>
                          <w:rPr>
                            <w:rFonts w:ascii="Cambria Math" w:hAnsi="Cambria Math"/>
                            <w:color w:val="auto"/>
                            <w:sz w:val="24"/>
                            <w:highlight w:val="none"/>
                          </w:rPr>
                          <m:t>q</m:t>
                        </m:r>
                        <m:ctrlPr>
                          <w:rPr>
                            <w:rFonts w:ascii="Cambria Math" w:hAnsi="Cambria Math"/>
                            <w:color w:val="auto"/>
                            <w:sz w:val="24"/>
                            <w:highlight w:val="none"/>
                          </w:rPr>
                        </m:ctrlPr>
                      </m:e>
                      <m:sub>
                        <m:r>
                          <m:rPr>
                            <m:sty m:val="p"/>
                          </m:rPr>
                          <w:rPr>
                            <w:rFonts w:ascii="Cambria Math" w:hAnsi="Cambria Math"/>
                            <w:color w:val="auto"/>
                            <w:sz w:val="24"/>
                            <w:highlight w:val="none"/>
                          </w:rPr>
                          <m:t>1</m:t>
                        </m:r>
                        <m:ctrlPr>
                          <w:rPr>
                            <w:rFonts w:ascii="Cambria Math" w:hAnsi="Cambria Math"/>
                            <w:color w:val="auto"/>
                            <w:sz w:val="24"/>
                            <w:highlight w:val="none"/>
                          </w:rPr>
                        </m:ctrlPr>
                      </m:sub>
                    </m:sSub>
                    <m:ctrlPr>
                      <w:rPr>
                        <w:rFonts w:ascii="Cambria Math" w:hAnsi="Cambria Math"/>
                        <w:color w:val="auto"/>
                        <w:sz w:val="24"/>
                        <w:highlight w:val="none"/>
                      </w:rPr>
                    </m:ctrlPr>
                  </m:num>
                  <m:den>
                    <m:sSub>
                      <m:sSubPr>
                        <m:ctrlPr>
                          <w:rPr>
                            <w:rFonts w:ascii="Cambria Math" w:hAnsi="Cambria Math"/>
                            <w:color w:val="auto"/>
                            <w:sz w:val="24"/>
                            <w:highlight w:val="none"/>
                          </w:rPr>
                        </m:ctrlPr>
                      </m:sSubPr>
                      <m:e>
                        <m:r>
                          <m:rPr>
                            <m:sty m:val="p"/>
                          </m:rPr>
                          <w:rPr>
                            <w:rFonts w:ascii="Cambria Math" w:hAnsi="Cambria Math"/>
                            <w:color w:val="auto"/>
                            <w:sz w:val="24"/>
                            <w:highlight w:val="none"/>
                          </w:rPr>
                          <m:t>Q</m:t>
                        </m:r>
                        <m:ctrlPr>
                          <w:rPr>
                            <w:rFonts w:ascii="Cambria Math" w:hAnsi="Cambria Math"/>
                            <w:color w:val="auto"/>
                            <w:sz w:val="24"/>
                            <w:highlight w:val="none"/>
                          </w:rPr>
                        </m:ctrlPr>
                      </m:e>
                      <m:sub>
                        <m:r>
                          <m:rPr>
                            <m:sty m:val="p"/>
                          </m:rPr>
                          <w:rPr>
                            <w:rFonts w:ascii="Cambria Math" w:hAnsi="Cambria Math"/>
                            <w:color w:val="auto"/>
                            <w:sz w:val="24"/>
                            <w:highlight w:val="none"/>
                          </w:rPr>
                          <m:t>1</m:t>
                        </m:r>
                        <m:ctrlPr>
                          <w:rPr>
                            <w:rFonts w:ascii="Cambria Math" w:hAnsi="Cambria Math"/>
                            <w:color w:val="auto"/>
                            <w:sz w:val="24"/>
                            <w:highlight w:val="none"/>
                          </w:rPr>
                        </m:ctrlPr>
                      </m:sub>
                    </m:sSub>
                    <m:ctrlPr>
                      <w:rPr>
                        <w:rFonts w:ascii="Cambria Math" w:hAnsi="Cambria Math"/>
                        <w:color w:val="auto"/>
                        <w:sz w:val="24"/>
                        <w:highlight w:val="none"/>
                      </w:rPr>
                    </m:ctrlPr>
                  </m:den>
                </m:f>
                <m:r>
                  <m:rPr>
                    <m:sty m:val="p"/>
                  </m:rPr>
                  <w:rPr>
                    <w:rFonts w:ascii="Cambria Math" w:hAnsi="Cambria Math"/>
                    <w:color w:val="auto"/>
                    <w:sz w:val="24"/>
                    <w:highlight w:val="none"/>
                  </w:rPr>
                  <m:t>+</m:t>
                </m:r>
                <m:f>
                  <m:fPr>
                    <m:ctrlPr>
                      <w:rPr>
                        <w:rFonts w:ascii="Cambria Math" w:hAnsi="Cambria Math"/>
                        <w:color w:val="auto"/>
                        <w:sz w:val="24"/>
                        <w:highlight w:val="none"/>
                      </w:rPr>
                    </m:ctrlPr>
                  </m:fPr>
                  <m:num>
                    <m:sSub>
                      <m:sSubPr>
                        <m:ctrlPr>
                          <w:rPr>
                            <w:rFonts w:ascii="Cambria Math" w:hAnsi="Cambria Math"/>
                            <w:color w:val="auto"/>
                            <w:sz w:val="24"/>
                            <w:highlight w:val="none"/>
                          </w:rPr>
                        </m:ctrlPr>
                      </m:sSubPr>
                      <m:e>
                        <m:r>
                          <m:rPr>
                            <m:sty m:val="p"/>
                          </m:rPr>
                          <w:rPr>
                            <w:rFonts w:ascii="Cambria Math" w:hAnsi="Cambria Math"/>
                            <w:color w:val="auto"/>
                            <w:sz w:val="24"/>
                            <w:highlight w:val="none"/>
                          </w:rPr>
                          <m:t>q</m:t>
                        </m:r>
                        <m:ctrlPr>
                          <w:rPr>
                            <w:rFonts w:ascii="Cambria Math" w:hAnsi="Cambria Math"/>
                            <w:color w:val="auto"/>
                            <w:sz w:val="24"/>
                            <w:highlight w:val="none"/>
                          </w:rPr>
                        </m:ctrlPr>
                      </m:e>
                      <m:sub>
                        <m:r>
                          <m:rPr>
                            <m:sty m:val="p"/>
                          </m:rPr>
                          <w:rPr>
                            <w:rFonts w:ascii="Cambria Math" w:hAnsi="Cambria Math"/>
                            <w:color w:val="auto"/>
                            <w:sz w:val="24"/>
                            <w:highlight w:val="none"/>
                          </w:rPr>
                          <m:t>2</m:t>
                        </m:r>
                        <m:ctrlPr>
                          <w:rPr>
                            <w:rFonts w:ascii="Cambria Math" w:hAnsi="Cambria Math"/>
                            <w:color w:val="auto"/>
                            <w:sz w:val="24"/>
                            <w:highlight w:val="none"/>
                          </w:rPr>
                        </m:ctrlPr>
                      </m:sub>
                    </m:sSub>
                    <m:ctrlPr>
                      <w:rPr>
                        <w:rFonts w:ascii="Cambria Math" w:hAnsi="Cambria Math"/>
                        <w:color w:val="auto"/>
                        <w:sz w:val="24"/>
                        <w:highlight w:val="none"/>
                      </w:rPr>
                    </m:ctrlPr>
                  </m:num>
                  <m:den>
                    <m:sSub>
                      <m:sSubPr>
                        <m:ctrlPr>
                          <w:rPr>
                            <w:rFonts w:ascii="Cambria Math" w:hAnsi="Cambria Math"/>
                            <w:color w:val="auto"/>
                            <w:sz w:val="24"/>
                            <w:highlight w:val="none"/>
                          </w:rPr>
                        </m:ctrlPr>
                      </m:sSubPr>
                      <m:e>
                        <m:r>
                          <m:rPr>
                            <m:sty m:val="p"/>
                          </m:rPr>
                          <w:rPr>
                            <w:rFonts w:ascii="Cambria Math" w:hAnsi="Cambria Math"/>
                            <w:color w:val="auto"/>
                            <w:sz w:val="24"/>
                            <w:highlight w:val="none"/>
                          </w:rPr>
                          <m:t>Q</m:t>
                        </m:r>
                        <m:ctrlPr>
                          <w:rPr>
                            <w:rFonts w:ascii="Cambria Math" w:hAnsi="Cambria Math"/>
                            <w:color w:val="auto"/>
                            <w:sz w:val="24"/>
                            <w:highlight w:val="none"/>
                          </w:rPr>
                        </m:ctrlPr>
                      </m:e>
                      <m:sub>
                        <m:r>
                          <m:rPr>
                            <m:sty m:val="p"/>
                          </m:rPr>
                          <w:rPr>
                            <w:rFonts w:ascii="Cambria Math" w:hAnsi="Cambria Math"/>
                            <w:color w:val="auto"/>
                            <w:sz w:val="24"/>
                            <w:highlight w:val="none"/>
                          </w:rPr>
                          <m:t>2</m:t>
                        </m:r>
                        <m:ctrlPr>
                          <w:rPr>
                            <w:rFonts w:ascii="Cambria Math" w:hAnsi="Cambria Math"/>
                            <w:color w:val="auto"/>
                            <w:sz w:val="24"/>
                            <w:highlight w:val="none"/>
                          </w:rPr>
                        </m:ctrlPr>
                      </m:sub>
                    </m:sSub>
                    <m:ctrlPr>
                      <w:rPr>
                        <w:rFonts w:ascii="Cambria Math" w:hAnsi="Cambria Math"/>
                        <w:color w:val="auto"/>
                        <w:sz w:val="24"/>
                        <w:highlight w:val="none"/>
                      </w:rPr>
                    </m:ctrlPr>
                  </m:den>
                </m:f>
                <m:r>
                  <m:rPr>
                    <m:sty m:val="p"/>
                  </m:rPr>
                  <w:rPr>
                    <w:rFonts w:ascii="Cambria Math" w:hAnsi="Cambria Math"/>
                    <w:color w:val="auto"/>
                    <w:sz w:val="24"/>
                    <w:highlight w:val="none"/>
                  </w:rPr>
                  <m:t>+⋯⋯+</m:t>
                </m:r>
                <m:f>
                  <m:fPr>
                    <m:ctrlPr>
                      <w:rPr>
                        <w:rFonts w:ascii="Cambria Math" w:hAnsi="Cambria Math"/>
                        <w:color w:val="auto"/>
                        <w:sz w:val="24"/>
                        <w:highlight w:val="none"/>
                      </w:rPr>
                    </m:ctrlPr>
                  </m:fPr>
                  <m:num>
                    <m:sSub>
                      <m:sSubPr>
                        <m:ctrlPr>
                          <w:rPr>
                            <w:rFonts w:ascii="Cambria Math" w:hAnsi="Cambria Math"/>
                            <w:color w:val="auto"/>
                            <w:sz w:val="24"/>
                            <w:highlight w:val="none"/>
                          </w:rPr>
                        </m:ctrlPr>
                      </m:sSubPr>
                      <m:e>
                        <m:r>
                          <m:rPr>
                            <m:sty m:val="p"/>
                          </m:rPr>
                          <w:rPr>
                            <w:rFonts w:ascii="Cambria Math" w:hAnsi="Cambria Math"/>
                            <w:color w:val="auto"/>
                            <w:sz w:val="24"/>
                            <w:highlight w:val="none"/>
                          </w:rPr>
                          <m:t>q</m:t>
                        </m:r>
                        <m:ctrlPr>
                          <w:rPr>
                            <w:rFonts w:ascii="Cambria Math" w:hAnsi="Cambria Math"/>
                            <w:color w:val="auto"/>
                            <w:sz w:val="24"/>
                            <w:highlight w:val="none"/>
                          </w:rPr>
                        </m:ctrlPr>
                      </m:e>
                      <m:sub>
                        <m:r>
                          <m:rPr>
                            <m:sty m:val="p"/>
                          </m:rPr>
                          <w:rPr>
                            <w:rFonts w:ascii="Cambria Math" w:hAnsi="Cambria Math"/>
                            <w:color w:val="auto"/>
                            <w:sz w:val="24"/>
                            <w:highlight w:val="none"/>
                          </w:rPr>
                          <m:t>n</m:t>
                        </m:r>
                        <m:ctrlPr>
                          <w:rPr>
                            <w:rFonts w:ascii="Cambria Math" w:hAnsi="Cambria Math"/>
                            <w:color w:val="auto"/>
                            <w:sz w:val="24"/>
                            <w:highlight w:val="none"/>
                          </w:rPr>
                        </m:ctrlPr>
                      </m:sub>
                    </m:sSub>
                    <m:ctrlPr>
                      <w:rPr>
                        <w:rFonts w:ascii="Cambria Math" w:hAnsi="Cambria Math"/>
                        <w:color w:val="auto"/>
                        <w:sz w:val="24"/>
                        <w:highlight w:val="none"/>
                      </w:rPr>
                    </m:ctrlPr>
                  </m:num>
                  <m:den>
                    <m:sSub>
                      <m:sSubPr>
                        <m:ctrlPr>
                          <w:rPr>
                            <w:rFonts w:ascii="Cambria Math" w:hAnsi="Cambria Math"/>
                            <w:color w:val="auto"/>
                            <w:sz w:val="24"/>
                            <w:highlight w:val="none"/>
                          </w:rPr>
                        </m:ctrlPr>
                      </m:sSubPr>
                      <m:e>
                        <m:r>
                          <m:rPr>
                            <m:sty m:val="p"/>
                          </m:rPr>
                          <w:rPr>
                            <w:rFonts w:ascii="Cambria Math" w:hAnsi="Cambria Math"/>
                            <w:color w:val="auto"/>
                            <w:sz w:val="24"/>
                            <w:highlight w:val="none"/>
                          </w:rPr>
                          <m:t>Q</m:t>
                        </m:r>
                        <m:ctrlPr>
                          <w:rPr>
                            <w:rFonts w:ascii="Cambria Math" w:hAnsi="Cambria Math"/>
                            <w:color w:val="auto"/>
                            <w:sz w:val="24"/>
                            <w:highlight w:val="none"/>
                          </w:rPr>
                        </m:ctrlPr>
                      </m:e>
                      <m:sub>
                        <m:r>
                          <m:rPr>
                            <m:sty m:val="p"/>
                          </m:rPr>
                          <w:rPr>
                            <w:rFonts w:ascii="Cambria Math" w:hAnsi="Cambria Math"/>
                            <w:color w:val="auto"/>
                            <w:sz w:val="24"/>
                            <w:highlight w:val="none"/>
                          </w:rPr>
                          <m:t>n</m:t>
                        </m:r>
                        <m:ctrlPr>
                          <w:rPr>
                            <w:rFonts w:ascii="Cambria Math" w:hAnsi="Cambria Math"/>
                            <w:color w:val="auto"/>
                            <w:sz w:val="24"/>
                            <w:highlight w:val="none"/>
                          </w:rPr>
                        </m:ctrlPr>
                      </m:sub>
                    </m:sSub>
                    <m:ctrlPr>
                      <w:rPr>
                        <w:rFonts w:ascii="Cambria Math" w:hAnsi="Cambria Math"/>
                        <w:color w:val="auto"/>
                        <w:sz w:val="24"/>
                        <w:highlight w:val="none"/>
                      </w:rPr>
                    </m:ctrlPr>
                  </m:den>
                </m:f>
              </m:oMath>
            </m:oMathPara>
          </w:p>
          <w:p w14:paraId="6F2F86D3">
            <w:pPr>
              <w:keepNext w:val="0"/>
              <w:keepLines w:val="0"/>
              <w:pageBreakBefore w:val="0"/>
              <w:kinsoku/>
              <w:wordWrap/>
              <w:overflowPunct/>
              <w:topLinePunct w:val="0"/>
              <w:bidi w:val="0"/>
              <w:adjustRightInd w:val="0"/>
              <w:snapToGrid w:val="0"/>
              <w:spacing w:line="460" w:lineRule="exact"/>
              <w:ind w:left="0" w:leftChars="0" w:right="0" w:firstLine="480" w:firstLineChars="200"/>
              <w:textAlignment w:val="auto"/>
              <w:rPr>
                <w:color w:val="auto"/>
                <w:sz w:val="24"/>
                <w:szCs w:val="22"/>
                <w:highlight w:val="none"/>
              </w:rPr>
            </w:pPr>
            <w:r>
              <w:rPr>
                <w:color w:val="auto"/>
                <w:sz w:val="24"/>
                <w:szCs w:val="22"/>
                <w:highlight w:val="none"/>
              </w:rPr>
              <w:t>式中：</w:t>
            </w:r>
          </w:p>
          <w:p w14:paraId="23DFCE0C">
            <w:pPr>
              <w:keepNext w:val="0"/>
              <w:keepLines w:val="0"/>
              <w:pageBreakBefore w:val="0"/>
              <w:kinsoku/>
              <w:wordWrap/>
              <w:overflowPunct/>
              <w:topLinePunct w:val="0"/>
              <w:bidi w:val="0"/>
              <w:adjustRightInd w:val="0"/>
              <w:snapToGrid w:val="0"/>
              <w:spacing w:line="460" w:lineRule="exact"/>
              <w:ind w:left="0" w:leftChars="0" w:right="0" w:firstLine="480" w:firstLineChars="200"/>
              <w:textAlignment w:val="auto"/>
              <w:rPr>
                <w:color w:val="auto"/>
                <w:sz w:val="24"/>
                <w:szCs w:val="22"/>
                <w:highlight w:val="none"/>
              </w:rPr>
            </w:pPr>
            <w:r>
              <w:rPr>
                <w:color w:val="auto"/>
                <w:sz w:val="24"/>
                <w:szCs w:val="22"/>
                <w:highlight w:val="none"/>
              </w:rPr>
              <w:t>q</w:t>
            </w:r>
            <w:r>
              <w:rPr>
                <w:color w:val="auto"/>
                <w:sz w:val="24"/>
                <w:szCs w:val="22"/>
                <w:highlight w:val="none"/>
                <w:vertAlign w:val="subscript"/>
              </w:rPr>
              <w:t>1</w:t>
            </w:r>
            <w:r>
              <w:rPr>
                <w:color w:val="auto"/>
                <w:sz w:val="24"/>
                <w:szCs w:val="22"/>
                <w:highlight w:val="none"/>
              </w:rPr>
              <w:t>，q</w:t>
            </w:r>
            <w:r>
              <w:rPr>
                <w:color w:val="auto"/>
                <w:sz w:val="24"/>
                <w:szCs w:val="22"/>
                <w:highlight w:val="none"/>
                <w:vertAlign w:val="subscript"/>
              </w:rPr>
              <w:t>2</w:t>
            </w:r>
            <w:r>
              <w:rPr>
                <w:color w:val="auto"/>
                <w:sz w:val="24"/>
                <w:szCs w:val="22"/>
                <w:highlight w:val="none"/>
              </w:rPr>
              <w:t>，…，q</w:t>
            </w:r>
            <w:r>
              <w:rPr>
                <w:color w:val="auto"/>
                <w:sz w:val="24"/>
                <w:szCs w:val="22"/>
                <w:highlight w:val="none"/>
                <w:vertAlign w:val="subscript"/>
              </w:rPr>
              <w:t>n</w:t>
            </w:r>
            <w:r>
              <w:rPr>
                <w:rFonts w:hint="eastAsia"/>
                <w:color w:val="auto"/>
                <w:sz w:val="24"/>
                <w:szCs w:val="22"/>
                <w:highlight w:val="none"/>
              </w:rPr>
              <w:t>——</w:t>
            </w:r>
            <w:r>
              <w:rPr>
                <w:color w:val="auto"/>
                <w:sz w:val="24"/>
                <w:szCs w:val="22"/>
                <w:highlight w:val="none"/>
              </w:rPr>
              <w:t>每种危险物质的最大存在总量，t；</w:t>
            </w:r>
          </w:p>
          <w:p w14:paraId="220875EA">
            <w:pPr>
              <w:keepNext w:val="0"/>
              <w:keepLines w:val="0"/>
              <w:pageBreakBefore w:val="0"/>
              <w:kinsoku/>
              <w:wordWrap/>
              <w:overflowPunct/>
              <w:topLinePunct w:val="0"/>
              <w:bidi w:val="0"/>
              <w:adjustRightInd w:val="0"/>
              <w:snapToGrid w:val="0"/>
              <w:spacing w:line="460" w:lineRule="exact"/>
              <w:ind w:left="0" w:leftChars="0" w:right="0" w:firstLine="480" w:firstLineChars="200"/>
              <w:textAlignment w:val="auto"/>
              <w:rPr>
                <w:color w:val="auto"/>
                <w:sz w:val="24"/>
                <w:szCs w:val="22"/>
                <w:highlight w:val="none"/>
              </w:rPr>
            </w:pPr>
            <w:r>
              <w:rPr>
                <w:color w:val="auto"/>
                <w:sz w:val="24"/>
                <w:szCs w:val="22"/>
                <w:highlight w:val="none"/>
              </w:rPr>
              <w:t>Q</w:t>
            </w:r>
            <w:r>
              <w:rPr>
                <w:color w:val="auto"/>
                <w:sz w:val="24"/>
                <w:szCs w:val="22"/>
                <w:highlight w:val="none"/>
                <w:vertAlign w:val="subscript"/>
              </w:rPr>
              <w:t>1</w:t>
            </w:r>
            <w:r>
              <w:rPr>
                <w:color w:val="auto"/>
                <w:sz w:val="24"/>
                <w:szCs w:val="22"/>
                <w:highlight w:val="none"/>
              </w:rPr>
              <w:t>，Q</w:t>
            </w:r>
            <w:r>
              <w:rPr>
                <w:color w:val="auto"/>
                <w:sz w:val="24"/>
                <w:szCs w:val="22"/>
                <w:highlight w:val="none"/>
                <w:vertAlign w:val="subscript"/>
              </w:rPr>
              <w:t>2</w:t>
            </w:r>
            <w:r>
              <w:rPr>
                <w:color w:val="auto"/>
                <w:sz w:val="24"/>
                <w:szCs w:val="22"/>
                <w:highlight w:val="none"/>
              </w:rPr>
              <w:t>，…，Q</w:t>
            </w:r>
            <w:r>
              <w:rPr>
                <w:color w:val="auto"/>
                <w:sz w:val="24"/>
                <w:szCs w:val="22"/>
                <w:highlight w:val="none"/>
                <w:vertAlign w:val="subscript"/>
              </w:rPr>
              <w:t>n</w:t>
            </w:r>
            <w:r>
              <w:rPr>
                <w:rFonts w:hint="eastAsia"/>
                <w:color w:val="auto"/>
                <w:sz w:val="24"/>
                <w:szCs w:val="22"/>
                <w:highlight w:val="none"/>
              </w:rPr>
              <w:t>——</w:t>
            </w:r>
            <w:r>
              <w:rPr>
                <w:color w:val="auto"/>
                <w:sz w:val="24"/>
                <w:szCs w:val="22"/>
                <w:highlight w:val="none"/>
              </w:rPr>
              <w:t>每种危险物质的临界量，t。</w:t>
            </w:r>
          </w:p>
          <w:p w14:paraId="5E5587BD">
            <w:pPr>
              <w:keepNext w:val="0"/>
              <w:keepLines w:val="0"/>
              <w:pageBreakBefore w:val="0"/>
              <w:kinsoku/>
              <w:wordWrap/>
              <w:overflowPunct/>
              <w:topLinePunct w:val="0"/>
              <w:bidi w:val="0"/>
              <w:spacing w:line="460" w:lineRule="exact"/>
              <w:ind w:left="0" w:leftChars="0" w:right="0" w:firstLine="480" w:firstLineChars="200"/>
              <w:textAlignment w:val="auto"/>
              <w:rPr>
                <w:b/>
                <w:color w:val="auto"/>
                <w:sz w:val="24"/>
                <w:szCs w:val="22"/>
                <w:highlight w:val="none"/>
              </w:rPr>
            </w:pPr>
            <w:r>
              <w:rPr>
                <w:color w:val="auto"/>
                <w:sz w:val="24"/>
                <w:szCs w:val="22"/>
                <w:highlight w:val="none"/>
              </w:rPr>
              <w:t>上式计算结果可知：本企业Q=</w:t>
            </w:r>
            <w:r>
              <w:rPr>
                <w:rFonts w:hint="eastAsia"/>
                <w:color w:val="auto"/>
                <w:sz w:val="24"/>
                <w:highlight w:val="none"/>
                <w:lang w:val="en-US" w:eastAsia="zh-CN"/>
              </w:rPr>
              <w:t>0.086697</w:t>
            </w:r>
            <w:r>
              <w:rPr>
                <w:color w:val="auto"/>
                <w:sz w:val="24"/>
                <w:szCs w:val="22"/>
                <w:highlight w:val="none"/>
              </w:rPr>
              <w:t>&lt;1，</w:t>
            </w:r>
            <w:r>
              <w:rPr>
                <w:rFonts w:hint="eastAsia"/>
                <w:color w:val="auto"/>
                <w:sz w:val="24"/>
                <w:szCs w:val="22"/>
                <w:highlight w:val="none"/>
              </w:rPr>
              <w:t>风险较小。</w:t>
            </w:r>
          </w:p>
          <w:p w14:paraId="07B1480B">
            <w:pPr>
              <w:keepNext w:val="0"/>
              <w:keepLines w:val="0"/>
              <w:pageBreakBefore w:val="0"/>
              <w:kinsoku/>
              <w:wordWrap/>
              <w:overflowPunct/>
              <w:topLinePunct w:val="0"/>
              <w:bidi w:val="0"/>
              <w:spacing w:line="460" w:lineRule="exact"/>
              <w:ind w:left="0" w:leftChars="0" w:right="0" w:firstLine="482" w:firstLineChars="200"/>
              <w:textAlignment w:val="auto"/>
              <w:rPr>
                <w:b/>
                <w:color w:val="auto"/>
                <w:highlight w:val="none"/>
              </w:rPr>
            </w:pPr>
            <w:r>
              <w:rPr>
                <w:rFonts w:hint="eastAsia"/>
                <w:b/>
                <w:color w:val="auto"/>
                <w:sz w:val="24"/>
                <w:szCs w:val="22"/>
                <w:highlight w:val="none"/>
              </w:rPr>
              <w:t>（2）环境风险识别</w:t>
            </w:r>
          </w:p>
          <w:p w14:paraId="6572D0F5">
            <w:pPr>
              <w:bidi w:val="0"/>
              <w:ind w:firstLine="482" w:firstLineChars="200"/>
              <w:rPr>
                <w:b/>
                <w:bCs/>
                <w:color w:val="auto"/>
                <w:highlight w:val="none"/>
              </w:rPr>
            </w:pPr>
            <w:r>
              <w:rPr>
                <w:rFonts w:hint="eastAsia"/>
                <w:b/>
                <w:bCs/>
                <w:color w:val="auto"/>
                <w:highlight w:val="none"/>
              </w:rPr>
              <w:t>1）</w:t>
            </w:r>
            <w:r>
              <w:rPr>
                <w:b/>
                <w:bCs/>
                <w:color w:val="auto"/>
                <w:highlight w:val="none"/>
              </w:rPr>
              <w:t>物质危险性识别</w:t>
            </w:r>
          </w:p>
          <w:p w14:paraId="09010ABB">
            <w:pPr>
              <w:bidi w:val="0"/>
              <w:ind w:firstLine="480" w:firstLineChars="200"/>
              <w:rPr>
                <w:rFonts w:hint="eastAsia"/>
                <w:color w:val="auto"/>
                <w:highlight w:val="none"/>
                <w:lang w:val="en-US" w:eastAsia="zh-CN"/>
              </w:rPr>
            </w:pPr>
            <w:r>
              <w:rPr>
                <w:rFonts w:hint="eastAsia"/>
                <w:color w:val="auto"/>
                <w:highlight w:val="none"/>
                <w:lang w:val="en-US" w:eastAsia="zh-CN"/>
              </w:rPr>
              <w:t>根据《建设项目环境风险评价技术导则》（HJ169-2018）附录B，企业全厂涉及的风险物质主要为原料、危险废物。</w:t>
            </w:r>
          </w:p>
          <w:p w14:paraId="7F0C7812">
            <w:pPr>
              <w:bidi w:val="0"/>
              <w:ind w:firstLine="482" w:firstLineChars="200"/>
              <w:rPr>
                <w:rFonts w:hint="eastAsia"/>
                <w:b/>
                <w:bCs/>
                <w:color w:val="auto"/>
                <w:highlight w:val="none"/>
                <w:lang w:val="en-US" w:eastAsia="zh-CN"/>
              </w:rPr>
            </w:pPr>
            <w:r>
              <w:rPr>
                <w:rFonts w:hint="eastAsia"/>
                <w:b/>
                <w:bCs/>
                <w:color w:val="auto"/>
                <w:highlight w:val="none"/>
              </w:rPr>
              <w:t>2）</w:t>
            </w:r>
            <w:r>
              <w:rPr>
                <w:b/>
                <w:bCs/>
                <w:color w:val="auto"/>
                <w:highlight w:val="none"/>
              </w:rPr>
              <w:t>生产系统危险性识别</w:t>
            </w:r>
          </w:p>
          <w:p w14:paraId="0E2DAB06">
            <w:pPr>
              <w:bidi w:val="0"/>
              <w:ind w:firstLine="480" w:firstLineChars="200"/>
              <w:rPr>
                <w:color w:val="auto"/>
                <w:highlight w:val="none"/>
              </w:rPr>
            </w:pPr>
            <w:r>
              <w:rPr>
                <w:rFonts w:hint="eastAsia"/>
                <w:color w:val="auto"/>
                <w:highlight w:val="none"/>
                <w:lang w:val="en-US" w:eastAsia="zh-CN"/>
              </w:rPr>
              <w:t>①</w:t>
            </w:r>
            <w:r>
              <w:rPr>
                <w:rFonts w:hint="eastAsia"/>
                <w:color w:val="auto"/>
                <w:highlight w:val="none"/>
              </w:rPr>
              <w:t>泄漏事故</w:t>
            </w:r>
          </w:p>
          <w:p w14:paraId="2B695123">
            <w:pPr>
              <w:bidi w:val="0"/>
              <w:ind w:firstLine="480" w:firstLineChars="200"/>
              <w:rPr>
                <w:rFonts w:hint="eastAsia"/>
                <w:color w:val="auto"/>
                <w:highlight w:val="none"/>
                <w:lang w:val="en-US" w:eastAsia="zh-CN"/>
              </w:rPr>
            </w:pPr>
            <w:r>
              <w:rPr>
                <w:rFonts w:hint="eastAsia"/>
                <w:color w:val="auto"/>
                <w:highlight w:val="none"/>
              </w:rPr>
              <w:t>项目</w:t>
            </w:r>
            <w:r>
              <w:rPr>
                <w:rFonts w:hint="eastAsia"/>
                <w:color w:val="auto"/>
                <w:highlight w:val="none"/>
                <w:lang w:val="en-US" w:eastAsia="zh-CN"/>
              </w:rPr>
              <w:t>液体原料、液体危险废物在贮存、运输过程中泄漏</w:t>
            </w:r>
            <w:r>
              <w:rPr>
                <w:rFonts w:hint="eastAsia"/>
                <w:color w:val="auto"/>
                <w:highlight w:val="none"/>
              </w:rPr>
              <w:t>进入</w:t>
            </w:r>
            <w:r>
              <w:rPr>
                <w:rFonts w:hint="eastAsia"/>
                <w:color w:val="auto"/>
                <w:highlight w:val="none"/>
                <w:lang w:val="en-US" w:eastAsia="zh-CN"/>
              </w:rPr>
              <w:t>外</w:t>
            </w:r>
            <w:r>
              <w:rPr>
                <w:rFonts w:hint="eastAsia"/>
                <w:color w:val="auto"/>
                <w:highlight w:val="none"/>
              </w:rPr>
              <w:t>环境，</w:t>
            </w:r>
            <w:r>
              <w:rPr>
                <w:rFonts w:hint="eastAsia"/>
                <w:color w:val="auto"/>
                <w:highlight w:val="none"/>
                <w:lang w:val="en-US" w:eastAsia="zh-CN"/>
              </w:rPr>
              <w:t>当</w:t>
            </w:r>
            <w:r>
              <w:rPr>
                <w:rFonts w:hint="eastAsia"/>
                <w:color w:val="auto"/>
                <w:highlight w:val="none"/>
              </w:rPr>
              <w:t>未能及时有效处理</w:t>
            </w:r>
            <w:r>
              <w:rPr>
                <w:rFonts w:hint="eastAsia"/>
                <w:color w:val="auto"/>
                <w:highlight w:val="none"/>
                <w:lang w:val="en-US" w:eastAsia="zh-CN"/>
              </w:rPr>
              <w:t>时会污染泄漏</w:t>
            </w:r>
            <w:sdt>
              <w:sdtPr>
                <w:rPr>
                  <w:color w:val="auto"/>
                  <w:highlight w:val="none"/>
                </w:rPr>
                <w:alias w:val="易错词检查"/>
                <w:tag w:val="auto"/>
                <w:id w:val="1101216"/>
              </w:sdtPr>
              <w:sdtEndPr>
                <w:rPr>
                  <w:color w:val="auto"/>
                  <w:highlight w:val="none"/>
                </w:rPr>
              </w:sdtEndPr>
              <w:sdtContent>
                <w:bookmarkStart w:id="60" w:name="bkReivew1101216"/>
                <w:r>
                  <w:rPr>
                    <w:rFonts w:hint="eastAsia"/>
                    <w:color w:val="auto"/>
                    <w:highlight w:val="none"/>
                    <w:lang w:val="en-US" w:eastAsia="zh-CN"/>
                  </w:rPr>
                  <w:t>地</w:t>
                </w:r>
                <w:bookmarkEnd w:id="60"/>
              </w:sdtContent>
            </w:sdt>
            <w:r>
              <w:rPr>
                <w:rFonts w:hint="eastAsia"/>
                <w:color w:val="auto"/>
                <w:highlight w:val="none"/>
              </w:rPr>
              <w:t>土壤环境。</w:t>
            </w:r>
            <w:r>
              <w:rPr>
                <w:rFonts w:hint="eastAsia"/>
                <w:color w:val="auto"/>
                <w:highlight w:val="none"/>
                <w:lang w:val="en-US" w:eastAsia="zh-CN"/>
              </w:rPr>
              <w:t>若泄漏物不慎进入雨水管网，还有可能污染周边地表水环境。</w:t>
            </w:r>
          </w:p>
          <w:p w14:paraId="0E3ACEC9">
            <w:pPr>
              <w:bidi w:val="0"/>
              <w:ind w:firstLine="480" w:firstLineChars="200"/>
              <w:rPr>
                <w:color w:val="auto"/>
                <w:highlight w:val="none"/>
              </w:rPr>
            </w:pPr>
            <w:r>
              <w:rPr>
                <w:rFonts w:hint="eastAsia"/>
                <w:color w:val="auto"/>
                <w:highlight w:val="none"/>
                <w:lang w:val="en-US" w:eastAsia="zh-CN"/>
              </w:rPr>
              <w:t>②</w:t>
            </w:r>
            <w:r>
              <w:rPr>
                <w:rFonts w:hint="eastAsia"/>
                <w:color w:val="auto"/>
                <w:highlight w:val="none"/>
              </w:rPr>
              <w:t>废气事故排放</w:t>
            </w:r>
          </w:p>
          <w:p w14:paraId="0CFCB282">
            <w:pPr>
              <w:bidi w:val="0"/>
              <w:ind w:firstLine="480" w:firstLineChars="200"/>
              <w:rPr>
                <w:rFonts w:hint="eastAsia"/>
                <w:color w:val="auto"/>
                <w:highlight w:val="none"/>
                <w:lang w:val="en-US" w:eastAsia="zh-CN"/>
              </w:rPr>
            </w:pPr>
            <w:r>
              <w:rPr>
                <w:rFonts w:hint="eastAsia"/>
                <w:color w:val="auto"/>
                <w:highlight w:val="none"/>
              </w:rPr>
              <w:t>废气处理设施故障，造成</w:t>
            </w:r>
            <w:r>
              <w:rPr>
                <w:rFonts w:hint="eastAsia"/>
                <w:color w:val="auto"/>
                <w:highlight w:val="none"/>
                <w:lang w:val="en-US" w:eastAsia="zh-CN"/>
              </w:rPr>
              <w:t>收集</w:t>
            </w:r>
            <w:r>
              <w:rPr>
                <w:rFonts w:hint="eastAsia"/>
                <w:color w:val="auto"/>
                <w:highlight w:val="none"/>
              </w:rPr>
              <w:t>废气未经处理直接进入大气环境，影响周边大气环境。</w:t>
            </w:r>
          </w:p>
          <w:p w14:paraId="675339E6">
            <w:pPr>
              <w:bidi w:val="0"/>
              <w:ind w:firstLine="480" w:firstLineChars="200"/>
              <w:rPr>
                <w:color w:val="auto"/>
                <w:highlight w:val="none"/>
              </w:rPr>
            </w:pPr>
            <w:r>
              <w:rPr>
                <w:rFonts w:hint="eastAsia"/>
                <w:color w:val="auto"/>
                <w:highlight w:val="none"/>
                <w:lang w:val="en-US" w:eastAsia="zh-CN"/>
              </w:rPr>
              <w:t>③</w:t>
            </w:r>
            <w:r>
              <w:rPr>
                <w:rFonts w:hint="eastAsia"/>
                <w:color w:val="auto"/>
                <w:highlight w:val="none"/>
              </w:rPr>
              <w:t>火灾事故</w:t>
            </w:r>
          </w:p>
          <w:p w14:paraId="5C58F999">
            <w:pPr>
              <w:bidi w:val="0"/>
              <w:ind w:firstLine="480" w:firstLineChars="200"/>
              <w:rPr>
                <w:rFonts w:hint="eastAsia"/>
                <w:color w:val="auto"/>
                <w:highlight w:val="none"/>
              </w:rPr>
            </w:pPr>
            <w:r>
              <w:rPr>
                <w:rFonts w:hint="eastAsia"/>
                <w:color w:val="auto"/>
                <w:highlight w:val="none"/>
              </w:rPr>
              <w:t>当项目厂区内部发生火灾事故时燃烧废气扩散</w:t>
            </w:r>
            <w:r>
              <w:rPr>
                <w:rFonts w:hint="eastAsia"/>
                <w:color w:val="auto"/>
                <w:highlight w:val="none"/>
                <w:lang w:val="en-US" w:eastAsia="zh-CN"/>
              </w:rPr>
              <w:t>会</w:t>
            </w:r>
            <w:r>
              <w:rPr>
                <w:rFonts w:hint="eastAsia"/>
                <w:color w:val="auto"/>
                <w:highlight w:val="none"/>
              </w:rPr>
              <w:t>影响周边大气环境。灭火过程中产生的消防废水未截留在厂区内，可能会随着地面径流进入雨水管网，直接进入外部水体环境中，污染地表水环境。污染地表水的有毒有害物质未能及时有效处理，进入地下水体和土壤，进而污染地下水和土壤环境。</w:t>
            </w:r>
          </w:p>
          <w:p w14:paraId="39D6B056">
            <w:pPr>
              <w:bidi w:val="0"/>
              <w:ind w:firstLine="482" w:firstLineChars="200"/>
              <w:rPr>
                <w:rFonts w:hint="default"/>
                <w:b/>
                <w:bCs/>
                <w:color w:val="auto"/>
                <w:highlight w:val="none"/>
              </w:rPr>
            </w:pPr>
            <w:r>
              <w:rPr>
                <w:rFonts w:hint="eastAsia"/>
                <w:b/>
                <w:bCs/>
                <w:color w:val="auto"/>
                <w:highlight w:val="none"/>
                <w:lang w:val="en-US" w:eastAsia="zh-CN"/>
              </w:rPr>
              <w:t>3）</w:t>
            </w:r>
            <w:r>
              <w:rPr>
                <w:rFonts w:hint="default"/>
                <w:b/>
                <w:bCs/>
                <w:color w:val="auto"/>
                <w:highlight w:val="none"/>
              </w:rPr>
              <w:t>危险物质向环境转移的途径识别</w:t>
            </w:r>
          </w:p>
          <w:p w14:paraId="1B4F0692">
            <w:pPr>
              <w:bidi w:val="0"/>
              <w:ind w:firstLine="480" w:firstLineChars="200"/>
              <w:rPr>
                <w:rFonts w:hint="default"/>
                <w:color w:val="auto"/>
                <w:highlight w:val="none"/>
              </w:rPr>
            </w:pPr>
            <w:r>
              <w:rPr>
                <w:rFonts w:hint="eastAsia"/>
                <w:color w:val="auto"/>
                <w:highlight w:val="none"/>
                <w:lang w:val="en-US" w:eastAsia="zh-CN"/>
              </w:rPr>
              <w:t>企业</w:t>
            </w:r>
            <w:r>
              <w:rPr>
                <w:rFonts w:hint="default"/>
                <w:color w:val="auto"/>
                <w:highlight w:val="none"/>
              </w:rPr>
              <w:t>危险物质在事故情形下对环境的影响途径具体见</w:t>
            </w:r>
            <w:r>
              <w:rPr>
                <w:rFonts w:hint="eastAsia"/>
                <w:color w:val="auto"/>
                <w:highlight w:val="none"/>
                <w:lang w:val="en-US" w:eastAsia="zh-CN"/>
              </w:rPr>
              <w:t>下表4-15</w:t>
            </w:r>
            <w:r>
              <w:rPr>
                <w:rFonts w:hint="default"/>
                <w:color w:val="auto"/>
                <w:highlight w:val="none"/>
              </w:rPr>
              <w:t>。</w:t>
            </w:r>
          </w:p>
          <w:p w14:paraId="1454FF70">
            <w:pPr>
              <w:pStyle w:val="162"/>
              <w:bidi w:val="0"/>
              <w:rPr>
                <w:rFonts w:hint="default"/>
                <w:color w:val="auto"/>
                <w:highlight w:val="none"/>
              </w:rPr>
            </w:pPr>
            <w:r>
              <w:rPr>
                <w:rFonts w:hint="eastAsia"/>
                <w:color w:val="auto"/>
                <w:highlight w:val="none"/>
                <w:lang w:eastAsia="zh-CN"/>
              </w:rPr>
              <w:t>本</w:t>
            </w:r>
            <w:r>
              <w:rPr>
                <w:rFonts w:hint="default"/>
                <w:color w:val="auto"/>
                <w:highlight w:val="none"/>
              </w:rPr>
              <w:t>项目环境风险识别表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0"/>
              <w:gridCol w:w="973"/>
              <w:gridCol w:w="2317"/>
              <w:gridCol w:w="1112"/>
              <w:gridCol w:w="1593"/>
              <w:gridCol w:w="2086"/>
            </w:tblGrid>
            <w:tr w14:paraId="0145A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0" w:type="pct"/>
                  <w:noWrap w:val="0"/>
                  <w:vAlign w:val="center"/>
                </w:tcPr>
                <w:p w14:paraId="171C9F6C">
                  <w:pPr>
                    <w:pStyle w:val="41"/>
                    <w:bidi w:val="0"/>
                    <w:rPr>
                      <w:rFonts w:hint="default"/>
                      <w:b/>
                      <w:bCs/>
                      <w:color w:val="auto"/>
                      <w:highlight w:val="none"/>
                      <w:lang w:val="zh-CN"/>
                    </w:rPr>
                  </w:pPr>
                  <w:r>
                    <w:rPr>
                      <w:rFonts w:hint="default"/>
                      <w:b/>
                      <w:bCs/>
                      <w:color w:val="auto"/>
                      <w:highlight w:val="none"/>
                      <w:lang w:val="zh-CN"/>
                    </w:rPr>
                    <w:t>序号</w:t>
                  </w:r>
                </w:p>
              </w:tc>
              <w:tc>
                <w:tcPr>
                  <w:tcW w:w="574" w:type="pct"/>
                  <w:noWrap w:val="0"/>
                  <w:vAlign w:val="center"/>
                </w:tcPr>
                <w:p w14:paraId="54478A1D">
                  <w:pPr>
                    <w:pStyle w:val="41"/>
                    <w:bidi w:val="0"/>
                    <w:rPr>
                      <w:rFonts w:hint="default"/>
                      <w:b/>
                      <w:bCs/>
                      <w:color w:val="auto"/>
                      <w:highlight w:val="none"/>
                      <w:lang w:val="zh-CN"/>
                    </w:rPr>
                  </w:pPr>
                  <w:r>
                    <w:rPr>
                      <w:rFonts w:hint="default"/>
                      <w:b/>
                      <w:bCs/>
                      <w:color w:val="auto"/>
                      <w:highlight w:val="none"/>
                      <w:lang w:val="zh-CN"/>
                    </w:rPr>
                    <w:t>风险源</w:t>
                  </w:r>
                </w:p>
              </w:tc>
              <w:tc>
                <w:tcPr>
                  <w:tcW w:w="1367" w:type="pct"/>
                  <w:noWrap w:val="0"/>
                  <w:vAlign w:val="center"/>
                </w:tcPr>
                <w:p w14:paraId="290B31DE">
                  <w:pPr>
                    <w:pStyle w:val="41"/>
                    <w:bidi w:val="0"/>
                    <w:rPr>
                      <w:rFonts w:hint="default"/>
                      <w:b/>
                      <w:bCs/>
                      <w:color w:val="auto"/>
                      <w:highlight w:val="none"/>
                      <w:lang w:val="zh-CN"/>
                    </w:rPr>
                  </w:pPr>
                  <w:r>
                    <w:rPr>
                      <w:rFonts w:hint="default"/>
                      <w:b/>
                      <w:bCs/>
                      <w:color w:val="auto"/>
                      <w:highlight w:val="none"/>
                      <w:lang w:val="zh-CN"/>
                    </w:rPr>
                    <w:t>主要危险物质</w:t>
                  </w:r>
                </w:p>
              </w:tc>
              <w:tc>
                <w:tcPr>
                  <w:tcW w:w="656" w:type="pct"/>
                  <w:noWrap w:val="0"/>
                  <w:vAlign w:val="center"/>
                </w:tcPr>
                <w:p w14:paraId="797B4AD7">
                  <w:pPr>
                    <w:pStyle w:val="41"/>
                    <w:bidi w:val="0"/>
                    <w:rPr>
                      <w:rFonts w:hint="default"/>
                      <w:b/>
                      <w:bCs/>
                      <w:color w:val="auto"/>
                      <w:highlight w:val="none"/>
                      <w:lang w:val="zh-CN"/>
                    </w:rPr>
                  </w:pPr>
                  <w:r>
                    <w:rPr>
                      <w:rFonts w:hint="default"/>
                      <w:b/>
                      <w:bCs/>
                      <w:color w:val="auto"/>
                      <w:highlight w:val="none"/>
                      <w:lang w:val="zh-CN"/>
                    </w:rPr>
                    <w:t>环境风险类型</w:t>
                  </w:r>
                </w:p>
              </w:tc>
              <w:tc>
                <w:tcPr>
                  <w:tcW w:w="940" w:type="pct"/>
                  <w:noWrap w:val="0"/>
                  <w:vAlign w:val="center"/>
                </w:tcPr>
                <w:p w14:paraId="1B4E640D">
                  <w:pPr>
                    <w:pStyle w:val="41"/>
                    <w:bidi w:val="0"/>
                    <w:rPr>
                      <w:rFonts w:hint="default"/>
                      <w:b/>
                      <w:bCs/>
                      <w:color w:val="auto"/>
                      <w:highlight w:val="none"/>
                      <w:lang w:val="zh-CN"/>
                    </w:rPr>
                  </w:pPr>
                  <w:r>
                    <w:rPr>
                      <w:rFonts w:hint="default"/>
                      <w:b/>
                      <w:bCs/>
                      <w:color w:val="auto"/>
                      <w:highlight w:val="none"/>
                      <w:lang w:val="zh-CN"/>
                    </w:rPr>
                    <w:t>环境影响途径</w:t>
                  </w:r>
                </w:p>
              </w:tc>
              <w:tc>
                <w:tcPr>
                  <w:tcW w:w="1231" w:type="pct"/>
                  <w:noWrap w:val="0"/>
                  <w:vAlign w:val="center"/>
                </w:tcPr>
                <w:p w14:paraId="76CD75C3">
                  <w:pPr>
                    <w:pStyle w:val="41"/>
                    <w:bidi w:val="0"/>
                    <w:rPr>
                      <w:rFonts w:hint="default"/>
                      <w:b/>
                      <w:bCs/>
                      <w:color w:val="auto"/>
                      <w:highlight w:val="none"/>
                      <w:lang w:val="zh-CN"/>
                    </w:rPr>
                  </w:pPr>
                  <w:r>
                    <w:rPr>
                      <w:rFonts w:hint="default"/>
                      <w:b/>
                      <w:bCs/>
                      <w:color w:val="auto"/>
                      <w:highlight w:val="none"/>
                      <w:lang w:val="zh-CN"/>
                    </w:rPr>
                    <w:t>可能受影响的环境敏感目标</w:t>
                  </w:r>
                </w:p>
              </w:tc>
            </w:tr>
            <w:tr w14:paraId="27620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0" w:type="pct"/>
                  <w:noWrap w:val="0"/>
                  <w:vAlign w:val="center"/>
                </w:tcPr>
                <w:p w14:paraId="71AF861C">
                  <w:pPr>
                    <w:pStyle w:val="41"/>
                    <w:bidi w:val="0"/>
                    <w:rPr>
                      <w:rFonts w:hint="default"/>
                      <w:color w:val="auto"/>
                      <w:highlight w:val="none"/>
                      <w:lang w:val="zh-CN"/>
                    </w:rPr>
                  </w:pPr>
                  <w:r>
                    <w:rPr>
                      <w:rFonts w:hint="default"/>
                      <w:color w:val="auto"/>
                      <w:highlight w:val="none"/>
                      <w:lang w:val="zh-CN"/>
                    </w:rPr>
                    <w:t>1</w:t>
                  </w:r>
                </w:p>
              </w:tc>
              <w:tc>
                <w:tcPr>
                  <w:tcW w:w="574" w:type="pct"/>
                  <w:noWrap w:val="0"/>
                  <w:vAlign w:val="center"/>
                </w:tcPr>
                <w:p w14:paraId="7B4A2355">
                  <w:pPr>
                    <w:pStyle w:val="41"/>
                    <w:bidi w:val="0"/>
                    <w:rPr>
                      <w:rFonts w:hint="default"/>
                      <w:color w:val="auto"/>
                      <w:highlight w:val="none"/>
                      <w:lang w:val="en-US" w:eastAsia="zh-CN"/>
                    </w:rPr>
                  </w:pPr>
                  <w:r>
                    <w:rPr>
                      <w:rFonts w:hint="eastAsia"/>
                      <w:color w:val="auto"/>
                      <w:highlight w:val="none"/>
                      <w:lang w:val="en-US" w:eastAsia="zh-CN"/>
                    </w:rPr>
                    <w:t>废气处理系统</w:t>
                  </w:r>
                </w:p>
              </w:tc>
              <w:tc>
                <w:tcPr>
                  <w:tcW w:w="1367" w:type="pct"/>
                  <w:noWrap w:val="0"/>
                  <w:vAlign w:val="center"/>
                </w:tcPr>
                <w:p w14:paraId="37504BB2">
                  <w:pPr>
                    <w:pStyle w:val="41"/>
                    <w:bidi w:val="0"/>
                    <w:rPr>
                      <w:rFonts w:hint="eastAsia" w:eastAsia="宋体"/>
                      <w:color w:val="auto"/>
                      <w:highlight w:val="none"/>
                      <w:lang w:val="en-US" w:eastAsia="zh-CN"/>
                    </w:rPr>
                  </w:pPr>
                  <w:r>
                    <w:rPr>
                      <w:rFonts w:hint="default"/>
                      <w:color w:val="auto"/>
                      <w:highlight w:val="none"/>
                    </w:rPr>
                    <w:t>非甲烷总烃、乙酸乙酯、甲醇、二氯甲烷、乙腈</w:t>
                  </w:r>
                  <w:r>
                    <w:rPr>
                      <w:rFonts w:hint="eastAsia"/>
                      <w:color w:val="auto"/>
                      <w:highlight w:val="none"/>
                      <w:lang w:val="en-US" w:eastAsia="zh-CN"/>
                    </w:rPr>
                    <w:t>等</w:t>
                  </w:r>
                </w:p>
              </w:tc>
              <w:tc>
                <w:tcPr>
                  <w:tcW w:w="656" w:type="pct"/>
                  <w:noWrap w:val="0"/>
                  <w:vAlign w:val="center"/>
                </w:tcPr>
                <w:p w14:paraId="3F0831FC">
                  <w:pPr>
                    <w:pStyle w:val="41"/>
                    <w:bidi w:val="0"/>
                    <w:rPr>
                      <w:rFonts w:hint="default"/>
                      <w:color w:val="auto"/>
                      <w:highlight w:val="none"/>
                      <w:lang w:val="zh-CN"/>
                    </w:rPr>
                  </w:pPr>
                  <w:r>
                    <w:rPr>
                      <w:rFonts w:hint="default"/>
                      <w:color w:val="auto"/>
                      <w:highlight w:val="none"/>
                    </w:rPr>
                    <w:t>事故排放</w:t>
                  </w:r>
                </w:p>
              </w:tc>
              <w:tc>
                <w:tcPr>
                  <w:tcW w:w="940" w:type="pct"/>
                  <w:noWrap w:val="0"/>
                  <w:vAlign w:val="center"/>
                </w:tcPr>
                <w:p w14:paraId="7C5EEF58">
                  <w:pPr>
                    <w:pStyle w:val="41"/>
                    <w:bidi w:val="0"/>
                    <w:rPr>
                      <w:rFonts w:hint="eastAsia"/>
                      <w:color w:val="auto"/>
                      <w:highlight w:val="none"/>
                      <w:lang w:val="zh-CN" w:eastAsia="zh-CN"/>
                    </w:rPr>
                  </w:pPr>
                  <w:bookmarkStart w:id="61" w:name="OLE_LINK40"/>
                  <w:r>
                    <w:rPr>
                      <w:rFonts w:hint="default"/>
                      <w:color w:val="auto"/>
                      <w:highlight w:val="none"/>
                      <w:lang w:val="zh-CN"/>
                    </w:rPr>
                    <w:t>大气</w:t>
                  </w:r>
                  <w:r>
                    <w:rPr>
                      <w:rFonts w:hint="eastAsia"/>
                      <w:color w:val="auto"/>
                      <w:highlight w:val="none"/>
                      <w:lang w:val="en-US" w:eastAsia="zh-CN"/>
                    </w:rPr>
                    <w:t>扩散</w:t>
                  </w:r>
                  <w:bookmarkEnd w:id="61"/>
                </w:p>
              </w:tc>
              <w:tc>
                <w:tcPr>
                  <w:tcW w:w="1231" w:type="pct"/>
                  <w:noWrap w:val="0"/>
                  <w:vAlign w:val="center"/>
                </w:tcPr>
                <w:p w14:paraId="5E6616B4">
                  <w:pPr>
                    <w:pStyle w:val="41"/>
                    <w:bidi w:val="0"/>
                    <w:rPr>
                      <w:rFonts w:hint="eastAsia"/>
                      <w:color w:val="auto"/>
                      <w:highlight w:val="none"/>
                      <w:lang w:val="en-US" w:eastAsia="zh-CN"/>
                    </w:rPr>
                  </w:pPr>
                  <w:r>
                    <w:rPr>
                      <w:rFonts w:hint="eastAsia"/>
                      <w:color w:val="auto"/>
                      <w:highlight w:val="none"/>
                      <w:lang w:val="en-US" w:eastAsia="zh-CN"/>
                    </w:rPr>
                    <w:t>大气</w:t>
                  </w:r>
                </w:p>
              </w:tc>
            </w:tr>
            <w:tr w14:paraId="41B50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0" w:type="pct"/>
                  <w:noWrap w:val="0"/>
                  <w:vAlign w:val="center"/>
                </w:tcPr>
                <w:p w14:paraId="4AEFA01F">
                  <w:pPr>
                    <w:pStyle w:val="41"/>
                    <w:bidi w:val="0"/>
                    <w:rPr>
                      <w:rFonts w:hint="default"/>
                      <w:color w:val="auto"/>
                      <w:highlight w:val="none"/>
                    </w:rPr>
                  </w:pPr>
                  <w:r>
                    <w:rPr>
                      <w:rFonts w:hint="default"/>
                      <w:color w:val="auto"/>
                      <w:highlight w:val="none"/>
                    </w:rPr>
                    <w:t>2</w:t>
                  </w:r>
                </w:p>
              </w:tc>
              <w:tc>
                <w:tcPr>
                  <w:tcW w:w="574" w:type="pct"/>
                  <w:noWrap w:val="0"/>
                  <w:vAlign w:val="center"/>
                </w:tcPr>
                <w:p w14:paraId="1A04AF06">
                  <w:pPr>
                    <w:pStyle w:val="41"/>
                    <w:bidi w:val="0"/>
                    <w:rPr>
                      <w:rFonts w:hint="default"/>
                      <w:color w:val="auto"/>
                      <w:highlight w:val="none"/>
                      <w:lang w:val="en-US" w:eastAsia="zh-CN"/>
                    </w:rPr>
                  </w:pPr>
                  <w:r>
                    <w:rPr>
                      <w:rFonts w:hint="eastAsia"/>
                      <w:color w:val="auto"/>
                      <w:highlight w:val="none"/>
                      <w:lang w:val="en-US" w:eastAsia="zh-CN"/>
                    </w:rPr>
                    <w:t>危化品库</w:t>
                  </w:r>
                </w:p>
              </w:tc>
              <w:tc>
                <w:tcPr>
                  <w:tcW w:w="1367" w:type="pct"/>
                  <w:noWrap w:val="0"/>
                  <w:vAlign w:val="center"/>
                </w:tcPr>
                <w:p w14:paraId="4C259D19">
                  <w:pPr>
                    <w:pStyle w:val="41"/>
                    <w:bidi w:val="0"/>
                    <w:rPr>
                      <w:rFonts w:hint="default"/>
                      <w:color w:val="auto"/>
                      <w:highlight w:val="none"/>
                      <w:lang w:val="en-US" w:eastAsia="zh-CN"/>
                    </w:rPr>
                  </w:pPr>
                  <w:r>
                    <w:rPr>
                      <w:rFonts w:hint="eastAsia"/>
                      <w:color w:val="auto"/>
                      <w:highlight w:val="none"/>
                      <w:lang w:val="en-US" w:eastAsia="zh-CN"/>
                    </w:rPr>
                    <w:t>乙酸乙酯、甲醇、二氯甲烷、乙腈等</w:t>
                  </w:r>
                </w:p>
              </w:tc>
              <w:tc>
                <w:tcPr>
                  <w:tcW w:w="656" w:type="pct"/>
                  <w:noWrap w:val="0"/>
                  <w:vAlign w:val="center"/>
                </w:tcPr>
                <w:p w14:paraId="64263F21">
                  <w:pPr>
                    <w:pStyle w:val="41"/>
                    <w:bidi w:val="0"/>
                    <w:rPr>
                      <w:rFonts w:hint="default"/>
                      <w:color w:val="auto"/>
                      <w:highlight w:val="none"/>
                      <w:lang w:val="en-US" w:eastAsia="zh-CN"/>
                    </w:rPr>
                  </w:pPr>
                  <w:r>
                    <w:rPr>
                      <w:rFonts w:hint="eastAsia"/>
                      <w:color w:val="auto"/>
                      <w:highlight w:val="none"/>
                      <w:lang w:eastAsia="zh-CN"/>
                    </w:rPr>
                    <w:t>泄漏、</w:t>
                  </w:r>
                  <w:r>
                    <w:rPr>
                      <w:rFonts w:hint="eastAsia"/>
                      <w:color w:val="auto"/>
                      <w:highlight w:val="none"/>
                      <w:lang w:val="en-US" w:eastAsia="zh-CN"/>
                    </w:rPr>
                    <w:t>火灾</w:t>
                  </w:r>
                </w:p>
              </w:tc>
              <w:tc>
                <w:tcPr>
                  <w:tcW w:w="940" w:type="pct"/>
                  <w:noWrap w:val="0"/>
                  <w:vAlign w:val="center"/>
                </w:tcPr>
                <w:p w14:paraId="266B2DF6">
                  <w:pPr>
                    <w:pStyle w:val="41"/>
                    <w:bidi w:val="0"/>
                    <w:rPr>
                      <w:rFonts w:hint="default"/>
                      <w:color w:val="auto"/>
                      <w:highlight w:val="none"/>
                      <w:lang w:val="en-US" w:eastAsia="zh-CN"/>
                    </w:rPr>
                  </w:pPr>
                  <w:r>
                    <w:rPr>
                      <w:rFonts w:hint="eastAsia"/>
                      <w:color w:val="auto"/>
                      <w:highlight w:val="none"/>
                      <w:lang w:val="en-US" w:eastAsia="zh-CN"/>
                    </w:rPr>
                    <w:t>垂直入渗</w:t>
                  </w:r>
                </w:p>
              </w:tc>
              <w:tc>
                <w:tcPr>
                  <w:tcW w:w="1231" w:type="pct"/>
                  <w:noWrap w:val="0"/>
                  <w:vAlign w:val="center"/>
                </w:tcPr>
                <w:p w14:paraId="53F32809">
                  <w:pPr>
                    <w:pStyle w:val="41"/>
                    <w:bidi w:val="0"/>
                    <w:rPr>
                      <w:rFonts w:hint="default"/>
                      <w:color w:val="auto"/>
                      <w:highlight w:val="none"/>
                      <w:lang w:val="en-US" w:eastAsia="zh-CN"/>
                    </w:rPr>
                  </w:pPr>
                  <w:r>
                    <w:rPr>
                      <w:rFonts w:hint="eastAsia"/>
                      <w:color w:val="auto"/>
                      <w:highlight w:val="none"/>
                      <w:lang w:val="en-US" w:eastAsia="zh-CN"/>
                    </w:rPr>
                    <w:t>土壤、地表水、地下水</w:t>
                  </w:r>
                </w:p>
              </w:tc>
            </w:tr>
            <w:tr w14:paraId="19E7D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0" w:type="pct"/>
                  <w:noWrap w:val="0"/>
                  <w:vAlign w:val="center"/>
                </w:tcPr>
                <w:p w14:paraId="41C3C7C4">
                  <w:pPr>
                    <w:pStyle w:val="41"/>
                    <w:bidi w:val="0"/>
                    <w:rPr>
                      <w:rFonts w:hint="eastAsia" w:eastAsia="宋体"/>
                      <w:color w:val="auto"/>
                      <w:highlight w:val="none"/>
                      <w:lang w:eastAsia="zh-CN"/>
                    </w:rPr>
                  </w:pPr>
                  <w:r>
                    <w:rPr>
                      <w:rFonts w:hint="eastAsia"/>
                      <w:color w:val="auto"/>
                      <w:highlight w:val="none"/>
                      <w:lang w:val="en-US" w:eastAsia="zh-CN"/>
                    </w:rPr>
                    <w:t>5</w:t>
                  </w:r>
                </w:p>
              </w:tc>
              <w:tc>
                <w:tcPr>
                  <w:tcW w:w="574" w:type="pct"/>
                  <w:noWrap w:val="0"/>
                  <w:vAlign w:val="center"/>
                </w:tcPr>
                <w:p w14:paraId="72DE3D2D">
                  <w:pPr>
                    <w:pStyle w:val="41"/>
                    <w:bidi w:val="0"/>
                    <w:rPr>
                      <w:rFonts w:hint="eastAsia"/>
                      <w:color w:val="auto"/>
                      <w:highlight w:val="none"/>
                      <w:lang w:val="en-US" w:eastAsia="zh-CN"/>
                    </w:rPr>
                  </w:pPr>
                  <w:r>
                    <w:rPr>
                      <w:rFonts w:hint="eastAsia"/>
                      <w:color w:val="auto"/>
                      <w:highlight w:val="none"/>
                      <w:lang w:val="en-US" w:eastAsia="zh-CN"/>
                    </w:rPr>
                    <w:t>危废暂存点</w:t>
                  </w:r>
                </w:p>
              </w:tc>
              <w:tc>
                <w:tcPr>
                  <w:tcW w:w="1367" w:type="pct"/>
                  <w:noWrap w:val="0"/>
                  <w:vAlign w:val="center"/>
                </w:tcPr>
                <w:p w14:paraId="12B990EA">
                  <w:pPr>
                    <w:pStyle w:val="41"/>
                    <w:bidi w:val="0"/>
                    <w:rPr>
                      <w:rFonts w:hint="default"/>
                      <w:color w:val="auto"/>
                      <w:highlight w:val="none"/>
                      <w:lang w:val="en-US" w:eastAsia="zh-CN"/>
                    </w:rPr>
                  </w:pPr>
                  <w:r>
                    <w:rPr>
                      <w:rFonts w:hint="eastAsia"/>
                      <w:color w:val="auto"/>
                      <w:highlight w:val="none"/>
                      <w:lang w:val="en-US" w:eastAsia="zh-CN"/>
                    </w:rPr>
                    <w:t>实验室废液</w:t>
                  </w:r>
                </w:p>
              </w:tc>
              <w:tc>
                <w:tcPr>
                  <w:tcW w:w="656" w:type="pct"/>
                  <w:noWrap w:val="0"/>
                  <w:vAlign w:val="center"/>
                </w:tcPr>
                <w:p w14:paraId="01CAC336">
                  <w:pPr>
                    <w:pStyle w:val="41"/>
                    <w:bidi w:val="0"/>
                    <w:rPr>
                      <w:rFonts w:hint="eastAsia" w:eastAsia="宋体"/>
                      <w:color w:val="auto"/>
                      <w:highlight w:val="none"/>
                      <w:lang w:val="en-US" w:eastAsia="zh-CN"/>
                    </w:rPr>
                  </w:pPr>
                  <w:r>
                    <w:rPr>
                      <w:rFonts w:hint="eastAsia"/>
                      <w:color w:val="auto"/>
                      <w:highlight w:val="none"/>
                      <w:lang w:val="zh-CN"/>
                    </w:rPr>
                    <w:t>泄漏</w:t>
                  </w:r>
                </w:p>
              </w:tc>
              <w:tc>
                <w:tcPr>
                  <w:tcW w:w="940" w:type="pct"/>
                  <w:noWrap w:val="0"/>
                  <w:vAlign w:val="center"/>
                </w:tcPr>
                <w:p w14:paraId="69D83EAE">
                  <w:pPr>
                    <w:pStyle w:val="41"/>
                    <w:bidi w:val="0"/>
                    <w:rPr>
                      <w:rFonts w:hint="default"/>
                      <w:color w:val="auto"/>
                      <w:highlight w:val="none"/>
                      <w:lang w:val="en-US" w:eastAsia="zh-CN"/>
                    </w:rPr>
                  </w:pPr>
                  <w:r>
                    <w:rPr>
                      <w:rFonts w:hint="eastAsia"/>
                      <w:color w:val="auto"/>
                      <w:highlight w:val="none"/>
                      <w:lang w:val="en-US" w:eastAsia="zh-CN"/>
                    </w:rPr>
                    <w:t>垂直入渗</w:t>
                  </w:r>
                </w:p>
              </w:tc>
              <w:tc>
                <w:tcPr>
                  <w:tcW w:w="1231" w:type="pct"/>
                  <w:noWrap w:val="0"/>
                  <w:vAlign w:val="center"/>
                </w:tcPr>
                <w:p w14:paraId="798C935A">
                  <w:pPr>
                    <w:pStyle w:val="41"/>
                    <w:bidi w:val="0"/>
                    <w:rPr>
                      <w:rFonts w:hint="default"/>
                      <w:color w:val="auto"/>
                      <w:highlight w:val="none"/>
                      <w:lang w:val="en-US" w:eastAsia="zh-CN"/>
                    </w:rPr>
                  </w:pPr>
                  <w:r>
                    <w:rPr>
                      <w:rFonts w:hint="eastAsia"/>
                      <w:color w:val="auto"/>
                      <w:highlight w:val="none"/>
                      <w:lang w:val="en-US" w:eastAsia="zh-CN"/>
                    </w:rPr>
                    <w:t>土壤、地表水、地下水</w:t>
                  </w:r>
                </w:p>
              </w:tc>
            </w:tr>
          </w:tbl>
          <w:p w14:paraId="4B71990F">
            <w:pPr>
              <w:pStyle w:val="41"/>
              <w:bidi w:val="0"/>
              <w:rPr>
                <w:color w:val="auto"/>
                <w:highlight w:val="none"/>
              </w:rPr>
            </w:pPr>
          </w:p>
          <w:p w14:paraId="4EEC353F">
            <w:pPr>
              <w:keepNext w:val="0"/>
              <w:keepLines w:val="0"/>
              <w:pageBreakBefore w:val="0"/>
              <w:kinsoku/>
              <w:wordWrap/>
              <w:overflowPunct/>
              <w:topLinePunct w:val="0"/>
              <w:bidi w:val="0"/>
              <w:adjustRightInd w:val="0"/>
              <w:snapToGrid w:val="0"/>
              <w:spacing w:line="460" w:lineRule="exact"/>
              <w:ind w:left="0" w:leftChars="0" w:right="0" w:firstLine="482" w:firstLineChars="200"/>
              <w:textAlignment w:val="auto"/>
              <w:rPr>
                <w:b/>
                <w:bCs/>
                <w:color w:val="auto"/>
                <w:sz w:val="24"/>
                <w:highlight w:val="none"/>
              </w:rPr>
            </w:pPr>
            <w:r>
              <w:rPr>
                <w:b/>
                <w:bCs/>
                <w:color w:val="auto"/>
                <w:sz w:val="24"/>
                <w:highlight w:val="none"/>
              </w:rPr>
              <w:t>（</w:t>
            </w:r>
            <w:r>
              <w:rPr>
                <w:rFonts w:hint="eastAsia"/>
                <w:b/>
                <w:bCs/>
                <w:color w:val="auto"/>
                <w:sz w:val="24"/>
                <w:highlight w:val="none"/>
              </w:rPr>
              <w:t>3</w:t>
            </w:r>
            <w:r>
              <w:rPr>
                <w:b/>
                <w:bCs/>
                <w:color w:val="auto"/>
                <w:sz w:val="24"/>
                <w:highlight w:val="none"/>
              </w:rPr>
              <w:t>）环境风险防范措施</w:t>
            </w:r>
          </w:p>
          <w:p w14:paraId="2AC91057">
            <w:pPr>
              <w:bidi w:val="0"/>
              <w:ind w:firstLine="482" w:firstLineChars="200"/>
              <w:rPr>
                <w:rFonts w:hint="default"/>
                <w:b/>
                <w:bCs/>
                <w:color w:val="auto"/>
                <w:highlight w:val="none"/>
                <w:lang w:val="zh-CN"/>
              </w:rPr>
            </w:pPr>
            <w:r>
              <w:rPr>
                <w:rFonts w:hint="eastAsia"/>
                <w:b/>
                <w:bCs/>
                <w:color w:val="auto"/>
                <w:highlight w:val="none"/>
                <w:lang w:val="en-US" w:eastAsia="zh-CN"/>
              </w:rPr>
              <w:t>1）</w:t>
            </w:r>
            <w:r>
              <w:rPr>
                <w:rFonts w:hint="default"/>
                <w:b/>
                <w:bCs/>
                <w:color w:val="auto"/>
                <w:highlight w:val="none"/>
                <w:lang w:val="zh-CN"/>
              </w:rPr>
              <w:t>技术、工艺及装备、设备、设施方面</w:t>
            </w:r>
          </w:p>
          <w:p w14:paraId="4EC5C0E8">
            <w:pPr>
              <w:bidi w:val="0"/>
              <w:ind w:firstLine="480" w:firstLineChars="200"/>
              <w:rPr>
                <w:rFonts w:hint="default"/>
                <w:color w:val="auto"/>
                <w:highlight w:val="none"/>
                <w:lang w:val="zh-CN"/>
              </w:rPr>
            </w:pPr>
            <w:r>
              <w:rPr>
                <w:rFonts w:hint="default"/>
                <w:color w:val="auto"/>
                <w:highlight w:val="none"/>
                <w:lang w:val="zh-CN"/>
              </w:rPr>
              <w:t>为降低</w:t>
            </w:r>
            <w:r>
              <w:rPr>
                <w:rFonts w:hint="eastAsia"/>
                <w:color w:val="auto"/>
                <w:highlight w:val="none"/>
                <w:lang w:val="en-US" w:eastAsia="zh-CN"/>
              </w:rPr>
              <w:t>工作</w:t>
            </w:r>
            <w:r>
              <w:rPr>
                <w:rFonts w:hint="default"/>
                <w:color w:val="auto"/>
                <w:highlight w:val="none"/>
                <w:lang w:val="zh-CN"/>
              </w:rPr>
              <w:t>场所空气中的有害物质浓度</w:t>
            </w:r>
            <w:r>
              <w:rPr>
                <w:rFonts w:hint="eastAsia"/>
                <w:color w:val="auto"/>
                <w:highlight w:val="none"/>
                <w:lang w:val="zh-CN"/>
              </w:rPr>
              <w:t>，</w:t>
            </w:r>
            <w:r>
              <w:rPr>
                <w:rFonts w:hint="eastAsia"/>
                <w:color w:val="auto"/>
                <w:highlight w:val="none"/>
                <w:lang w:val="en-US" w:eastAsia="zh-CN"/>
              </w:rPr>
              <w:t>实验室</w:t>
            </w:r>
            <w:r>
              <w:rPr>
                <w:rFonts w:hint="default"/>
                <w:color w:val="auto"/>
                <w:highlight w:val="none"/>
                <w:lang w:val="zh-CN"/>
              </w:rPr>
              <w:t>及</w:t>
            </w:r>
            <w:r>
              <w:rPr>
                <w:rFonts w:hint="eastAsia"/>
                <w:color w:val="auto"/>
                <w:highlight w:val="none"/>
                <w:lang w:val="en-US" w:eastAsia="zh-CN"/>
              </w:rPr>
              <w:t>危化品库</w:t>
            </w:r>
            <w:r>
              <w:rPr>
                <w:rFonts w:hint="default"/>
                <w:color w:val="auto"/>
                <w:highlight w:val="none"/>
                <w:lang w:val="zh-CN"/>
              </w:rPr>
              <w:t>需要配备必要的通、排风装置，以保持通风状况良好，必要时应采取机械式强制通风。确保通风装置的完好、有效。</w:t>
            </w:r>
          </w:p>
          <w:p w14:paraId="1E661C63">
            <w:pPr>
              <w:bidi w:val="0"/>
              <w:ind w:firstLine="480" w:firstLineChars="200"/>
              <w:rPr>
                <w:rFonts w:hint="default"/>
                <w:color w:val="auto"/>
                <w:highlight w:val="none"/>
                <w:lang w:val="zh-CN"/>
              </w:rPr>
            </w:pPr>
            <w:r>
              <w:rPr>
                <w:rFonts w:hint="default"/>
                <w:color w:val="auto"/>
                <w:highlight w:val="none"/>
                <w:lang w:val="zh-CN"/>
              </w:rPr>
              <w:t>各类设备、泵机、管线、阀门、电气控制部位均应按规范设置位号、色标、输送介质、流向、开关等标志标识及安全警示标识。</w:t>
            </w:r>
          </w:p>
          <w:p w14:paraId="2E86042A">
            <w:pPr>
              <w:bidi w:val="0"/>
              <w:ind w:firstLine="482" w:firstLineChars="200"/>
              <w:rPr>
                <w:rFonts w:hint="default"/>
                <w:b/>
                <w:bCs/>
                <w:color w:val="auto"/>
                <w:highlight w:val="none"/>
                <w:lang w:val="zh-CN"/>
              </w:rPr>
            </w:pPr>
            <w:r>
              <w:rPr>
                <w:rFonts w:hint="eastAsia"/>
                <w:b/>
                <w:bCs/>
                <w:color w:val="auto"/>
                <w:highlight w:val="none"/>
                <w:lang w:val="en-US" w:eastAsia="zh-CN"/>
              </w:rPr>
              <w:t>2）</w:t>
            </w:r>
            <w:r>
              <w:rPr>
                <w:rFonts w:hint="default"/>
                <w:b/>
                <w:bCs/>
                <w:color w:val="auto"/>
                <w:highlight w:val="none"/>
                <w:lang w:val="zh-CN"/>
              </w:rPr>
              <w:t>物料泄漏事故防范措施</w:t>
            </w:r>
          </w:p>
          <w:p w14:paraId="05EF710F">
            <w:pPr>
              <w:bidi w:val="0"/>
              <w:ind w:firstLine="480" w:firstLineChars="200"/>
              <w:rPr>
                <w:rFonts w:hint="default"/>
                <w:color w:val="auto"/>
                <w:highlight w:val="none"/>
                <w:lang w:val="zh-CN"/>
              </w:rPr>
            </w:pPr>
            <w:r>
              <w:rPr>
                <w:rFonts w:hint="default"/>
                <w:color w:val="auto"/>
                <w:highlight w:val="none"/>
                <w:lang w:val="zh-CN"/>
              </w:rPr>
              <w:t>泄漏事故的预防是生产和储运过程中最重要的环节，发生泄漏事故可能引起火灾和爆炸等一系列重大事故。经验表明：设备失灵和人为</w:t>
            </w:r>
            <w:sdt>
              <w:sdtPr>
                <w:rPr>
                  <w:color w:val="auto"/>
                  <w:highlight w:val="none"/>
                </w:rPr>
                <w:alias w:val="易错词检查"/>
                <w:tag w:val="auto"/>
                <w:id w:val="2101316"/>
              </w:sdtPr>
              <w:sdtEndPr>
                <w:rPr>
                  <w:color w:val="auto"/>
                  <w:highlight w:val="none"/>
                </w:rPr>
              </w:sdtEndPr>
              <w:sdtContent>
                <w:r>
                  <w:rPr>
                    <w:rFonts w:hint="eastAsia"/>
                    <w:color w:val="auto"/>
                    <w:highlight w:val="none"/>
                    <w:lang w:val="en-US" w:eastAsia="zh-CN"/>
                  </w:rPr>
                  <w:t>的</w:t>
                </w:r>
              </w:sdtContent>
            </w:sdt>
            <w:r>
              <w:rPr>
                <w:rFonts w:hint="default"/>
                <w:color w:val="auto"/>
                <w:highlight w:val="none"/>
                <w:lang w:val="zh-CN"/>
              </w:rPr>
              <w:t>操作失误是引发泄漏的主要原因。因此选用较好的设备、精心设计、认</w:t>
            </w:r>
            <w:sdt>
              <w:sdtPr>
                <w:rPr>
                  <w:color w:val="auto"/>
                  <w:highlight w:val="none"/>
                </w:rPr>
                <w:alias w:val="易错词检查"/>
                <w:tag w:val="auto"/>
                <w:id w:val="3142635"/>
              </w:sdtPr>
              <w:sdtEndPr>
                <w:rPr>
                  <w:color w:val="auto"/>
                  <w:highlight w:val="none"/>
                </w:rPr>
              </w:sdtEndPr>
              <w:sdtContent>
                <w:bookmarkStart w:id="62" w:name="bkReivew3142635"/>
                <w:r>
                  <w:rPr>
                    <w:rFonts w:hint="default"/>
                    <w:color w:val="auto"/>
                    <w:highlight w:val="none"/>
                    <w:lang w:val="zh-CN"/>
                  </w:rPr>
                  <w:t>真地</w:t>
                </w:r>
                <w:bookmarkEnd w:id="62"/>
              </w:sdtContent>
            </w:sdt>
            <w:r>
              <w:rPr>
                <w:rFonts w:hint="default"/>
                <w:color w:val="auto"/>
                <w:highlight w:val="none"/>
                <w:lang w:val="zh-CN"/>
              </w:rPr>
              <w:t>管理和操作人员的责任心是减少泄漏事故的关键。本项目主要采取以下物料泄漏事故的预防：</w:t>
            </w:r>
          </w:p>
          <w:p w14:paraId="5841FD06">
            <w:pPr>
              <w:bidi w:val="0"/>
              <w:ind w:firstLine="480" w:firstLineChars="200"/>
              <w:rPr>
                <w:rFonts w:hint="default"/>
                <w:color w:val="auto"/>
                <w:highlight w:val="none"/>
                <w:lang w:val="zh-CN"/>
              </w:rPr>
            </w:pPr>
            <w:r>
              <w:rPr>
                <w:rFonts w:hint="default"/>
                <w:color w:val="auto"/>
                <w:highlight w:val="none"/>
                <w:lang w:val="zh-CN"/>
              </w:rPr>
              <w:t>经常检查管道，并控制管道支撑的磨损。定期系统试压、定期检漏。</w:t>
            </w:r>
            <w:bookmarkStart w:id="63" w:name="sys69013032"/>
            <w:r>
              <w:rPr>
                <w:rFonts w:hint="eastAsia"/>
                <w:color w:val="auto"/>
                <w:highlight w:val="none"/>
                <w:lang w:val="en-US" w:eastAsia="zh-CN"/>
              </w:rPr>
              <w:t>制定严格的原料管理制度，在原料运输、使用过程中严格遵守规章制度。</w:t>
            </w:r>
            <w:bookmarkEnd w:id="63"/>
          </w:p>
          <w:p w14:paraId="79C35555">
            <w:pPr>
              <w:bidi w:val="0"/>
              <w:ind w:firstLine="480" w:firstLineChars="200"/>
              <w:rPr>
                <w:rFonts w:hint="default"/>
                <w:color w:val="auto"/>
                <w:highlight w:val="none"/>
                <w:lang w:val="zh-CN"/>
              </w:rPr>
            </w:pPr>
            <w:r>
              <w:rPr>
                <w:rFonts w:hint="default"/>
                <w:color w:val="auto"/>
                <w:highlight w:val="none"/>
                <w:lang w:val="zh-CN"/>
              </w:rPr>
              <w:t>泄漏应急处理措施：迅速撤离泄漏污染区人员至安全区，并进行隔离，严格限制出入。切断火源。建议应急处理人员戴</w:t>
            </w:r>
            <w:r>
              <w:rPr>
                <w:rFonts w:hint="eastAsia"/>
                <w:color w:val="auto"/>
                <w:highlight w:val="none"/>
                <w:lang w:val="en-US" w:eastAsia="zh-CN"/>
              </w:rPr>
              <w:t>防毒面具</w:t>
            </w:r>
            <w:r>
              <w:rPr>
                <w:rFonts w:hint="default"/>
                <w:color w:val="auto"/>
                <w:highlight w:val="none"/>
                <w:lang w:val="zh-CN"/>
              </w:rPr>
              <w:t>，穿</w:t>
            </w:r>
            <w:r>
              <w:rPr>
                <w:rFonts w:hint="eastAsia"/>
                <w:color w:val="auto"/>
                <w:highlight w:val="none"/>
                <w:lang w:val="en-US" w:eastAsia="zh-CN"/>
              </w:rPr>
              <w:t>防护</w:t>
            </w:r>
            <w:r>
              <w:rPr>
                <w:rFonts w:hint="default"/>
                <w:color w:val="auto"/>
                <w:highlight w:val="none"/>
                <w:lang w:val="zh-CN"/>
              </w:rPr>
              <w:t>服。尽可能切断泄漏源。防止流入下水道等限制性空间。</w:t>
            </w:r>
          </w:p>
          <w:p w14:paraId="039A2FE2">
            <w:pPr>
              <w:bidi w:val="0"/>
              <w:ind w:firstLine="482" w:firstLineChars="200"/>
              <w:rPr>
                <w:rFonts w:hint="default"/>
                <w:b/>
                <w:bCs/>
                <w:color w:val="auto"/>
                <w:highlight w:val="none"/>
                <w:lang w:val="en-US" w:eastAsia="zh-CN"/>
              </w:rPr>
            </w:pPr>
            <w:r>
              <w:rPr>
                <w:rFonts w:hint="eastAsia"/>
                <w:b/>
                <w:bCs/>
                <w:color w:val="auto"/>
                <w:highlight w:val="none"/>
                <w:lang w:val="en-US" w:eastAsia="zh-CN"/>
              </w:rPr>
              <w:t>3）废气事故排放防范措施</w:t>
            </w:r>
          </w:p>
          <w:p w14:paraId="7CC5CD58">
            <w:pPr>
              <w:bidi w:val="0"/>
              <w:ind w:firstLine="480" w:firstLineChars="200"/>
              <w:rPr>
                <w:rFonts w:hint="default"/>
                <w:color w:val="auto"/>
                <w:highlight w:val="none"/>
              </w:rPr>
            </w:pPr>
            <w:bookmarkStart w:id="64" w:name="sys6904099"/>
            <w:r>
              <w:rPr>
                <w:rFonts w:hint="default"/>
                <w:color w:val="auto"/>
                <w:highlight w:val="none"/>
              </w:rPr>
              <w:t>加强对废气处理系统的维护和检修，使其处于良好的运行状态，并且需加强管理，一旦出现异常现象应停止生产，从根源上切断污染，</w:t>
            </w:r>
            <w:r>
              <w:rPr>
                <w:rFonts w:hint="default"/>
                <w:color w:val="auto"/>
                <w:highlight w:val="none"/>
                <w:lang w:eastAsia="zh-CN"/>
              </w:rPr>
              <w:t>查出</w:t>
            </w:r>
            <w:r>
              <w:rPr>
                <w:rFonts w:hint="default"/>
                <w:color w:val="auto"/>
                <w:highlight w:val="none"/>
              </w:rPr>
              <w:t>异常原因，事故发生后应在最短的时间内排除故障，确保对周围环境的影响降到最低。</w:t>
            </w:r>
            <w:bookmarkEnd w:id="64"/>
          </w:p>
          <w:p w14:paraId="07AED33F">
            <w:pPr>
              <w:bidi w:val="0"/>
              <w:ind w:firstLine="482" w:firstLineChars="200"/>
              <w:rPr>
                <w:rFonts w:hint="default"/>
                <w:b/>
                <w:bCs/>
                <w:color w:val="auto"/>
                <w:highlight w:val="none"/>
              </w:rPr>
            </w:pPr>
            <w:r>
              <w:rPr>
                <w:rFonts w:hint="eastAsia"/>
                <w:b/>
                <w:bCs/>
                <w:color w:val="auto"/>
                <w:highlight w:val="none"/>
                <w:lang w:val="en-US" w:eastAsia="zh-CN"/>
              </w:rPr>
              <w:t>4）</w:t>
            </w:r>
            <w:r>
              <w:rPr>
                <w:rFonts w:hint="default"/>
                <w:b/>
                <w:bCs/>
                <w:color w:val="auto"/>
                <w:highlight w:val="none"/>
                <w:lang w:val="zh-CN"/>
              </w:rPr>
              <w:t>危废贮存、运输过程风险防范</w:t>
            </w:r>
            <w:r>
              <w:rPr>
                <w:rFonts w:hint="default"/>
                <w:b/>
                <w:bCs/>
                <w:color w:val="auto"/>
                <w:highlight w:val="none"/>
              </w:rPr>
              <w:t>措施</w:t>
            </w:r>
          </w:p>
          <w:p w14:paraId="5BCD6803">
            <w:pPr>
              <w:bidi w:val="0"/>
              <w:ind w:firstLine="480" w:firstLineChars="200"/>
              <w:rPr>
                <w:rFonts w:hint="default"/>
                <w:color w:val="auto"/>
                <w:highlight w:val="none"/>
                <w:lang w:val="zh-CN"/>
              </w:rPr>
            </w:pPr>
            <w:r>
              <w:rPr>
                <w:rFonts w:hint="default"/>
                <w:color w:val="auto"/>
                <w:highlight w:val="none"/>
                <w:lang w:val="zh-CN"/>
              </w:rPr>
              <w:t>本次环评要求</w:t>
            </w:r>
            <w:r>
              <w:rPr>
                <w:rFonts w:hint="default"/>
                <w:color w:val="auto"/>
                <w:highlight w:val="none"/>
                <w:lang w:val="en-US" w:eastAsia="zh-CN"/>
              </w:rPr>
              <w:t>危废</w:t>
            </w:r>
            <w:r>
              <w:rPr>
                <w:rFonts w:hint="eastAsia"/>
                <w:color w:val="auto"/>
                <w:highlight w:val="none"/>
                <w:lang w:val="en-US" w:eastAsia="zh-CN"/>
              </w:rPr>
              <w:t>暂存点</w:t>
            </w:r>
            <w:r>
              <w:rPr>
                <w:rFonts w:hint="default"/>
                <w:color w:val="auto"/>
                <w:highlight w:val="none"/>
                <w:lang w:val="zh-CN"/>
              </w:rPr>
              <w:t>须满足</w:t>
            </w:r>
            <w:r>
              <w:rPr>
                <w:rFonts w:hint="default"/>
                <w:color w:val="auto"/>
                <w:highlight w:val="none"/>
                <w:lang w:eastAsia="zh-CN"/>
              </w:rPr>
              <w:t>《</w:t>
            </w:r>
            <w:r>
              <w:rPr>
                <w:rFonts w:hint="default"/>
                <w:color w:val="auto"/>
                <w:highlight w:val="none"/>
                <w:lang w:val="en-US" w:eastAsia="zh-CN"/>
              </w:rPr>
              <w:t>危险废物贮存污染控制标准》（GB18597-2023）</w:t>
            </w:r>
            <w:r>
              <w:rPr>
                <w:rFonts w:hint="default"/>
                <w:color w:val="auto"/>
                <w:highlight w:val="none"/>
                <w:lang w:val="zh-CN"/>
              </w:rPr>
              <w:t>要求。危险废物的运输应由危险废物处置单位安排专人专车运送，同时注意运输工具的密封，采取相应的安全防护和污染防治措施，包括防爆、防火、防中毒、防泄漏、防飞扬、防雨或其他防治污染环境的措施等，防止造成二次污染。</w:t>
            </w:r>
          </w:p>
          <w:p w14:paraId="14DDD245">
            <w:pPr>
              <w:bidi w:val="0"/>
              <w:ind w:firstLine="480" w:firstLineChars="200"/>
              <w:rPr>
                <w:rFonts w:hint="default"/>
                <w:color w:val="auto"/>
                <w:highlight w:val="none"/>
                <w:lang w:val="zh-CN"/>
              </w:rPr>
            </w:pPr>
            <w:r>
              <w:rPr>
                <w:rFonts w:hint="default"/>
                <w:color w:val="auto"/>
                <w:highlight w:val="none"/>
                <w:lang w:val="zh-CN"/>
              </w:rPr>
              <w:t>同时在环境管理中注意以下内容：建设单位应通</w:t>
            </w:r>
            <w:r>
              <w:rPr>
                <w:rFonts w:hint="eastAsia"/>
                <w:color w:val="auto"/>
                <w:highlight w:val="none"/>
                <w:lang w:val="zh-CN"/>
              </w:rPr>
              <w:t>过“</w:t>
            </w:r>
            <w:r>
              <w:rPr>
                <w:rFonts w:hint="default"/>
                <w:color w:val="auto"/>
                <w:highlight w:val="none"/>
                <w:lang w:val="zh-CN"/>
              </w:rPr>
              <w:t>江苏省危险废物全生命周期监控系统</w:t>
            </w:r>
            <w:r>
              <w:rPr>
                <w:rFonts w:hint="eastAsia"/>
                <w:color w:val="auto"/>
                <w:highlight w:val="none"/>
                <w:lang w:val="zh-CN"/>
              </w:rPr>
              <w:t>”</w:t>
            </w:r>
            <w:r>
              <w:rPr>
                <w:rFonts w:hint="default"/>
                <w:color w:val="auto"/>
                <w:highlight w:val="none"/>
                <w:lang w:val="zh-CN"/>
              </w:rPr>
              <w:t>进行危险废物申报登记，将危险废物的实际产生、贮存、利用、处置等情况纳入生产记录，建立危险废物管理台账和企业内部产生和收集、贮存、转移等部门危险废物交接制度；必须明确企业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14:paraId="3BC9B773">
            <w:pPr>
              <w:bidi w:val="0"/>
              <w:ind w:firstLine="482" w:firstLineChars="200"/>
              <w:rPr>
                <w:rFonts w:hint="default"/>
                <w:b/>
                <w:bCs/>
                <w:color w:val="auto"/>
                <w:highlight w:val="none"/>
                <w:lang w:val="zh-CN"/>
              </w:rPr>
            </w:pPr>
            <w:bookmarkStart w:id="65" w:name="sys6908031"/>
            <w:r>
              <w:rPr>
                <w:rFonts w:hint="eastAsia"/>
                <w:b/>
                <w:bCs/>
                <w:color w:val="auto"/>
                <w:highlight w:val="none"/>
                <w:lang w:val="en-US" w:eastAsia="zh-CN"/>
              </w:rPr>
              <w:t>5）</w:t>
            </w:r>
            <w:r>
              <w:rPr>
                <w:rFonts w:hint="default"/>
                <w:b/>
                <w:bCs/>
                <w:color w:val="auto"/>
                <w:highlight w:val="none"/>
              </w:rPr>
              <w:t>事故废水控制措</w:t>
            </w:r>
            <w:r>
              <w:rPr>
                <w:rFonts w:hint="eastAsia"/>
                <w:b/>
                <w:bCs/>
                <w:color w:val="auto"/>
                <w:highlight w:val="none"/>
                <w:lang w:val="en-US" w:eastAsia="zh-CN"/>
              </w:rPr>
              <w:t>施</w:t>
            </w:r>
          </w:p>
          <w:p w14:paraId="1359A3BB">
            <w:pPr>
              <w:bidi w:val="0"/>
              <w:ind w:firstLine="480" w:firstLineChars="200"/>
              <w:rPr>
                <w:rFonts w:hint="default"/>
                <w:color w:val="auto"/>
                <w:highlight w:val="none"/>
                <w:lang w:val="en-US" w:eastAsia="zh-CN"/>
              </w:rPr>
            </w:pPr>
            <w:r>
              <w:rPr>
                <w:rFonts w:hint="eastAsia"/>
                <w:color w:val="auto"/>
                <w:highlight w:val="none"/>
                <w:lang w:val="en-US" w:eastAsia="zh-CN"/>
              </w:rPr>
              <w:t>企业所在厂区内</w:t>
            </w:r>
            <w:r>
              <w:rPr>
                <w:rFonts w:hint="default"/>
                <w:color w:val="auto"/>
                <w:highlight w:val="none"/>
                <w:lang w:val="en-US" w:eastAsia="zh-CN"/>
              </w:rPr>
              <w:t>雨污分流，厂区内共有1个污水排放口，1个雨水排放口。企业</w:t>
            </w:r>
            <w:r>
              <w:rPr>
                <w:rFonts w:hint="eastAsia"/>
                <w:color w:val="auto"/>
                <w:highlight w:val="none"/>
                <w:lang w:val="en-US" w:eastAsia="zh-CN"/>
              </w:rPr>
              <w:t>已</w:t>
            </w:r>
            <w:r>
              <w:rPr>
                <w:rFonts w:hint="default"/>
                <w:color w:val="auto"/>
                <w:highlight w:val="none"/>
                <w:lang w:val="en-US" w:eastAsia="zh-CN"/>
              </w:rPr>
              <w:t>于雨污排口处安装</w:t>
            </w:r>
            <w:r>
              <w:rPr>
                <w:rFonts w:hint="eastAsia"/>
                <w:color w:val="auto"/>
                <w:highlight w:val="none"/>
                <w:lang w:val="en-US" w:eastAsia="zh-CN"/>
              </w:rPr>
              <w:t>截止阀</w:t>
            </w:r>
            <w:r>
              <w:rPr>
                <w:rFonts w:hint="default"/>
                <w:color w:val="auto"/>
                <w:highlight w:val="none"/>
                <w:lang w:val="en-US" w:eastAsia="zh-CN"/>
              </w:rPr>
              <w:t>，</w:t>
            </w:r>
            <w:r>
              <w:rPr>
                <w:rFonts w:hint="eastAsia"/>
                <w:color w:val="auto"/>
                <w:highlight w:val="none"/>
                <w:lang w:val="en-US" w:eastAsia="zh-CN"/>
              </w:rPr>
              <w:t>并设置应急事故水囊。</w:t>
            </w:r>
          </w:p>
          <w:p w14:paraId="52610468">
            <w:pPr>
              <w:bidi w:val="0"/>
              <w:ind w:firstLine="480" w:firstLineChars="200"/>
              <w:rPr>
                <w:color w:val="auto"/>
                <w:highlight w:val="none"/>
              </w:rPr>
            </w:pPr>
            <w:r>
              <w:rPr>
                <w:color w:val="auto"/>
                <w:highlight w:val="none"/>
              </w:rPr>
              <w:t>根据《</w:t>
            </w:r>
            <w:r>
              <w:rPr>
                <w:rFonts w:hint="eastAsia"/>
                <w:color w:val="auto"/>
                <w:highlight w:val="none"/>
              </w:rPr>
              <w:t>化工建设项目环境保护工程设计标准</w:t>
            </w:r>
            <w:r>
              <w:rPr>
                <w:color w:val="auto"/>
                <w:highlight w:val="none"/>
              </w:rPr>
              <w:t>》（GB</w:t>
            </w:r>
            <w:r>
              <w:rPr>
                <w:rFonts w:hint="eastAsia"/>
                <w:color w:val="auto"/>
                <w:highlight w:val="none"/>
                <w:lang w:val="en-US" w:eastAsia="zh-CN"/>
              </w:rPr>
              <w:t>/T</w:t>
            </w:r>
            <w:r>
              <w:rPr>
                <w:color w:val="auto"/>
                <w:highlight w:val="none"/>
              </w:rPr>
              <w:t>50483-20</w:t>
            </w:r>
            <w:r>
              <w:rPr>
                <w:rFonts w:hint="eastAsia"/>
                <w:color w:val="auto"/>
                <w:highlight w:val="none"/>
                <w:lang w:val="en-US" w:eastAsia="zh-CN"/>
              </w:rPr>
              <w:t>1</w:t>
            </w:r>
            <w:r>
              <w:rPr>
                <w:color w:val="auto"/>
                <w:highlight w:val="none"/>
              </w:rPr>
              <w:t>9）</w:t>
            </w:r>
            <w:r>
              <w:rPr>
                <w:rFonts w:hint="eastAsia"/>
                <w:color w:val="auto"/>
                <w:highlight w:val="none"/>
                <w:lang w:eastAsia="zh-CN"/>
              </w:rPr>
              <w:t>、</w:t>
            </w:r>
            <w:r>
              <w:rPr>
                <w:rFonts w:hint="eastAsia"/>
                <w:color w:val="auto"/>
                <w:highlight w:val="none"/>
              </w:rPr>
              <w:t>《石化企业水体环境风险防控技术要求》（Q/SH 0729-2018）</w:t>
            </w:r>
            <w:r>
              <w:rPr>
                <w:color w:val="auto"/>
                <w:highlight w:val="none"/>
              </w:rPr>
              <w:t>，应急事故池</w:t>
            </w:r>
            <w:r>
              <w:rPr>
                <w:rFonts w:hint="eastAsia"/>
                <w:color w:val="auto"/>
                <w:highlight w:val="none"/>
                <w:lang w:val="en-US" w:eastAsia="zh-CN"/>
              </w:rPr>
              <w:t>容积</w:t>
            </w:r>
            <w:r>
              <w:rPr>
                <w:color w:val="auto"/>
                <w:highlight w:val="none"/>
              </w:rPr>
              <w:t>应考虑多种因素确定</w:t>
            </w:r>
            <w:r>
              <w:rPr>
                <w:rFonts w:hint="eastAsia"/>
                <w:color w:val="auto"/>
                <w:highlight w:val="none"/>
                <w:lang w:eastAsia="zh-CN"/>
              </w:rPr>
              <w:t>，</w:t>
            </w:r>
            <w:r>
              <w:rPr>
                <w:color w:val="auto"/>
                <w:highlight w:val="none"/>
              </w:rPr>
              <w:t>应急事故废水最大量的确定采用公式法计算，具体算法如下：</w:t>
            </w:r>
          </w:p>
          <w:p w14:paraId="2706C92C">
            <w:pPr>
              <w:ind w:firstLine="2160" w:firstLineChars="900"/>
              <w:rPr>
                <w:rFonts w:ascii="Times New Roman" w:hAnsi="Times New Roman" w:eastAsia="宋体"/>
                <w:color w:val="auto"/>
                <w:szCs w:val="24"/>
                <w:highlight w:val="none"/>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总</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vertAlign w:val="subscript"/>
              </w:rPr>
              <w:t>max</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4</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5</w:t>
            </w:r>
          </w:p>
          <w:p w14:paraId="5282ACD6">
            <w:pPr>
              <w:ind w:firstLine="422"/>
              <w:rPr>
                <w:rFonts w:ascii="Times New Roman" w:hAnsi="Times New Roman" w:eastAsia="宋体"/>
                <w:color w:val="auto"/>
                <w:highlight w:val="none"/>
              </w:rPr>
            </w:pPr>
            <w:r>
              <w:rPr>
                <w:rFonts w:ascii="Times New Roman" w:hAnsi="Times New Roman" w:eastAsia="宋体"/>
                <w:b/>
                <w:bCs/>
                <w:color w:val="auto"/>
                <w:sz w:val="21"/>
                <w:highlight w:val="none"/>
              </w:rPr>
              <w:t>注：计算应急事故废水量时，装置区或贮罐区事故不作同时发生考虑，取其中的最大值。</w:t>
            </w:r>
          </w:p>
          <w:p w14:paraId="16E5E51B">
            <w:pPr>
              <w:bidi w:val="0"/>
              <w:ind w:firstLine="480" w:firstLineChars="200"/>
              <w:rPr>
                <w:rFonts w:hint="eastAsia"/>
                <w:color w:val="auto"/>
                <w:highlight w:val="none"/>
                <w:lang w:val="en-US" w:eastAsia="zh-CN"/>
              </w:rPr>
            </w:pPr>
            <w:r>
              <w:rPr>
                <w:color w:val="auto"/>
                <w:highlight w:val="none"/>
              </w:rPr>
              <w:t>V</w:t>
            </w:r>
            <w:r>
              <w:rPr>
                <w:color w:val="auto"/>
                <w:highlight w:val="none"/>
                <w:vertAlign w:val="subscript"/>
              </w:rPr>
              <w:t>1</w:t>
            </w:r>
            <w:r>
              <w:rPr>
                <w:color w:val="auto"/>
                <w:highlight w:val="none"/>
              </w:rPr>
              <w:t>——</w:t>
            </w:r>
            <w:r>
              <w:rPr>
                <w:rFonts w:hint="eastAsia"/>
                <w:color w:val="auto"/>
                <w:highlight w:val="none"/>
              </w:rPr>
              <w:t>收集系统范围内发生事故的一个组或一套装置的物料量</w:t>
            </w:r>
            <w:r>
              <w:rPr>
                <w:rFonts w:hint="eastAsia"/>
                <w:color w:val="auto"/>
                <w:highlight w:val="none"/>
                <w:lang w:eastAsia="zh-CN"/>
              </w:rPr>
              <w:t>，</w:t>
            </w:r>
            <w:r>
              <w:rPr>
                <w:color w:val="auto"/>
                <w:highlight w:val="none"/>
              </w:rPr>
              <w:t>本项目</w:t>
            </w:r>
            <w:r>
              <w:rPr>
                <w:rFonts w:hint="eastAsia"/>
                <w:color w:val="auto"/>
                <w:highlight w:val="none"/>
                <w:lang w:val="en-US" w:eastAsia="zh-CN"/>
              </w:rPr>
              <w:t>最大的存储介质为</w:t>
            </w:r>
            <w:r>
              <w:rPr>
                <w:rFonts w:hint="eastAsia" w:ascii="Times New Roman" w:hAnsi="Times New Roman" w:eastAsia="宋体" w:cs="Times New Roman"/>
                <w:color w:val="auto"/>
                <w:kern w:val="0"/>
                <w:sz w:val="24"/>
                <w:highlight w:val="none"/>
                <w:lang w:val="en-US" w:eastAsia="zh-CN"/>
              </w:rPr>
              <w:t>危废</w:t>
            </w:r>
            <w:r>
              <w:rPr>
                <w:rFonts w:hint="eastAsia" w:cs="Times New Roman"/>
                <w:color w:val="auto"/>
                <w:kern w:val="0"/>
                <w:sz w:val="24"/>
                <w:highlight w:val="none"/>
                <w:lang w:val="en-US" w:eastAsia="zh-CN"/>
              </w:rPr>
              <w:t>存储</w:t>
            </w:r>
            <w:r>
              <w:rPr>
                <w:rFonts w:hint="eastAsia" w:ascii="Times New Roman" w:hAnsi="Times New Roman" w:eastAsia="宋体" w:cs="Times New Roman"/>
                <w:color w:val="auto"/>
                <w:kern w:val="0"/>
                <w:sz w:val="24"/>
                <w:highlight w:val="none"/>
                <w:lang w:val="en-US" w:eastAsia="zh-CN"/>
              </w:rPr>
              <w:t>桶，容积为</w:t>
            </w:r>
            <w:r>
              <w:rPr>
                <w:rFonts w:hint="eastAsia" w:cs="Times New Roman"/>
                <w:color w:val="auto"/>
                <w:kern w:val="0"/>
                <w:sz w:val="24"/>
                <w:highlight w:val="none"/>
                <w:lang w:val="en-US" w:eastAsia="zh-CN"/>
              </w:rPr>
              <w:t>0.025</w:t>
            </w:r>
            <w:r>
              <w:rPr>
                <w:rFonts w:hint="eastAsia" w:ascii="Times New Roman" w:hAnsi="Times New Roman" w:eastAsia="宋体" w:cs="Times New Roman"/>
                <w:color w:val="auto"/>
                <w:kern w:val="0"/>
                <w:sz w:val="24"/>
                <w:highlight w:val="none"/>
                <w:lang w:val="en-US" w:eastAsia="zh-CN"/>
              </w:rPr>
              <w:t>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vertAlign w:val="baseline"/>
                <w:lang w:val="en-US" w:eastAsia="zh-CN"/>
              </w:rPr>
              <w:t>；</w:t>
            </w:r>
          </w:p>
          <w:p w14:paraId="048B280B">
            <w:pPr>
              <w:bidi w:val="0"/>
              <w:ind w:firstLine="480" w:firstLineChars="200"/>
              <w:rPr>
                <w:color w:val="auto"/>
                <w:highlight w:val="none"/>
              </w:rPr>
            </w:pPr>
            <w:r>
              <w:rPr>
                <w:color w:val="auto"/>
                <w:highlight w:val="none"/>
              </w:rPr>
              <w:t>V</w:t>
            </w:r>
            <w:r>
              <w:rPr>
                <w:color w:val="auto"/>
                <w:highlight w:val="none"/>
                <w:vertAlign w:val="subscript"/>
              </w:rPr>
              <w:t>2</w:t>
            </w:r>
            <w:r>
              <w:rPr>
                <w:color w:val="auto"/>
                <w:highlight w:val="none"/>
              </w:rPr>
              <w:t>——在装置区或贮罐区一旦发生火灾、爆炸时的消防用水量，包括扑灭火灾所需用水量和保护</w:t>
            </w:r>
            <w:r>
              <w:rPr>
                <w:rFonts w:hint="eastAsia"/>
                <w:color w:val="auto"/>
                <w:highlight w:val="none"/>
                <w:lang w:eastAsia="zh-CN"/>
              </w:rPr>
              <w:t>邻近</w:t>
            </w:r>
            <w:r>
              <w:rPr>
                <w:color w:val="auto"/>
                <w:highlight w:val="none"/>
              </w:rPr>
              <w:t>设备或贮罐（最少三个）的喷淋水量</w:t>
            </w:r>
            <w:r>
              <w:rPr>
                <w:rFonts w:hint="eastAsia"/>
                <w:color w:val="auto"/>
                <w:highlight w:val="none"/>
                <w:lang w:eastAsia="zh-CN"/>
              </w:rPr>
              <w:t>；</w:t>
            </w:r>
            <w:r>
              <w:rPr>
                <w:color w:val="auto"/>
                <w:highlight w:val="none"/>
              </w:rPr>
              <w:t>发生事故时的消防水量，m</w:t>
            </w:r>
            <w:r>
              <w:rPr>
                <w:color w:val="auto"/>
                <w:highlight w:val="none"/>
                <w:vertAlign w:val="superscript"/>
              </w:rPr>
              <w:t>3</w:t>
            </w:r>
            <w:r>
              <w:rPr>
                <w:color w:val="auto"/>
                <w:highlight w:val="none"/>
              </w:rPr>
              <w:t>；</w:t>
            </w:r>
          </w:p>
          <w:p w14:paraId="78EACC39">
            <w:pPr>
              <w:pStyle w:val="163"/>
              <w:rPr>
                <w:rFonts w:ascii="Times New Roman" w:hAnsi="Times New Roman" w:eastAsia="宋体"/>
                <w:color w:val="auto"/>
                <w:highlight w:val="none"/>
              </w:rPr>
            </w:pPr>
            <w:r>
              <w:rPr>
                <w:rFonts w:ascii="Times New Roman" w:hAnsi="Times New Roman" w:eastAsia="宋体"/>
                <w:color w:val="auto"/>
                <w:highlight w:val="none"/>
              </w:rPr>
              <w:object>
                <v:shape id="_x0000_i1028" o:spt="75" type="#_x0000_t75" style="height:21.5pt;width:71pt;" o:ole="t" filled="f" o:preferrelative="t" stroked="f" coordsize="21600,21600">
                  <v:path/>
                  <v:fill on="f" focussize="0,0"/>
                  <v:stroke on="f" joinstyle="miter"/>
                  <v:imagedata r:id="rId44" o:title=""/>
                  <o:lock v:ext="edit" aspectratio="t"/>
                  <w10:wrap type="none"/>
                  <w10:anchorlock/>
                </v:shape>
                <o:OLEObject Type="Embed" ProgID="Equation.DSMT4" ShapeID="_x0000_i1028" DrawAspect="Content" ObjectID="_1468075728" r:id="rId43">
                  <o:LockedField>false</o:LockedField>
                </o:OLEObject>
              </w:object>
            </w:r>
          </w:p>
          <w:p w14:paraId="31233DA7">
            <w:pPr>
              <w:ind w:firstLine="480" w:firstLineChars="200"/>
              <w:rPr>
                <w:rFonts w:hint="eastAsia" w:eastAsia="宋体"/>
                <w:color w:val="auto"/>
                <w:highlight w:val="none"/>
                <w:lang w:eastAsia="zh-CN"/>
              </w:rPr>
            </w:pPr>
            <w:r>
              <w:rPr>
                <w:color w:val="auto"/>
                <w:highlight w:val="none"/>
              </w:rPr>
              <w:t>Q</w:t>
            </w:r>
            <w:r>
              <w:rPr>
                <w:color w:val="auto"/>
                <w:highlight w:val="none"/>
                <w:vertAlign w:val="subscript"/>
              </w:rPr>
              <w:t>消</w:t>
            </w:r>
            <w:r>
              <w:rPr>
                <w:color w:val="auto"/>
                <w:highlight w:val="none"/>
              </w:rPr>
              <w:t>——发生事故的储罐或装置同时使用的消防设施给水流量，m</w:t>
            </w:r>
            <w:r>
              <w:rPr>
                <w:color w:val="auto"/>
                <w:highlight w:val="none"/>
                <w:vertAlign w:val="superscript"/>
              </w:rPr>
              <w:t>3</w:t>
            </w:r>
            <w:r>
              <w:rPr>
                <w:color w:val="auto"/>
                <w:highlight w:val="none"/>
              </w:rPr>
              <w:t>/h</w:t>
            </w:r>
            <w:r>
              <w:rPr>
                <w:rFonts w:hint="eastAsia"/>
                <w:color w:val="auto"/>
                <w:highlight w:val="none"/>
                <w:lang w:eastAsia="zh-CN"/>
              </w:rPr>
              <w:t>，</w:t>
            </w:r>
            <w:r>
              <w:rPr>
                <w:rFonts w:hint="eastAsia"/>
                <w:color w:val="auto"/>
                <w:highlight w:val="none"/>
                <w:lang w:val="en-US" w:eastAsia="zh-CN"/>
              </w:rPr>
              <w:t>根据《消防给水及消火栓系统技术规范》（GB 50974-2014），一支</w:t>
            </w:r>
            <w:r>
              <w:rPr>
                <w:rFonts w:hint="eastAsia"/>
                <w:color w:val="auto"/>
                <w:highlight w:val="none"/>
              </w:rPr>
              <w:t>消火栓设计流量</w:t>
            </w:r>
            <w:r>
              <w:rPr>
                <w:rFonts w:hint="eastAsia"/>
                <w:color w:val="auto"/>
                <w:highlight w:val="none"/>
                <w:lang w:val="en-US" w:eastAsia="zh-CN"/>
              </w:rPr>
              <w:t>为10</w:t>
            </w:r>
            <w:r>
              <w:rPr>
                <w:rFonts w:hint="default"/>
                <w:color w:val="auto"/>
                <w:highlight w:val="none"/>
              </w:rPr>
              <w:t>L/s</w:t>
            </w:r>
            <w:r>
              <w:rPr>
                <w:color w:val="auto"/>
                <w:highlight w:val="none"/>
              </w:rPr>
              <w:t>，</w:t>
            </w:r>
            <w:r>
              <w:rPr>
                <w:rFonts w:hint="eastAsia"/>
                <w:color w:val="auto"/>
                <w:highlight w:val="none"/>
                <w:lang w:val="en-US" w:eastAsia="zh-CN"/>
              </w:rPr>
              <w:t>同时使用消防水枪数量为2支，即144</w:t>
            </w:r>
            <w:r>
              <w:rPr>
                <w:rFonts w:hint="default"/>
                <w:color w:val="auto"/>
                <w:highlight w:val="none"/>
              </w:rPr>
              <w:t>m</w:t>
            </w:r>
            <w:r>
              <w:rPr>
                <w:rFonts w:hint="default"/>
                <w:color w:val="auto"/>
                <w:highlight w:val="none"/>
                <w:vertAlign w:val="superscript"/>
              </w:rPr>
              <w:t>3</w:t>
            </w:r>
            <w:r>
              <w:rPr>
                <w:rFonts w:hint="default"/>
                <w:color w:val="auto"/>
                <w:highlight w:val="none"/>
              </w:rPr>
              <w:t>/h</w:t>
            </w:r>
            <w:r>
              <w:rPr>
                <w:rFonts w:hint="eastAsia"/>
                <w:color w:val="auto"/>
                <w:highlight w:val="none"/>
                <w:lang w:eastAsia="zh-CN"/>
              </w:rPr>
              <w:t>；</w:t>
            </w:r>
          </w:p>
          <w:p w14:paraId="5963B07B">
            <w:pPr>
              <w:ind w:firstLine="480" w:firstLineChars="200"/>
              <w:rPr>
                <w:color w:val="auto"/>
                <w:highlight w:val="none"/>
              </w:rPr>
            </w:pPr>
            <w:r>
              <w:rPr>
                <w:color w:val="auto"/>
                <w:highlight w:val="none"/>
              </w:rPr>
              <w:t>t</w:t>
            </w:r>
            <w:r>
              <w:rPr>
                <w:color w:val="auto"/>
                <w:highlight w:val="none"/>
                <w:vertAlign w:val="subscript"/>
              </w:rPr>
              <w:t>消</w:t>
            </w:r>
            <w:r>
              <w:rPr>
                <w:color w:val="auto"/>
                <w:highlight w:val="none"/>
              </w:rPr>
              <w:t>——消防设施对应的设计消防历时，h（本项目</w:t>
            </w:r>
            <w:r>
              <w:rPr>
                <w:rFonts w:hint="eastAsia"/>
                <w:color w:val="auto"/>
                <w:highlight w:val="none"/>
                <w:lang w:val="en-US" w:eastAsia="zh-CN"/>
              </w:rPr>
              <w:t>灭火</w:t>
            </w:r>
            <w:r>
              <w:rPr>
                <w:color w:val="auto"/>
                <w:highlight w:val="none"/>
              </w:rPr>
              <w:t>时间假定为</w:t>
            </w:r>
            <w:r>
              <w:rPr>
                <w:rFonts w:hint="eastAsia"/>
                <w:color w:val="auto"/>
                <w:highlight w:val="none"/>
                <w:lang w:val="en-US" w:eastAsia="zh-CN"/>
              </w:rPr>
              <w:t>2</w:t>
            </w:r>
            <w:r>
              <w:rPr>
                <w:color w:val="auto"/>
                <w:highlight w:val="none"/>
              </w:rPr>
              <w:t>h）</w:t>
            </w:r>
            <w:r>
              <w:rPr>
                <w:rFonts w:hint="eastAsia"/>
                <w:color w:val="auto"/>
                <w:highlight w:val="none"/>
              </w:rPr>
              <w:t>；</w:t>
            </w:r>
          </w:p>
          <w:p w14:paraId="5BC93EC7">
            <w:pPr>
              <w:ind w:firstLine="480" w:firstLineChars="200"/>
              <w:rPr>
                <w:rFonts w:hint="default" w:eastAsia="宋体"/>
                <w:color w:val="auto"/>
                <w:highlight w:val="none"/>
                <w:lang w:val="en-US" w:eastAsia="zh-CN"/>
              </w:rPr>
            </w:pPr>
            <w:r>
              <w:rPr>
                <w:color w:val="auto"/>
                <w:highlight w:val="none"/>
              </w:rPr>
              <w:t>V</w:t>
            </w:r>
            <w:r>
              <w:rPr>
                <w:color w:val="auto"/>
                <w:highlight w:val="none"/>
                <w:vertAlign w:val="subscript"/>
              </w:rPr>
              <w:t>3</w:t>
            </w:r>
            <w:r>
              <w:rPr>
                <w:color w:val="auto"/>
                <w:highlight w:val="none"/>
              </w:rPr>
              <w:t>——</w:t>
            </w:r>
            <w:r>
              <w:rPr>
                <w:rFonts w:hint="default" w:ascii="Times New Roman" w:hAnsi="Times New Roman" w:eastAsia="宋体" w:cs="Times New Roman"/>
                <w:color w:val="auto"/>
                <w:sz w:val="24"/>
                <w:szCs w:val="24"/>
                <w:highlight w:val="none"/>
              </w:rPr>
              <w:t>发生事故时可以储存、转运到其他设施的事故排水量</w:t>
            </w:r>
            <w:r>
              <w:rPr>
                <w:rFonts w:hint="eastAsia" w:ascii="Times New Roman" w:hAnsi="Times New Roman" w:cs="Times New Roman"/>
                <w:color w:val="auto"/>
                <w:sz w:val="24"/>
                <w:szCs w:val="24"/>
                <w:highlight w:val="none"/>
                <w:lang w:eastAsia="zh-CN"/>
              </w:rPr>
              <w:t>，</w:t>
            </w:r>
            <w:r>
              <w:rPr>
                <w:rFonts w:hint="eastAsia" w:cs="Times New Roman"/>
                <w:color w:val="auto"/>
                <w:highlight w:val="none"/>
                <w:lang w:val="en-US" w:eastAsia="zh-CN"/>
              </w:rPr>
              <w:t>此处不考虑，则</w:t>
            </w:r>
            <w:r>
              <w:rPr>
                <w:rFonts w:hint="default" w:ascii="Times New Roman" w:hAnsi="Times New Roman" w:cs="Times New Roman"/>
                <w:color w:val="auto"/>
                <w:highlight w:val="none"/>
              </w:rPr>
              <w:t>V</w:t>
            </w:r>
            <w:r>
              <w:rPr>
                <w:rFonts w:hint="eastAsia"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rPr>
              <w:t>=0</w:t>
            </w:r>
            <w:r>
              <w:rPr>
                <w:rFonts w:hint="eastAsia" w:cs="Times New Roman"/>
                <w:color w:val="auto"/>
                <w:highlight w:val="none"/>
                <w:lang w:val="en-US" w:eastAsia="zh-CN"/>
              </w:rPr>
              <w:t>m</w:t>
            </w:r>
            <w:r>
              <w:rPr>
                <w:rFonts w:hint="eastAsia" w:cs="Times New Roman"/>
                <w:color w:val="auto"/>
                <w:highlight w:val="none"/>
                <w:vertAlign w:val="superscript"/>
                <w:lang w:val="en-US" w:eastAsia="zh-CN"/>
              </w:rPr>
              <w:t>3</w:t>
            </w:r>
            <w:r>
              <w:rPr>
                <w:rFonts w:hint="eastAsia" w:cs="Times New Roman"/>
                <w:color w:val="auto"/>
                <w:highlight w:val="none"/>
                <w:vertAlign w:val="baseline"/>
                <w:lang w:val="en-US" w:eastAsia="zh-CN"/>
              </w:rPr>
              <w:t>；</w:t>
            </w:r>
          </w:p>
          <w:p w14:paraId="2ECB1A9D">
            <w:pPr>
              <w:ind w:firstLine="480" w:firstLineChars="200"/>
              <w:rPr>
                <w:color w:val="auto"/>
                <w:highlight w:val="none"/>
              </w:rPr>
            </w:pPr>
            <w:r>
              <w:rPr>
                <w:color w:val="auto"/>
                <w:highlight w:val="none"/>
              </w:rPr>
              <w:t>V</w:t>
            </w:r>
            <w:r>
              <w:rPr>
                <w:color w:val="auto"/>
                <w:highlight w:val="none"/>
                <w:vertAlign w:val="subscript"/>
              </w:rPr>
              <w:t>4</w:t>
            </w:r>
            <w:r>
              <w:rPr>
                <w:color w:val="auto"/>
                <w:highlight w:val="none"/>
              </w:rPr>
              <w:t>——</w:t>
            </w:r>
            <w:r>
              <w:rPr>
                <w:rFonts w:hint="default" w:ascii="Times New Roman" w:hAnsi="Times New Roman" w:eastAsia="宋体" w:cs="Times New Roman"/>
                <w:color w:val="auto"/>
                <w:kern w:val="2"/>
                <w:sz w:val="24"/>
                <w:szCs w:val="24"/>
                <w:highlight w:val="none"/>
                <w:lang w:val="en-US" w:eastAsia="zh-CN"/>
              </w:rPr>
              <w:t>发生事故时必须进入事故排水系统的生产废水量</w:t>
            </w:r>
            <w:r>
              <w:rPr>
                <w:rFonts w:hint="eastAsia"/>
                <w:color w:val="auto"/>
                <w:highlight w:val="none"/>
                <w:lang w:eastAsia="zh-CN"/>
              </w:rPr>
              <w:t>，</w:t>
            </w:r>
            <w:r>
              <w:rPr>
                <w:rFonts w:hint="eastAsia" w:cs="Times New Roman"/>
                <w:color w:val="auto"/>
                <w:highlight w:val="none"/>
                <w:lang w:val="en-US" w:eastAsia="zh-CN"/>
              </w:rPr>
              <w:t>此处不考虑，则</w:t>
            </w:r>
            <w:r>
              <w:rPr>
                <w:rFonts w:hint="default" w:ascii="Times New Roman" w:hAnsi="Times New Roman" w:cs="Times New Roman"/>
                <w:color w:val="auto"/>
                <w:highlight w:val="none"/>
              </w:rPr>
              <w:t>V</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=0</w:t>
            </w:r>
            <w:r>
              <w:rPr>
                <w:rFonts w:hint="eastAsia" w:cs="Times New Roman"/>
                <w:color w:val="auto"/>
                <w:highlight w:val="none"/>
                <w:lang w:val="en-US" w:eastAsia="zh-CN"/>
              </w:rPr>
              <w:t>m</w:t>
            </w:r>
            <w:r>
              <w:rPr>
                <w:rFonts w:hint="eastAsia" w:cs="Times New Roman"/>
                <w:color w:val="auto"/>
                <w:highlight w:val="none"/>
                <w:vertAlign w:val="superscript"/>
                <w:lang w:val="en-US" w:eastAsia="zh-CN"/>
              </w:rPr>
              <w:t>3</w:t>
            </w:r>
            <w:r>
              <w:rPr>
                <w:rFonts w:hint="eastAsia"/>
                <w:color w:val="auto"/>
                <w:highlight w:val="none"/>
              </w:rPr>
              <w:t>；</w:t>
            </w:r>
          </w:p>
          <w:p w14:paraId="0EF88F95">
            <w:pPr>
              <w:ind w:firstLine="480" w:firstLineChars="200"/>
              <w:rPr>
                <w:color w:val="auto"/>
                <w:highlight w:val="none"/>
              </w:rPr>
            </w:pPr>
            <w:r>
              <w:rPr>
                <w:color w:val="auto"/>
                <w:highlight w:val="none"/>
              </w:rPr>
              <w:t>V</w:t>
            </w:r>
            <w:r>
              <w:rPr>
                <w:color w:val="auto"/>
                <w:highlight w:val="none"/>
                <w:vertAlign w:val="subscript"/>
              </w:rPr>
              <w:t>5</w:t>
            </w:r>
            <w:r>
              <w:rPr>
                <w:color w:val="auto"/>
                <w:highlight w:val="none"/>
              </w:rPr>
              <w:t>——</w:t>
            </w:r>
            <w:r>
              <w:rPr>
                <w:rFonts w:hint="default" w:ascii="Times New Roman" w:hAnsi="Times New Roman" w:eastAsia="宋体" w:cs="Times New Roman"/>
                <w:color w:val="auto"/>
                <w:kern w:val="2"/>
                <w:sz w:val="24"/>
                <w:szCs w:val="24"/>
                <w:highlight w:val="none"/>
              </w:rPr>
              <w:t>发生事故时可能进入该收集系统的降雨量，m</w:t>
            </w:r>
            <w:r>
              <w:rPr>
                <w:rFonts w:hint="default" w:ascii="Times New Roman" w:hAnsi="Times New Roman" w:eastAsia="宋体" w:cs="Times New Roman"/>
                <w:color w:val="auto"/>
                <w:kern w:val="2"/>
                <w:sz w:val="24"/>
                <w:szCs w:val="24"/>
                <w:highlight w:val="none"/>
                <w:vertAlign w:val="superscript"/>
              </w:rPr>
              <w:t>3</w:t>
            </w:r>
            <w:r>
              <w:rPr>
                <w:rFonts w:hint="default" w:ascii="Times New Roman" w:hAnsi="Times New Roman" w:eastAsia="宋体" w:cs="Times New Roman"/>
                <w:color w:val="auto"/>
                <w:kern w:val="2"/>
                <w:sz w:val="24"/>
                <w:szCs w:val="24"/>
                <w:highlight w:val="none"/>
              </w:rPr>
              <w:t>。</w:t>
            </w:r>
          </w:p>
          <w:p w14:paraId="35FE056A">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center"/>
              <w:textAlignment w:val="auto"/>
              <w:outlineLvl w:val="9"/>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sz w:val="24"/>
                <w:szCs w:val="24"/>
                <w:highlight w:val="none"/>
              </w:rPr>
              <w:t>V</w:t>
            </w:r>
            <w:r>
              <w:rPr>
                <w:rFonts w:hint="eastAsia"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kern w:val="2"/>
                <w:sz w:val="24"/>
                <w:szCs w:val="24"/>
                <w:highlight w:val="none"/>
              </w:rPr>
              <w:t>=10qF</w:t>
            </w:r>
          </w:p>
          <w:p w14:paraId="55B61A45">
            <w:pPr>
              <w:keepNext w:val="0"/>
              <w:keepLines w:val="0"/>
              <w:pageBreakBefore w:val="0"/>
              <w:widowControl w:val="0"/>
              <w:kinsoku/>
              <w:wordWrap/>
              <w:overflowPunct/>
              <w:topLinePunct w:val="0"/>
              <w:autoSpaceDE/>
              <w:autoSpaceDN/>
              <w:bidi w:val="0"/>
              <w:adjustRightInd w:val="0"/>
              <w:snapToGrid w:val="0"/>
              <w:spacing w:line="460" w:lineRule="exact"/>
              <w:ind w:left="0" w:right="0" w:firstLine="480" w:firstLineChars="200"/>
              <w:textAlignment w:val="auto"/>
              <w:outlineLvl w:val="9"/>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式中：q—</w:t>
            </w:r>
            <w:r>
              <w:rPr>
                <w:rFonts w:hint="default" w:ascii="Times New Roman" w:hAnsi="Times New Roman" w:eastAsia="宋体" w:cs="Times New Roman"/>
                <w:color w:val="auto"/>
                <w:kern w:val="2"/>
                <w:sz w:val="24"/>
                <w:szCs w:val="24"/>
                <w:highlight w:val="none"/>
              </w:rPr>
              <w:t>降雨强度</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mm</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按平均日降雨量</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q=q</w:t>
            </w:r>
            <w:r>
              <w:rPr>
                <w:rFonts w:hint="default" w:ascii="Times New Roman" w:hAnsi="Times New Roman" w:eastAsia="宋体" w:cs="Times New Roman"/>
                <w:color w:val="auto"/>
                <w:kern w:val="2"/>
                <w:sz w:val="24"/>
                <w:szCs w:val="24"/>
                <w:highlight w:val="none"/>
                <w:vertAlign w:val="subscript"/>
                <w:lang w:val="en-US" w:eastAsia="zh-CN"/>
              </w:rPr>
              <w:t>a</w:t>
            </w:r>
            <w:r>
              <w:rPr>
                <w:rFonts w:hint="default" w:ascii="Times New Roman" w:hAnsi="Times New Roman" w:eastAsia="宋体" w:cs="Times New Roman"/>
                <w:color w:val="auto"/>
                <w:kern w:val="2"/>
                <w:sz w:val="24"/>
                <w:szCs w:val="24"/>
                <w:highlight w:val="none"/>
              </w:rPr>
              <w:t>/n</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q</w:t>
            </w:r>
            <w:r>
              <w:rPr>
                <w:rFonts w:hint="default" w:ascii="Times New Roman" w:hAnsi="Times New Roman" w:eastAsia="宋体" w:cs="Times New Roman"/>
                <w:color w:val="auto"/>
                <w:kern w:val="2"/>
                <w:sz w:val="24"/>
                <w:szCs w:val="24"/>
                <w:highlight w:val="none"/>
                <w:vertAlign w:val="subscript"/>
                <w:lang w:val="en-US" w:eastAsia="zh-CN"/>
              </w:rPr>
              <w:t>a</w:t>
            </w:r>
            <w:r>
              <w:rPr>
                <w:rFonts w:hint="default" w:ascii="Times New Roman" w:hAnsi="Times New Roman" w:eastAsia="宋体" w:cs="Times New Roman"/>
                <w:color w:val="auto"/>
                <w:kern w:val="2"/>
                <w:sz w:val="24"/>
                <w:szCs w:val="24"/>
                <w:highlight w:val="none"/>
                <w:lang w:val="en-US" w:eastAsia="zh-CN"/>
              </w:rPr>
              <w:t>为当地</w:t>
            </w:r>
            <w:r>
              <w:rPr>
                <w:rFonts w:hint="default" w:ascii="Times New Roman" w:hAnsi="Times New Roman" w:eastAsia="宋体" w:cs="Times New Roman"/>
                <w:color w:val="auto"/>
                <w:kern w:val="2"/>
                <w:sz w:val="24"/>
                <w:szCs w:val="24"/>
                <w:highlight w:val="none"/>
              </w:rPr>
              <w:t>年平均降雨量</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mm</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rPr>
              <w:t>江宁区</w:t>
            </w:r>
            <w:r>
              <w:rPr>
                <w:rFonts w:hint="eastAsia" w:cs="Times New Roman"/>
                <w:color w:val="auto"/>
                <w:kern w:val="2"/>
                <w:sz w:val="24"/>
                <w:szCs w:val="24"/>
                <w:highlight w:val="none"/>
                <w:lang w:val="en-US" w:eastAsia="zh-CN"/>
              </w:rPr>
              <w:t>平均年降水量</w:t>
            </w:r>
            <w:r>
              <w:rPr>
                <w:rFonts w:hint="default" w:ascii="Times New Roman" w:hAnsi="Times New Roman" w:eastAsia="宋体" w:cs="Times New Roman"/>
                <w:color w:val="auto"/>
                <w:kern w:val="2"/>
                <w:sz w:val="24"/>
                <w:szCs w:val="24"/>
                <w:highlight w:val="none"/>
                <w:lang w:val="en-US" w:eastAsia="zh-CN"/>
              </w:rPr>
              <w:t>约为1867.5mm</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n</w:t>
            </w:r>
            <w:r>
              <w:rPr>
                <w:rFonts w:hint="default" w:ascii="Times New Roman" w:hAnsi="Times New Roman" w:eastAsia="宋体" w:cs="Times New Roman"/>
                <w:color w:val="auto"/>
                <w:kern w:val="2"/>
                <w:sz w:val="24"/>
                <w:szCs w:val="24"/>
                <w:highlight w:val="none"/>
                <w:lang w:val="en-US" w:eastAsia="zh-CN"/>
              </w:rPr>
              <w:t>为</w:t>
            </w:r>
            <w:r>
              <w:rPr>
                <w:rFonts w:hint="default" w:ascii="Times New Roman" w:hAnsi="Times New Roman" w:eastAsia="宋体" w:cs="Times New Roman"/>
                <w:color w:val="auto"/>
                <w:kern w:val="2"/>
                <w:sz w:val="24"/>
                <w:szCs w:val="24"/>
                <w:highlight w:val="none"/>
              </w:rPr>
              <w:t>年平均降雨日数</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rPr>
              <w:t>江宁区年平均降雨日数为140d</w:t>
            </w:r>
            <w:r>
              <w:rPr>
                <w:rFonts w:hint="eastAsia" w:ascii="Times New Roman" w:hAnsi="Times New Roman" w:cs="Times New Roman"/>
                <w:color w:val="auto"/>
                <w:kern w:val="2"/>
                <w:sz w:val="24"/>
                <w:szCs w:val="24"/>
                <w:highlight w:val="none"/>
                <w:lang w:val="en-US" w:eastAsia="zh-CN"/>
              </w:rPr>
              <w:t>，则q=13.34mm</w:t>
            </w:r>
            <w:r>
              <w:rPr>
                <w:rFonts w:hint="default" w:ascii="Times New Roman" w:hAnsi="Times New Roman" w:eastAsia="宋体" w:cs="Times New Roman"/>
                <w:color w:val="auto"/>
                <w:kern w:val="2"/>
                <w:sz w:val="24"/>
                <w:szCs w:val="24"/>
                <w:highlight w:val="none"/>
                <w:lang w:val="en-US" w:eastAsia="zh-CN"/>
              </w:rPr>
              <w:t>。</w:t>
            </w:r>
          </w:p>
          <w:p w14:paraId="700043E4">
            <w:pPr>
              <w:keepNext w:val="0"/>
              <w:keepLines w:val="0"/>
              <w:pageBreakBefore w:val="0"/>
              <w:widowControl w:val="0"/>
              <w:kinsoku/>
              <w:wordWrap/>
              <w:overflowPunct/>
              <w:topLinePunct w:val="0"/>
              <w:autoSpaceDE/>
              <w:autoSpaceDN/>
              <w:bidi w:val="0"/>
              <w:adjustRightInd w:val="0"/>
              <w:snapToGrid w:val="0"/>
              <w:spacing w:line="460" w:lineRule="exact"/>
              <w:ind w:left="0" w:right="0" w:firstLine="480" w:firstLineChars="200"/>
              <w:textAlignment w:val="auto"/>
              <w:outlineLvl w:val="9"/>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F</w:t>
            </w:r>
            <w:r>
              <w:rPr>
                <w:rFonts w:hint="default"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rPr>
              <w:t>必须进入事故废水收集系统的雨水汇水面积</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ha</w:t>
            </w:r>
            <w:r>
              <w:rPr>
                <w:rFonts w:hint="default"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lang w:val="en-US" w:eastAsia="zh-CN"/>
              </w:rPr>
              <w:t>此处考虑汇水面积为3000，即</w:t>
            </w:r>
            <w:r>
              <w:rPr>
                <w:rFonts w:hint="eastAsia" w:cs="Times New Roman"/>
                <w:color w:val="auto"/>
                <w:kern w:val="2"/>
                <w:sz w:val="24"/>
                <w:szCs w:val="24"/>
                <w:highlight w:val="none"/>
                <w:lang w:val="en-US" w:eastAsia="zh-CN"/>
              </w:rPr>
              <w:t>0.3</w:t>
            </w:r>
            <w:r>
              <w:rPr>
                <w:rFonts w:hint="default" w:ascii="Times New Roman" w:hAnsi="Times New Roman" w:eastAsia="宋体" w:cs="Times New Roman"/>
                <w:color w:val="auto"/>
                <w:kern w:val="2"/>
                <w:sz w:val="24"/>
                <w:szCs w:val="24"/>
                <w:highlight w:val="none"/>
                <w:lang w:val="en-US" w:eastAsia="zh-CN"/>
              </w:rPr>
              <w:t>ha</w:t>
            </w:r>
            <w:r>
              <w:rPr>
                <w:rFonts w:hint="default" w:ascii="Times New Roman" w:hAnsi="Times New Roman" w:eastAsia="宋体" w:cs="Times New Roman"/>
                <w:color w:val="auto"/>
                <w:kern w:val="2"/>
                <w:sz w:val="24"/>
                <w:szCs w:val="24"/>
                <w:highlight w:val="none"/>
              </w:rPr>
              <w:t>。</w:t>
            </w:r>
          </w:p>
          <w:p w14:paraId="3B89A29B">
            <w:pPr>
              <w:keepNext w:val="0"/>
              <w:keepLines w:val="0"/>
              <w:pageBreakBefore w:val="0"/>
              <w:widowControl w:val="0"/>
              <w:kinsoku/>
              <w:wordWrap/>
              <w:overflowPunct/>
              <w:topLinePunct w:val="0"/>
              <w:autoSpaceDE/>
              <w:autoSpaceDN/>
              <w:bidi w:val="0"/>
              <w:spacing w:line="460" w:lineRule="exact"/>
              <w:ind w:firstLine="480" w:firstLineChars="200"/>
              <w:textAlignment w:val="auto"/>
              <w:rPr>
                <w:color w:val="auto"/>
                <w:highlight w:val="none"/>
              </w:rPr>
            </w:pP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V</w:t>
            </w:r>
            <w:r>
              <w:rPr>
                <w:rFonts w:hint="eastAsia"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vertAlign w:val="baseline"/>
                <w:lang w:val="en-US" w:eastAsia="zh-CN"/>
              </w:rPr>
              <w:t>=10×</w:t>
            </w:r>
            <w:r>
              <w:rPr>
                <w:rFonts w:hint="eastAsia" w:ascii="Times New Roman" w:hAnsi="Times New Roman" w:cs="Times New Roman"/>
                <w:color w:val="auto"/>
                <w:sz w:val="24"/>
                <w:szCs w:val="24"/>
                <w:highlight w:val="none"/>
                <w:vertAlign w:val="baseline"/>
                <w:lang w:val="en-US" w:eastAsia="zh-CN"/>
              </w:rPr>
              <w:t>13.34</w:t>
            </w:r>
            <w:r>
              <w:rPr>
                <w:rFonts w:hint="default" w:ascii="Times New Roman" w:hAnsi="Times New Roman" w:eastAsia="宋体" w:cs="Times New Roman"/>
                <w:color w:val="auto"/>
                <w:sz w:val="24"/>
                <w:szCs w:val="24"/>
                <w:highlight w:val="none"/>
                <w:vertAlign w:val="baseline"/>
                <w:lang w:val="en-US" w:eastAsia="zh-CN"/>
              </w:rPr>
              <w:t>×</w:t>
            </w:r>
            <w:r>
              <w:rPr>
                <w:rFonts w:hint="eastAsia" w:cs="Times New Roman"/>
                <w:color w:val="auto"/>
                <w:sz w:val="24"/>
                <w:szCs w:val="24"/>
                <w:highlight w:val="none"/>
                <w:vertAlign w:val="baseline"/>
                <w:lang w:val="en-US" w:eastAsia="zh-CN"/>
              </w:rPr>
              <w:t>0.3</w:t>
            </w:r>
            <w:r>
              <w:rPr>
                <w:rFonts w:hint="default" w:ascii="Times New Roman" w:hAnsi="Times New Roman" w:eastAsia="宋体" w:cs="Times New Roman"/>
                <w:color w:val="auto"/>
                <w:sz w:val="24"/>
                <w:szCs w:val="24"/>
                <w:highlight w:val="none"/>
                <w:vertAlign w:val="baseline"/>
                <w:lang w:val="en-US" w:eastAsia="zh-CN"/>
              </w:rPr>
              <w:t>=</w:t>
            </w:r>
            <w:r>
              <w:rPr>
                <w:rFonts w:hint="eastAsia" w:cs="Times New Roman"/>
                <w:color w:val="auto"/>
                <w:sz w:val="24"/>
                <w:szCs w:val="24"/>
                <w:highlight w:val="none"/>
                <w:vertAlign w:val="baseline"/>
                <w:lang w:val="en-US" w:eastAsia="zh-CN"/>
              </w:rPr>
              <w:t>40.02</w:t>
            </w:r>
            <w:r>
              <w:rPr>
                <w:rFonts w:hint="default" w:ascii="Times New Roman" w:hAnsi="Times New Roman" w:eastAsia="宋体" w:cs="Times New Roman"/>
                <w:color w:val="auto"/>
                <w:sz w:val="24"/>
                <w:szCs w:val="24"/>
                <w:highlight w:val="none"/>
                <w:vertAlign w:val="baseline"/>
                <w:lang w:val="en-US" w:eastAsia="zh-CN"/>
              </w:rPr>
              <w:t>m</w:t>
            </w:r>
            <w:r>
              <w:rPr>
                <w:rFonts w:hint="default" w:ascii="Times New Roman" w:hAnsi="Times New Roman" w:eastAsia="宋体" w:cs="Times New Roman"/>
                <w:color w:val="auto"/>
                <w:kern w:val="2"/>
                <w:sz w:val="24"/>
                <w:szCs w:val="24"/>
                <w:highlight w:val="none"/>
                <w:vertAlign w:val="superscript"/>
              </w:rPr>
              <w:t>3</w:t>
            </w:r>
          </w:p>
          <w:p w14:paraId="4A87D6CC">
            <w:pPr>
              <w:keepNext w:val="0"/>
              <w:keepLines w:val="0"/>
              <w:pageBreakBefore w:val="0"/>
              <w:widowControl w:val="0"/>
              <w:kinsoku/>
              <w:wordWrap/>
              <w:overflowPunct/>
              <w:topLinePunct w:val="0"/>
              <w:autoSpaceDE/>
              <w:autoSpaceDN/>
              <w:bidi w:val="0"/>
              <w:spacing w:line="460" w:lineRule="exact"/>
              <w:ind w:firstLine="480" w:firstLineChars="200"/>
              <w:textAlignment w:val="auto"/>
              <w:rPr>
                <w:rFonts w:ascii="Times New Roman" w:hAnsi="Times New Roman" w:eastAsia="宋体"/>
                <w:color w:val="auto"/>
                <w:highlight w:val="none"/>
              </w:rPr>
            </w:pPr>
            <w:r>
              <w:rPr>
                <w:color w:val="auto"/>
                <w:highlight w:val="none"/>
              </w:rPr>
              <w:t>通过以上计算</w:t>
            </w:r>
            <w:r>
              <w:rPr>
                <w:rFonts w:hint="eastAsia"/>
                <w:color w:val="auto"/>
                <w:highlight w:val="none"/>
              </w:rPr>
              <w:t>可知企业应设置的</w:t>
            </w:r>
            <w:r>
              <w:rPr>
                <w:color w:val="auto"/>
                <w:highlight w:val="none"/>
              </w:rPr>
              <w:t>事故池容积约为：</w:t>
            </w:r>
          </w:p>
          <w:p w14:paraId="0E158967">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Times New Roman" w:hAnsi="Times New Roman" w:eastAsia="宋体"/>
                <w:color w:val="auto"/>
                <w:highlight w:val="none"/>
              </w:rPr>
            </w:pPr>
            <w:r>
              <w:rPr>
                <w:rFonts w:ascii="Times New Roman" w:hAnsi="Times New Roman" w:eastAsia="宋体"/>
                <w:color w:val="auto"/>
                <w:highlight w:val="none"/>
              </w:rPr>
              <w:t>V</w:t>
            </w:r>
            <w:r>
              <w:rPr>
                <w:rFonts w:ascii="Times New Roman" w:hAnsi="Times New Roman" w:eastAsia="宋体"/>
                <w:color w:val="auto"/>
                <w:highlight w:val="none"/>
                <w:vertAlign w:val="subscript"/>
              </w:rPr>
              <w:t>总</w:t>
            </w:r>
            <w:r>
              <w:rPr>
                <w:rFonts w:ascii="Times New Roman" w:hAnsi="Times New Roman" w:eastAsia="宋体"/>
                <w:color w:val="auto"/>
                <w:highlight w:val="none"/>
              </w:rPr>
              <w:t>＝</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vertAlign w:val="subscript"/>
              </w:rPr>
              <w:t>max</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4</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5</w:t>
            </w:r>
          </w:p>
          <w:p w14:paraId="132721EC">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olor w:val="auto"/>
                <w:highlight w:val="none"/>
                <w:lang w:val="en-US" w:eastAsia="zh-CN"/>
              </w:rPr>
            </w:pPr>
            <w:r>
              <w:rPr>
                <w:rFonts w:ascii="Times New Roman" w:hAnsi="Times New Roman" w:eastAsia="宋体"/>
                <w:color w:val="auto"/>
                <w:highlight w:val="none"/>
              </w:rPr>
              <w:t>＝（</w:t>
            </w:r>
            <w:r>
              <w:rPr>
                <w:rFonts w:hint="eastAsia"/>
                <w:color w:val="auto"/>
                <w:highlight w:val="none"/>
                <w:lang w:val="en-US" w:eastAsia="zh-CN"/>
              </w:rPr>
              <w:t>0.025</w:t>
            </w:r>
            <w:r>
              <w:rPr>
                <w:rFonts w:ascii="Times New Roman" w:hAnsi="Times New Roman" w:eastAsia="宋体"/>
                <w:color w:val="auto"/>
                <w:highlight w:val="none"/>
              </w:rPr>
              <w:t>+</w:t>
            </w:r>
            <w:r>
              <w:rPr>
                <w:rFonts w:hint="eastAsia"/>
                <w:color w:val="auto"/>
                <w:highlight w:val="none"/>
                <w:lang w:val="en-US" w:eastAsia="zh-CN"/>
              </w:rPr>
              <w:t>144-0</w:t>
            </w:r>
            <w:r>
              <w:rPr>
                <w:rFonts w:ascii="Times New Roman" w:hAnsi="Times New Roman" w:eastAsia="宋体"/>
                <w:color w:val="auto"/>
                <w:highlight w:val="none"/>
              </w:rPr>
              <w:t>）</w:t>
            </w:r>
            <w:r>
              <w:rPr>
                <w:rFonts w:hint="eastAsia"/>
                <w:color w:val="auto"/>
                <w:highlight w:val="none"/>
                <w:lang w:val="en-US" w:eastAsia="zh-CN"/>
              </w:rPr>
              <w:t>+0+40.02</w:t>
            </w:r>
          </w:p>
          <w:p w14:paraId="3AA9ED43">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highlight w:val="none"/>
              </w:rPr>
            </w:pPr>
            <w:r>
              <w:rPr>
                <w:rFonts w:ascii="Times New Roman" w:hAnsi="Times New Roman" w:eastAsia="宋体"/>
                <w:color w:val="auto"/>
                <w:highlight w:val="none"/>
              </w:rPr>
              <w:t>＝</w:t>
            </w:r>
            <w:r>
              <w:rPr>
                <w:rFonts w:hint="eastAsia"/>
                <w:color w:val="auto"/>
                <w:highlight w:val="none"/>
                <w:lang w:val="en-US" w:eastAsia="zh-CN"/>
              </w:rPr>
              <w:t>184.045</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p>
          <w:p w14:paraId="326F2B05">
            <w:pPr>
              <w:pStyle w:val="166"/>
              <w:keepNext w:val="0"/>
              <w:keepLines w:val="0"/>
              <w:pageBreakBefore w:val="0"/>
              <w:widowControl w:val="0"/>
              <w:kinsoku/>
              <w:wordWrap/>
              <w:overflowPunct/>
              <w:topLinePunct w:val="0"/>
              <w:autoSpaceDE/>
              <w:autoSpaceDN/>
              <w:bidi w:val="0"/>
              <w:spacing w:line="460" w:lineRule="exact"/>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综上所述：</w:t>
            </w:r>
            <w:r>
              <w:rPr>
                <w:rFonts w:hint="default" w:ascii="Times New Roman" w:hAnsi="Times New Roman" w:cs="Times New Roman"/>
                <w:color w:val="auto"/>
                <w:sz w:val="24"/>
                <w:szCs w:val="24"/>
                <w:highlight w:val="none"/>
                <w:lang w:val="en-US" w:eastAsia="zh-CN"/>
              </w:rPr>
              <w:t>企业发生泄漏、火灾事故时的</w:t>
            </w:r>
            <w:r>
              <w:rPr>
                <w:rFonts w:hint="eastAsia" w:ascii="Times New Roman" w:hAnsi="Times New Roman" w:cs="Times New Roman"/>
                <w:color w:val="auto"/>
                <w:sz w:val="24"/>
                <w:szCs w:val="24"/>
                <w:highlight w:val="none"/>
                <w:lang w:val="en-US" w:eastAsia="zh-CN"/>
              </w:rPr>
              <w:t>事故</w:t>
            </w:r>
            <w:r>
              <w:rPr>
                <w:rFonts w:hint="default" w:ascii="Times New Roman" w:hAnsi="Times New Roman" w:cs="Times New Roman"/>
                <w:color w:val="auto"/>
                <w:sz w:val="24"/>
                <w:szCs w:val="24"/>
                <w:highlight w:val="none"/>
                <w:lang w:val="en-US" w:eastAsia="zh-CN"/>
              </w:rPr>
              <w:t>废水</w:t>
            </w:r>
            <w:r>
              <w:rPr>
                <w:rFonts w:hint="eastAsia" w:cs="Times New Roman"/>
                <w:color w:val="auto"/>
                <w:sz w:val="24"/>
                <w:szCs w:val="24"/>
                <w:highlight w:val="none"/>
                <w:lang w:val="en-US" w:eastAsia="zh-CN"/>
              </w:rPr>
              <w:t>产生量</w:t>
            </w:r>
            <w:r>
              <w:rPr>
                <w:rFonts w:hint="default" w:ascii="Times New Roman" w:hAnsi="Times New Roman" w:cs="Times New Roman"/>
                <w:color w:val="auto"/>
                <w:sz w:val="24"/>
                <w:szCs w:val="24"/>
                <w:highlight w:val="none"/>
                <w:lang w:val="en-US" w:eastAsia="zh-CN"/>
              </w:rPr>
              <w:t>为</w:t>
            </w:r>
            <w:r>
              <w:rPr>
                <w:rFonts w:hint="eastAsia" w:cs="Times New Roman"/>
                <w:color w:val="auto"/>
                <w:sz w:val="24"/>
                <w:szCs w:val="24"/>
                <w:highlight w:val="none"/>
                <w:lang w:val="en-US" w:eastAsia="zh-CN"/>
              </w:rPr>
              <w:t>184.045</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企业</w:t>
            </w:r>
            <w:r>
              <w:rPr>
                <w:rFonts w:hint="eastAsia" w:cs="Times New Roman"/>
                <w:color w:val="auto"/>
                <w:sz w:val="24"/>
                <w:szCs w:val="24"/>
                <w:highlight w:val="none"/>
                <w:lang w:val="en-US" w:eastAsia="zh-CN"/>
              </w:rPr>
              <w:t>已设置200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w:t>
            </w:r>
            <w:r>
              <w:rPr>
                <w:rFonts w:hint="eastAsia" w:cs="Times New Roman"/>
                <w:color w:val="auto"/>
                <w:sz w:val="24"/>
                <w:szCs w:val="24"/>
                <w:highlight w:val="none"/>
                <w:lang w:val="en-US" w:eastAsia="zh-CN"/>
              </w:rPr>
              <w:t>应急事故水囊，雨水、污水总排口已设置截止阀</w:t>
            </w:r>
            <w:r>
              <w:rPr>
                <w:rFonts w:hint="default" w:ascii="Times New Roman" w:hAnsi="Times New Roman" w:cs="Times New Roman"/>
                <w:color w:val="auto"/>
                <w:sz w:val="24"/>
                <w:szCs w:val="24"/>
                <w:highlight w:val="none"/>
                <w:lang w:val="en-US" w:eastAsia="zh-CN"/>
              </w:rPr>
              <w:t>。</w:t>
            </w:r>
            <w:r>
              <w:rPr>
                <w:rFonts w:hint="eastAsia"/>
                <w:color w:val="auto"/>
                <w:highlight w:val="none"/>
                <w:lang w:val="en-US" w:eastAsia="zh-CN"/>
              </w:rPr>
              <w:t>发生事故时企业应及时关闭雨水排放口截止阀，采用泵、输送管道等将事故废水收集进入应急事故水囊。</w:t>
            </w:r>
          </w:p>
          <w:bookmarkEnd w:id="65"/>
          <w:p w14:paraId="09C76CD4">
            <w:pPr>
              <w:bidi w:val="0"/>
              <w:ind w:firstLine="482" w:firstLineChars="200"/>
              <w:rPr>
                <w:rFonts w:hint="default"/>
                <w:b/>
                <w:bCs/>
                <w:color w:val="auto"/>
                <w:highlight w:val="none"/>
                <w:lang w:val="en-US" w:eastAsia="zh-CN"/>
              </w:rPr>
            </w:pPr>
            <w:r>
              <w:rPr>
                <w:rFonts w:hint="eastAsia"/>
                <w:b/>
                <w:bCs/>
                <w:color w:val="auto"/>
                <w:highlight w:val="none"/>
                <w:lang w:val="en-US" w:eastAsia="zh-CN"/>
              </w:rPr>
              <w:t>6）火灾事故应急处置措施</w:t>
            </w:r>
          </w:p>
          <w:p w14:paraId="794CC601">
            <w:pPr>
              <w:keepNext w:val="0"/>
              <w:keepLines w:val="0"/>
              <w:widowControl/>
              <w:suppressLineNumbers w:val="0"/>
              <w:pBdr>
                <w:top w:val="none" w:color="auto" w:sz="0" w:space="0"/>
                <w:left w:val="none" w:color="auto" w:sz="0" w:space="0"/>
                <w:right w:val="none" w:color="auto" w:sz="0" w:space="0"/>
              </w:pBdr>
              <w:spacing w:before="0" w:beforeAutospacing="0" w:after="0" w:afterAutospacing="0" w:line="450" w:lineRule="atLeast"/>
              <w:ind w:left="0" w:right="0" w:firstLine="480" w:firstLineChars="200"/>
              <w:rPr>
                <w:rFonts w:hint="default" w:eastAsia="宋体"/>
                <w:color w:val="auto"/>
                <w:highlight w:val="none"/>
                <w:lang w:val="en-US" w:eastAsia="zh-CN"/>
              </w:rPr>
            </w:pPr>
            <w:r>
              <w:rPr>
                <w:rFonts w:hint="eastAsia"/>
                <w:color w:val="auto"/>
                <w:highlight w:val="none"/>
              </w:rPr>
              <w:t>现场发生火灾时，发现人员应大声报告，立刻报警，并及时切断事故现场电源，停止工作。根据火灾的特点及风向，组织落实减少火势蔓延的应急措施，采取堵截包围、内外夹攻、上下合击、重点突破、分片消灭等战术手段，阻止火势蔓延。小范围内火灾立即使用周围灭火器、沙土等进行灭火；当火势</w:t>
            </w:r>
            <w:r>
              <w:rPr>
                <w:rFonts w:hint="eastAsia"/>
                <w:color w:val="auto"/>
                <w:highlight w:val="none"/>
                <w:lang w:eastAsia="zh-CN"/>
              </w:rPr>
              <w:t>蔓</w:t>
            </w:r>
            <w:r>
              <w:rPr>
                <w:rFonts w:hint="eastAsia"/>
                <w:color w:val="auto"/>
                <w:highlight w:val="none"/>
                <w:lang w:val="en-US" w:eastAsia="zh-CN"/>
              </w:rPr>
              <w:t>延根据现场情况使用厂房内消防栓进行灭火；</w:t>
            </w:r>
            <w:r>
              <w:rPr>
                <w:rFonts w:hint="eastAsia"/>
                <w:color w:val="auto"/>
                <w:highlight w:val="none"/>
              </w:rPr>
              <w:t>无法靠自身力量扑救和控制时，</w:t>
            </w:r>
            <w:r>
              <w:rPr>
                <w:rFonts w:hint="eastAsia"/>
                <w:color w:val="auto"/>
                <w:highlight w:val="none"/>
                <w:lang w:val="en-US" w:eastAsia="zh-CN"/>
              </w:rPr>
              <w:t>及时拨打报警电话请求外部支援</w:t>
            </w:r>
            <w:r>
              <w:rPr>
                <w:rFonts w:hint="eastAsia"/>
                <w:color w:val="auto"/>
                <w:highlight w:val="none"/>
              </w:rPr>
              <w:t>。</w:t>
            </w:r>
            <w:r>
              <w:rPr>
                <w:rFonts w:hint="eastAsia"/>
                <w:color w:val="auto"/>
                <w:highlight w:val="none"/>
                <w:lang w:val="en-US" w:eastAsia="zh-CN"/>
              </w:rPr>
              <w:t>灭火时关注火灾事故地点存储的物质属性，选择合适的灭火剂，部分物料不可用水灭火，企业易燃物质灭火措施见下表。</w:t>
            </w:r>
          </w:p>
          <w:p w14:paraId="2946733B">
            <w:pPr>
              <w:bidi w:val="0"/>
              <w:ind w:firstLine="480" w:firstLineChars="200"/>
              <w:rPr>
                <w:rFonts w:hint="default"/>
                <w:color w:val="auto"/>
                <w:highlight w:val="none"/>
                <w:lang w:val="zh-CN"/>
              </w:rPr>
            </w:pPr>
            <w:r>
              <w:rPr>
                <w:rFonts w:hint="eastAsia"/>
                <w:color w:val="auto"/>
                <w:highlight w:val="none"/>
                <w:lang w:val="en-US" w:eastAsia="zh-CN"/>
              </w:rPr>
              <w:t>7）项目建成后配备必要的应急设施，如灭火器、消防沙、防毒面具等</w:t>
            </w:r>
            <w:r>
              <w:rPr>
                <w:rFonts w:hint="default"/>
                <w:color w:val="auto"/>
                <w:highlight w:val="none"/>
                <w:lang w:val="zh-CN"/>
              </w:rPr>
              <w:t>。</w:t>
            </w:r>
          </w:p>
          <w:p w14:paraId="458C5150">
            <w:pPr>
              <w:bidi w:val="0"/>
              <w:ind w:firstLine="480" w:firstLineChars="200"/>
              <w:rPr>
                <w:rFonts w:hint="default"/>
                <w:color w:val="auto"/>
                <w:highlight w:val="none"/>
                <w:lang w:val="en-US" w:eastAsia="zh-CN"/>
              </w:rPr>
            </w:pPr>
            <w:r>
              <w:rPr>
                <w:rFonts w:hint="eastAsia"/>
                <w:color w:val="auto"/>
                <w:highlight w:val="none"/>
                <w:lang w:val="en-US" w:eastAsia="zh-CN"/>
              </w:rPr>
              <w:t>8）</w:t>
            </w:r>
            <w:r>
              <w:rPr>
                <w:rFonts w:hint="default"/>
                <w:color w:val="auto"/>
                <w:highlight w:val="none"/>
                <w:lang w:val="en-US" w:eastAsia="zh-CN"/>
              </w:rPr>
              <w:t>建设单位应依据相关法律法规履行安全生</w:t>
            </w:r>
            <w:r>
              <w:rPr>
                <w:rFonts w:hint="eastAsia"/>
                <w:color w:val="auto"/>
                <w:highlight w:val="none"/>
                <w:lang w:val="en-US" w:eastAsia="zh-CN"/>
              </w:rPr>
              <w:t>产“三同时”手</w:t>
            </w:r>
            <w:r>
              <w:rPr>
                <w:rFonts w:hint="default"/>
                <w:color w:val="auto"/>
                <w:highlight w:val="none"/>
                <w:lang w:val="en-US" w:eastAsia="zh-CN"/>
              </w:rPr>
              <w:t>续。</w:t>
            </w:r>
          </w:p>
          <w:p w14:paraId="45A0A94B">
            <w:pPr>
              <w:pStyle w:val="162"/>
              <w:bidi w:val="0"/>
              <w:rPr>
                <w:rFonts w:hint="default"/>
                <w:color w:val="auto"/>
                <w:highlight w:val="none"/>
              </w:rPr>
            </w:pPr>
            <w:r>
              <w:rPr>
                <w:rFonts w:hint="default"/>
                <w:color w:val="auto"/>
                <w:highlight w:val="none"/>
              </w:rPr>
              <w:t>预防机制详情</w:t>
            </w:r>
          </w:p>
          <w:tbl>
            <w:tblPr>
              <w:tblStyle w:val="32"/>
              <w:tblW w:w="4975"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6788"/>
            </w:tblGrid>
            <w:tr w14:paraId="46621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4" w:type="pct"/>
                  <w:noWrap w:val="0"/>
                  <w:vAlign w:val="center"/>
                </w:tcPr>
                <w:p w14:paraId="59953083">
                  <w:pPr>
                    <w:pStyle w:val="41"/>
                    <w:bidi w:val="0"/>
                    <w:rPr>
                      <w:rFonts w:hint="default"/>
                      <w:b/>
                      <w:bCs/>
                      <w:color w:val="auto"/>
                      <w:highlight w:val="none"/>
                    </w:rPr>
                  </w:pPr>
                  <w:r>
                    <w:rPr>
                      <w:rFonts w:hint="default"/>
                      <w:b/>
                      <w:bCs/>
                      <w:color w:val="auto"/>
                      <w:highlight w:val="none"/>
                    </w:rPr>
                    <w:t>突发环境事件</w:t>
                  </w:r>
                </w:p>
              </w:tc>
              <w:tc>
                <w:tcPr>
                  <w:tcW w:w="4025" w:type="pct"/>
                  <w:noWrap w:val="0"/>
                  <w:vAlign w:val="center"/>
                </w:tcPr>
                <w:p w14:paraId="21DFF439">
                  <w:pPr>
                    <w:pStyle w:val="41"/>
                    <w:bidi w:val="0"/>
                    <w:rPr>
                      <w:rFonts w:hint="default"/>
                      <w:b/>
                      <w:bCs/>
                      <w:color w:val="auto"/>
                      <w:highlight w:val="none"/>
                    </w:rPr>
                  </w:pPr>
                  <w:r>
                    <w:rPr>
                      <w:rFonts w:hint="default"/>
                      <w:b/>
                      <w:bCs/>
                      <w:color w:val="auto"/>
                      <w:highlight w:val="none"/>
                    </w:rPr>
                    <w:t>预防机制</w:t>
                  </w:r>
                </w:p>
              </w:tc>
            </w:tr>
            <w:tr w14:paraId="3665D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4" w:type="pct"/>
                  <w:noWrap w:val="0"/>
                  <w:vAlign w:val="center"/>
                </w:tcPr>
                <w:p w14:paraId="6117D193">
                  <w:pPr>
                    <w:pStyle w:val="41"/>
                    <w:bidi w:val="0"/>
                    <w:rPr>
                      <w:rFonts w:hint="default"/>
                      <w:color w:val="auto"/>
                      <w:highlight w:val="none"/>
                    </w:rPr>
                  </w:pPr>
                  <w:r>
                    <w:rPr>
                      <w:rFonts w:hint="default"/>
                      <w:color w:val="auto"/>
                      <w:highlight w:val="none"/>
                    </w:rPr>
                    <w:t>物料</w:t>
                  </w:r>
                  <w:r>
                    <w:rPr>
                      <w:rFonts w:hint="default"/>
                      <w:color w:val="auto"/>
                      <w:highlight w:val="none"/>
                      <w:lang w:eastAsia="zh-CN"/>
                    </w:rPr>
                    <w:t>泄漏</w:t>
                  </w:r>
                </w:p>
              </w:tc>
              <w:tc>
                <w:tcPr>
                  <w:tcW w:w="4025" w:type="pct"/>
                  <w:noWrap w:val="0"/>
                  <w:vAlign w:val="center"/>
                </w:tcPr>
                <w:p w14:paraId="60E3BD01">
                  <w:pPr>
                    <w:pStyle w:val="41"/>
                    <w:bidi w:val="0"/>
                    <w:jc w:val="left"/>
                    <w:rPr>
                      <w:rFonts w:hint="default"/>
                      <w:color w:val="auto"/>
                      <w:highlight w:val="none"/>
                      <w:lang w:val="zh-CN"/>
                    </w:rPr>
                  </w:pPr>
                  <w:r>
                    <w:rPr>
                      <w:rFonts w:hint="default"/>
                      <w:color w:val="auto"/>
                      <w:highlight w:val="none"/>
                      <w:lang w:val="zh-CN"/>
                    </w:rPr>
                    <w:t>1.加强对</w:t>
                  </w:r>
                  <w:r>
                    <w:rPr>
                      <w:rFonts w:hint="eastAsia"/>
                      <w:color w:val="auto"/>
                      <w:highlight w:val="none"/>
                      <w:lang w:val="en-US" w:eastAsia="zh-CN"/>
                    </w:rPr>
                    <w:t>危化品库</w:t>
                  </w:r>
                  <w:r>
                    <w:rPr>
                      <w:rFonts w:hint="default"/>
                      <w:color w:val="auto"/>
                      <w:highlight w:val="none"/>
                      <w:lang w:val="zh-CN"/>
                    </w:rPr>
                    <w:t>的巡视工作，重点检测包装有无破裂，阀门是否失灵等；</w:t>
                  </w:r>
                </w:p>
                <w:p w14:paraId="290D79A5">
                  <w:pPr>
                    <w:pStyle w:val="41"/>
                    <w:bidi w:val="0"/>
                    <w:jc w:val="left"/>
                    <w:rPr>
                      <w:rFonts w:hint="default"/>
                      <w:color w:val="auto"/>
                      <w:highlight w:val="none"/>
                    </w:rPr>
                  </w:pPr>
                  <w:r>
                    <w:rPr>
                      <w:rFonts w:hint="default"/>
                      <w:color w:val="auto"/>
                      <w:highlight w:val="none"/>
                      <w:lang w:val="zh-CN"/>
                    </w:rPr>
                    <w:t>2.做好</w:t>
                  </w:r>
                  <w:r>
                    <w:rPr>
                      <w:rFonts w:hint="eastAsia"/>
                      <w:color w:val="auto"/>
                      <w:highlight w:val="none"/>
                      <w:lang w:val="en-US" w:eastAsia="zh-CN"/>
                    </w:rPr>
                    <w:t>危废暂存点</w:t>
                  </w:r>
                  <w:r>
                    <w:rPr>
                      <w:rFonts w:hint="default"/>
                      <w:color w:val="auto"/>
                      <w:highlight w:val="none"/>
                      <w:lang w:val="zh-CN"/>
                    </w:rPr>
                    <w:t>地面防渗防腐处理，设置</w:t>
                  </w:r>
                  <w:r>
                    <w:rPr>
                      <w:rFonts w:hint="eastAsia"/>
                      <w:color w:val="auto"/>
                      <w:highlight w:val="none"/>
                      <w:lang w:val="en-US" w:eastAsia="zh-CN"/>
                    </w:rPr>
                    <w:t>泄漏液体收集装置</w:t>
                  </w:r>
                  <w:r>
                    <w:rPr>
                      <w:rFonts w:hint="default"/>
                      <w:color w:val="auto"/>
                      <w:highlight w:val="none"/>
                      <w:lang w:val="zh-CN"/>
                    </w:rPr>
                    <w:t>，防止泄漏的物料排出厂界。</w:t>
                  </w:r>
                </w:p>
              </w:tc>
            </w:tr>
            <w:tr w14:paraId="461A4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4" w:type="pct"/>
                  <w:noWrap w:val="0"/>
                  <w:vAlign w:val="center"/>
                </w:tcPr>
                <w:p w14:paraId="5F17AEEA">
                  <w:pPr>
                    <w:pStyle w:val="41"/>
                    <w:bidi w:val="0"/>
                    <w:rPr>
                      <w:rFonts w:hint="default"/>
                      <w:color w:val="auto"/>
                      <w:highlight w:val="none"/>
                    </w:rPr>
                  </w:pPr>
                  <w:r>
                    <w:rPr>
                      <w:rFonts w:hint="default"/>
                      <w:color w:val="auto"/>
                      <w:highlight w:val="none"/>
                    </w:rPr>
                    <w:t>暴雨、雷电等自然灾害</w:t>
                  </w:r>
                </w:p>
              </w:tc>
              <w:tc>
                <w:tcPr>
                  <w:tcW w:w="4025" w:type="pct"/>
                  <w:noWrap w:val="0"/>
                  <w:vAlign w:val="center"/>
                </w:tcPr>
                <w:p w14:paraId="53E732D7">
                  <w:pPr>
                    <w:pStyle w:val="41"/>
                    <w:bidi w:val="0"/>
                    <w:jc w:val="left"/>
                    <w:rPr>
                      <w:rFonts w:hint="default"/>
                      <w:color w:val="auto"/>
                      <w:highlight w:val="none"/>
                    </w:rPr>
                  </w:pPr>
                  <w:r>
                    <w:rPr>
                      <w:rFonts w:hint="default"/>
                      <w:color w:val="auto"/>
                      <w:highlight w:val="none"/>
                      <w:lang w:val="zh-CN"/>
                    </w:rPr>
                    <w:t>1.密切注意天气变化，在暴雨等天气来临前对现场的物品进行收拾，对厂棚进行加固，对外露的设备进行保护，对可能积水的部位进行检查；</w:t>
                  </w:r>
                </w:p>
              </w:tc>
            </w:tr>
            <w:tr w14:paraId="6CED1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4" w:type="pct"/>
                  <w:noWrap w:val="0"/>
                  <w:vAlign w:val="center"/>
                </w:tcPr>
                <w:p w14:paraId="6E238990">
                  <w:pPr>
                    <w:pStyle w:val="41"/>
                    <w:bidi w:val="0"/>
                    <w:rPr>
                      <w:rFonts w:hint="default"/>
                      <w:color w:val="auto"/>
                      <w:highlight w:val="none"/>
                    </w:rPr>
                  </w:pPr>
                  <w:r>
                    <w:rPr>
                      <w:rFonts w:hint="default"/>
                      <w:color w:val="auto"/>
                      <w:highlight w:val="none"/>
                    </w:rPr>
                    <w:t>火灾</w:t>
                  </w:r>
                </w:p>
              </w:tc>
              <w:tc>
                <w:tcPr>
                  <w:tcW w:w="4025" w:type="pct"/>
                  <w:noWrap w:val="0"/>
                  <w:vAlign w:val="center"/>
                </w:tcPr>
                <w:p w14:paraId="5BBDD114">
                  <w:pPr>
                    <w:pStyle w:val="41"/>
                    <w:bidi w:val="0"/>
                    <w:jc w:val="left"/>
                    <w:rPr>
                      <w:rFonts w:hint="default"/>
                      <w:color w:val="auto"/>
                      <w:highlight w:val="none"/>
                    </w:rPr>
                  </w:pPr>
                  <w:r>
                    <w:rPr>
                      <w:rFonts w:hint="default"/>
                      <w:color w:val="auto"/>
                      <w:highlight w:val="none"/>
                      <w:lang w:val="zh-CN"/>
                    </w:rPr>
                    <w:t>1.易燃物品进行防护保护；对供电线路进行巡检；对消防设施进行定期检查。</w:t>
                  </w:r>
                </w:p>
              </w:tc>
            </w:tr>
          </w:tbl>
          <w:p w14:paraId="2582B198">
            <w:pPr>
              <w:pStyle w:val="41"/>
              <w:bidi w:val="0"/>
            </w:pPr>
          </w:p>
          <w:p w14:paraId="51CAC355">
            <w:pPr>
              <w:bidi w:val="0"/>
              <w:ind w:firstLine="482" w:firstLineChars="200"/>
              <w:rPr>
                <w:b/>
                <w:bCs/>
                <w:color w:val="auto"/>
                <w:highlight w:val="none"/>
              </w:rPr>
            </w:pPr>
            <w:r>
              <w:rPr>
                <w:b/>
                <w:bCs/>
                <w:color w:val="auto"/>
                <w:highlight w:val="none"/>
              </w:rPr>
              <w:t>（</w:t>
            </w:r>
            <w:r>
              <w:rPr>
                <w:rFonts w:hint="eastAsia"/>
                <w:b/>
                <w:bCs/>
                <w:color w:val="auto"/>
                <w:highlight w:val="none"/>
                <w:lang w:val="en-US" w:eastAsia="zh-CN"/>
              </w:rPr>
              <w:t>4</w:t>
            </w:r>
            <w:r>
              <w:rPr>
                <w:b/>
                <w:bCs/>
                <w:color w:val="auto"/>
                <w:highlight w:val="none"/>
              </w:rPr>
              <w:t>）风险结论</w:t>
            </w:r>
          </w:p>
          <w:p w14:paraId="378D01FD">
            <w:pPr>
              <w:keepNext w:val="0"/>
              <w:keepLines w:val="0"/>
              <w:pageBreakBefore w:val="0"/>
              <w:kinsoku/>
              <w:wordWrap/>
              <w:overflowPunct/>
              <w:topLinePunct w:val="0"/>
              <w:autoSpaceDE w:val="0"/>
              <w:autoSpaceDN w:val="0"/>
              <w:bidi w:val="0"/>
              <w:adjustRightInd w:val="0"/>
              <w:snapToGrid w:val="0"/>
              <w:spacing w:line="460" w:lineRule="exact"/>
              <w:ind w:firstLine="480" w:firstLineChars="200"/>
              <w:textAlignment w:val="auto"/>
              <w:rPr>
                <w:rFonts w:hint="eastAsia" w:ascii="Times New Roman" w:hAnsi="Times New Roman" w:eastAsia="宋体"/>
                <w:color w:val="auto"/>
                <w:kern w:val="0"/>
                <w:sz w:val="24"/>
                <w:highlight w:val="none"/>
                <w:lang w:val="en-US" w:eastAsia="zh-CN"/>
              </w:rPr>
            </w:pPr>
            <w:r>
              <w:rPr>
                <w:rFonts w:hint="default"/>
                <w:color w:val="auto"/>
                <w:highlight w:val="none"/>
                <w:lang w:val="zh-CN"/>
              </w:rPr>
              <w:t>综合以上分析，在各环境风险防范措施落实到位的情况下，可大大降低建设项目的环境风险，最大程度减少对环境可能造成的危害。在企业落实本评价提出的各项风险防范措施后，项目对环境的风险影响可接受。</w:t>
            </w:r>
          </w:p>
          <w:p w14:paraId="20F4246A">
            <w:pPr>
              <w:keepNext w:val="0"/>
              <w:keepLines w:val="0"/>
              <w:pageBreakBefore w:val="0"/>
              <w:widowControl w:val="0"/>
              <w:kinsoku/>
              <w:wordWrap/>
              <w:overflowPunct/>
              <w:topLinePunct w:val="0"/>
              <w:bidi w:val="0"/>
              <w:adjustRightInd w:val="0"/>
              <w:snapToGrid w:val="0"/>
              <w:spacing w:line="460" w:lineRule="exact"/>
              <w:ind w:left="0" w:leftChars="0" w:firstLine="482" w:firstLineChars="200"/>
              <w:textAlignment w:val="auto"/>
              <w:rPr>
                <w:b/>
                <w:bCs/>
                <w:color w:val="auto"/>
                <w:sz w:val="24"/>
                <w:highlight w:val="none"/>
              </w:rPr>
            </w:pPr>
            <w:r>
              <w:rPr>
                <w:rFonts w:hint="eastAsia"/>
                <w:b/>
                <w:bCs/>
                <w:color w:val="auto"/>
                <w:sz w:val="24"/>
                <w:highlight w:val="none"/>
                <w:lang w:val="en-US" w:eastAsia="zh-CN"/>
              </w:rPr>
              <w:t>7</w:t>
            </w:r>
            <w:r>
              <w:rPr>
                <w:rFonts w:hint="eastAsia"/>
                <w:b/>
                <w:bCs/>
                <w:color w:val="auto"/>
                <w:sz w:val="24"/>
                <w:highlight w:val="none"/>
              </w:rPr>
              <w:t>、环境管理</w:t>
            </w:r>
          </w:p>
          <w:p w14:paraId="48336354">
            <w:pPr>
              <w:keepNext w:val="0"/>
              <w:keepLines w:val="0"/>
              <w:pageBreakBefore w:val="0"/>
              <w:widowControl w:val="0"/>
              <w:kinsoku/>
              <w:wordWrap/>
              <w:overflowPunct/>
              <w:topLinePunct w:val="0"/>
              <w:bidi w:val="0"/>
              <w:snapToGrid w:val="0"/>
              <w:spacing w:line="460" w:lineRule="exact"/>
              <w:ind w:left="0" w:leftChars="0" w:firstLine="482" w:firstLineChars="200"/>
              <w:textAlignment w:val="auto"/>
              <w:rPr>
                <w:b/>
                <w:bCs/>
                <w:color w:val="auto"/>
                <w:sz w:val="24"/>
                <w:highlight w:val="none"/>
                <w:lang w:val="zh-CN"/>
              </w:rPr>
            </w:pPr>
            <w:r>
              <w:rPr>
                <w:b/>
                <w:bCs/>
                <w:color w:val="auto"/>
                <w:sz w:val="24"/>
                <w:highlight w:val="none"/>
                <w:lang w:val="zh-CN"/>
              </w:rPr>
              <w:t>（</w:t>
            </w:r>
            <w:r>
              <w:rPr>
                <w:b/>
                <w:bCs/>
                <w:color w:val="auto"/>
                <w:sz w:val="24"/>
                <w:highlight w:val="none"/>
              </w:rPr>
              <w:t>1</w:t>
            </w:r>
            <w:r>
              <w:rPr>
                <w:b/>
                <w:bCs/>
                <w:color w:val="auto"/>
                <w:sz w:val="24"/>
                <w:highlight w:val="none"/>
                <w:lang w:val="zh-CN"/>
              </w:rPr>
              <w:t>）环境管理机构</w:t>
            </w:r>
          </w:p>
          <w:p w14:paraId="7EADFF6A">
            <w:pPr>
              <w:keepNext w:val="0"/>
              <w:keepLines w:val="0"/>
              <w:pageBreakBefore w:val="0"/>
              <w:widowControl w:val="0"/>
              <w:kinsoku/>
              <w:wordWrap/>
              <w:overflowPunct/>
              <w:topLinePunct w:val="0"/>
              <w:bidi w:val="0"/>
              <w:snapToGrid w:val="0"/>
              <w:spacing w:line="460" w:lineRule="exact"/>
              <w:ind w:left="0" w:leftChars="0" w:firstLine="480" w:firstLineChars="200"/>
              <w:textAlignment w:val="auto"/>
              <w:rPr>
                <w:color w:val="auto"/>
                <w:sz w:val="24"/>
                <w:highlight w:val="none"/>
                <w:lang w:val="zh-CN"/>
              </w:rPr>
            </w:pPr>
            <w:r>
              <w:rPr>
                <w:color w:val="auto"/>
                <w:sz w:val="24"/>
                <w:highlight w:val="none"/>
                <w:lang w:val="zh-CN"/>
              </w:rPr>
              <w:t>项目建成后，设置专门的环境管理机构，配备专职环保人员</w:t>
            </w:r>
            <w:r>
              <w:rPr>
                <w:color w:val="auto"/>
                <w:sz w:val="24"/>
                <w:highlight w:val="none"/>
              </w:rPr>
              <w:t>1名，负责环境监督管理工作，同时要加强对管理人员的环保培训，不断提高管理水平。</w:t>
            </w:r>
          </w:p>
          <w:p w14:paraId="65914C76">
            <w:pPr>
              <w:keepNext w:val="0"/>
              <w:keepLines w:val="0"/>
              <w:pageBreakBefore w:val="0"/>
              <w:widowControl w:val="0"/>
              <w:kinsoku/>
              <w:wordWrap/>
              <w:overflowPunct/>
              <w:topLinePunct w:val="0"/>
              <w:bidi w:val="0"/>
              <w:snapToGrid w:val="0"/>
              <w:spacing w:line="460" w:lineRule="exact"/>
              <w:ind w:left="0" w:leftChars="0" w:firstLine="482" w:firstLineChars="200"/>
              <w:textAlignment w:val="auto"/>
              <w:rPr>
                <w:b/>
                <w:bCs/>
                <w:color w:val="auto"/>
                <w:sz w:val="24"/>
                <w:highlight w:val="none"/>
                <w:lang w:val="zh-CN"/>
              </w:rPr>
            </w:pPr>
            <w:r>
              <w:rPr>
                <w:b/>
                <w:bCs/>
                <w:color w:val="auto"/>
                <w:sz w:val="24"/>
                <w:highlight w:val="none"/>
                <w:lang w:val="zh-CN"/>
              </w:rPr>
              <w:t>（2）环境管理内容</w:t>
            </w:r>
          </w:p>
          <w:p w14:paraId="1F5CA058">
            <w:pPr>
              <w:keepNext w:val="0"/>
              <w:keepLines w:val="0"/>
              <w:pageBreakBefore w:val="0"/>
              <w:widowControl w:val="0"/>
              <w:kinsoku/>
              <w:wordWrap/>
              <w:overflowPunct/>
              <w:topLinePunct w:val="0"/>
              <w:bidi w:val="0"/>
              <w:snapToGrid w:val="0"/>
              <w:spacing w:line="460" w:lineRule="exact"/>
              <w:ind w:left="0" w:leftChars="0" w:firstLine="480" w:firstLineChars="200"/>
              <w:textAlignment w:val="auto"/>
              <w:rPr>
                <w:color w:val="auto"/>
                <w:sz w:val="24"/>
                <w:highlight w:val="none"/>
                <w:lang w:val="zh-CN"/>
              </w:rPr>
            </w:pPr>
            <w:r>
              <w:rPr>
                <w:color w:val="auto"/>
                <w:sz w:val="24"/>
                <w:highlight w:val="none"/>
                <w:lang w:val="zh-CN"/>
              </w:rPr>
              <w:t>项目在</w:t>
            </w:r>
            <w:r>
              <w:rPr>
                <w:rFonts w:hint="eastAsia"/>
                <w:color w:val="auto"/>
                <w:sz w:val="24"/>
                <w:highlight w:val="none"/>
                <w:lang w:val="en-US" w:eastAsia="zh-CN"/>
              </w:rPr>
              <w:t>工作</w:t>
            </w:r>
            <w:r>
              <w:rPr>
                <w:color w:val="auto"/>
                <w:sz w:val="24"/>
                <w:highlight w:val="none"/>
                <w:lang w:val="zh-CN"/>
              </w:rPr>
              <w:t>运行过程中为保证环境管理系统的有效运行应制定环境管理方案，环境管理方案主要包括下列内容</w:t>
            </w:r>
            <w:r>
              <w:rPr>
                <w:rFonts w:hint="eastAsia"/>
                <w:color w:val="auto"/>
                <w:sz w:val="24"/>
                <w:highlight w:val="none"/>
                <w:lang w:val="zh-CN"/>
              </w:rPr>
              <w:t>。</w:t>
            </w:r>
          </w:p>
          <w:p w14:paraId="03D9FE86">
            <w:pPr>
              <w:keepNext w:val="0"/>
              <w:keepLines w:val="0"/>
              <w:pageBreakBefore w:val="0"/>
              <w:widowControl w:val="0"/>
              <w:kinsoku/>
              <w:wordWrap/>
              <w:overflowPunct/>
              <w:topLinePunct w:val="0"/>
              <w:autoSpaceDE/>
              <w:autoSpaceDN/>
              <w:bidi w:val="0"/>
              <w:adjustRightInd/>
              <w:ind w:firstLine="480" w:firstLineChars="200"/>
              <w:textAlignment w:val="auto"/>
              <w:rPr>
                <w:color w:val="auto"/>
                <w:highlight w:val="none"/>
                <w:lang w:val="zh-CN"/>
              </w:rPr>
            </w:pPr>
            <w:r>
              <w:rPr>
                <w:rFonts w:hint="eastAsia"/>
                <w:color w:val="auto"/>
                <w:highlight w:val="none"/>
                <w:lang w:val="en-US" w:eastAsia="zh-CN"/>
              </w:rPr>
              <w:t>1）</w:t>
            </w:r>
            <w:r>
              <w:rPr>
                <w:color w:val="auto"/>
                <w:highlight w:val="none"/>
                <w:lang w:val="zh-CN"/>
              </w:rPr>
              <w:t>组织贯彻国家及地方的有关环保方针、政策法令和条例，搞好环境教育和技术培训，</w:t>
            </w:r>
            <w:r>
              <w:rPr>
                <w:rFonts w:hint="eastAsia"/>
                <w:color w:val="auto"/>
                <w:highlight w:val="none"/>
                <w:lang w:val="zh-CN"/>
              </w:rPr>
              <w:t>增强</w:t>
            </w:r>
            <w:r>
              <w:rPr>
                <w:color w:val="auto"/>
                <w:highlight w:val="none"/>
                <w:lang w:val="zh-CN"/>
              </w:rPr>
              <w:t>公司职工的环保意识和技术水平，提高污染控制的责任心。</w:t>
            </w:r>
          </w:p>
          <w:p w14:paraId="2DF6A0A4">
            <w:pPr>
              <w:keepNext w:val="0"/>
              <w:keepLines w:val="0"/>
              <w:pageBreakBefore w:val="0"/>
              <w:widowControl w:val="0"/>
              <w:kinsoku/>
              <w:wordWrap/>
              <w:overflowPunct/>
              <w:topLinePunct w:val="0"/>
              <w:autoSpaceDE/>
              <w:autoSpaceDN/>
              <w:bidi w:val="0"/>
              <w:adjustRightInd/>
              <w:ind w:firstLine="480" w:firstLineChars="200"/>
              <w:textAlignment w:val="auto"/>
              <w:rPr>
                <w:color w:val="auto"/>
                <w:highlight w:val="none"/>
                <w:lang w:val="zh-CN"/>
              </w:rPr>
            </w:pPr>
            <w:r>
              <w:rPr>
                <w:rFonts w:hint="eastAsia"/>
                <w:color w:val="auto"/>
                <w:highlight w:val="none"/>
                <w:lang w:val="en-US" w:eastAsia="zh-CN"/>
              </w:rPr>
              <w:t>2）</w:t>
            </w:r>
            <w:r>
              <w:rPr>
                <w:color w:val="auto"/>
                <w:highlight w:val="none"/>
                <w:lang w:val="zh-CN"/>
              </w:rPr>
              <w:t>制定并实施公司环境保护工作的长期规划及年度污染治理计划：定期检查环保设施的运行状况及对设备的维修与管理，严格控制</w:t>
            </w:r>
            <w:r>
              <w:rPr>
                <w:rFonts w:hint="eastAsia"/>
                <w:color w:val="auto"/>
                <w:highlight w:val="none"/>
                <w:lang w:val="zh-CN"/>
              </w:rPr>
              <w:t>“</w:t>
            </w:r>
            <w:r>
              <w:rPr>
                <w:color w:val="auto"/>
                <w:highlight w:val="none"/>
                <w:lang w:val="zh-CN"/>
              </w:rPr>
              <w:t>三废</w:t>
            </w:r>
            <w:r>
              <w:rPr>
                <w:rFonts w:hint="eastAsia"/>
                <w:color w:val="auto"/>
                <w:highlight w:val="none"/>
                <w:lang w:val="zh-CN"/>
              </w:rPr>
              <w:t>”</w:t>
            </w:r>
            <w:r>
              <w:rPr>
                <w:color w:val="auto"/>
                <w:highlight w:val="none"/>
                <w:lang w:val="zh-CN"/>
              </w:rPr>
              <w:t>的排放。</w:t>
            </w:r>
          </w:p>
          <w:p w14:paraId="4606D06D">
            <w:pPr>
              <w:keepNext w:val="0"/>
              <w:keepLines w:val="0"/>
              <w:pageBreakBefore w:val="0"/>
              <w:widowControl w:val="0"/>
              <w:kinsoku/>
              <w:wordWrap/>
              <w:overflowPunct/>
              <w:topLinePunct w:val="0"/>
              <w:autoSpaceDE/>
              <w:autoSpaceDN/>
              <w:bidi w:val="0"/>
              <w:adjustRightInd/>
              <w:ind w:firstLine="480" w:firstLineChars="200"/>
              <w:textAlignment w:val="auto"/>
              <w:rPr>
                <w:color w:val="auto"/>
                <w:highlight w:val="none"/>
                <w:lang w:val="zh-CN"/>
              </w:rPr>
            </w:pPr>
            <w:r>
              <w:rPr>
                <w:rFonts w:hint="eastAsia"/>
                <w:color w:val="auto"/>
                <w:highlight w:val="none"/>
                <w:lang w:val="en-US" w:eastAsia="zh-CN"/>
              </w:rPr>
              <w:t>3）</w:t>
            </w:r>
            <w:r>
              <w:rPr>
                <w:color w:val="auto"/>
                <w:highlight w:val="none"/>
                <w:lang w:val="zh-CN"/>
              </w:rPr>
              <w:t>掌握公司内部污染物排放状况，编制公司内部环境状况报告。</w:t>
            </w:r>
          </w:p>
          <w:p w14:paraId="0F53A790">
            <w:pPr>
              <w:keepNext w:val="0"/>
              <w:keepLines w:val="0"/>
              <w:pageBreakBefore w:val="0"/>
              <w:widowControl w:val="0"/>
              <w:kinsoku/>
              <w:wordWrap/>
              <w:overflowPunct/>
              <w:topLinePunct w:val="0"/>
              <w:autoSpaceDE/>
              <w:autoSpaceDN/>
              <w:bidi w:val="0"/>
              <w:adjustRightInd/>
              <w:ind w:firstLine="480" w:firstLineChars="200"/>
              <w:textAlignment w:val="auto"/>
              <w:rPr>
                <w:color w:val="auto"/>
                <w:highlight w:val="none"/>
                <w:lang w:val="zh-CN"/>
              </w:rPr>
            </w:pPr>
            <w:r>
              <w:rPr>
                <w:rFonts w:hint="eastAsia"/>
                <w:color w:val="auto"/>
                <w:highlight w:val="none"/>
                <w:lang w:val="en-US" w:eastAsia="zh-CN"/>
              </w:rPr>
              <w:t>4）</w:t>
            </w:r>
            <w:r>
              <w:rPr>
                <w:color w:val="auto"/>
                <w:highlight w:val="none"/>
                <w:lang w:val="zh-CN"/>
              </w:rPr>
              <w:t>负责环保专项资金的平衡与控制及办理环保超标缴费工作。</w:t>
            </w:r>
          </w:p>
          <w:p w14:paraId="20D08094">
            <w:pPr>
              <w:keepNext w:val="0"/>
              <w:keepLines w:val="0"/>
              <w:pageBreakBefore w:val="0"/>
              <w:widowControl w:val="0"/>
              <w:kinsoku/>
              <w:wordWrap/>
              <w:overflowPunct/>
              <w:topLinePunct w:val="0"/>
              <w:autoSpaceDE/>
              <w:autoSpaceDN/>
              <w:bidi w:val="0"/>
              <w:adjustRightInd/>
              <w:ind w:firstLine="480" w:firstLineChars="200"/>
              <w:textAlignment w:val="auto"/>
              <w:rPr>
                <w:color w:val="auto"/>
                <w:highlight w:val="none"/>
                <w:lang w:val="zh-CN"/>
              </w:rPr>
            </w:pPr>
            <w:r>
              <w:rPr>
                <w:rFonts w:hint="eastAsia"/>
                <w:color w:val="auto"/>
                <w:highlight w:val="none"/>
                <w:lang w:val="en-US" w:eastAsia="zh-CN"/>
              </w:rPr>
              <w:t>5）</w:t>
            </w:r>
            <w:r>
              <w:rPr>
                <w:color w:val="auto"/>
                <w:highlight w:val="none"/>
                <w:lang w:val="zh-CN"/>
              </w:rPr>
              <w:t>组织环境监测，检查公司环境状况，并及时将环境监测信息向环保部门通报。</w:t>
            </w:r>
          </w:p>
          <w:p w14:paraId="1C05B374">
            <w:pPr>
              <w:keepNext w:val="0"/>
              <w:keepLines w:val="0"/>
              <w:pageBreakBefore w:val="0"/>
              <w:widowControl w:val="0"/>
              <w:kinsoku/>
              <w:wordWrap/>
              <w:overflowPunct/>
              <w:topLinePunct w:val="0"/>
              <w:autoSpaceDE/>
              <w:autoSpaceDN/>
              <w:bidi w:val="0"/>
              <w:adjustRightInd/>
              <w:snapToGrid w:val="0"/>
              <w:spacing w:line="460" w:lineRule="exact"/>
              <w:ind w:left="0" w:leftChars="0" w:firstLine="480" w:firstLineChars="200"/>
              <w:textAlignment w:val="auto"/>
              <w:rPr>
                <w:color w:val="auto"/>
                <w:highlight w:val="none"/>
                <w:lang w:val="zh-CN"/>
              </w:rPr>
            </w:pPr>
            <w:r>
              <w:rPr>
                <w:rFonts w:hint="eastAsia"/>
                <w:color w:val="auto"/>
                <w:highlight w:val="none"/>
                <w:lang w:val="en-US" w:eastAsia="zh-CN"/>
              </w:rPr>
              <w:t>6）</w:t>
            </w:r>
            <w:r>
              <w:rPr>
                <w:color w:val="auto"/>
                <w:highlight w:val="none"/>
                <w:lang w:val="zh-CN"/>
              </w:rPr>
              <w:t>调查处理公司内污染事故和污染纠纷</w:t>
            </w:r>
            <w:r>
              <w:rPr>
                <w:rFonts w:hint="eastAsia"/>
                <w:color w:val="auto"/>
                <w:highlight w:val="none"/>
                <w:lang w:val="zh-CN"/>
              </w:rPr>
              <w:t>，</w:t>
            </w:r>
            <w:r>
              <w:rPr>
                <w:color w:val="auto"/>
                <w:highlight w:val="none"/>
                <w:lang w:val="zh-CN"/>
              </w:rPr>
              <w:t>建立污染突发事故分类分级档案和处理制度。</w:t>
            </w:r>
          </w:p>
          <w:p w14:paraId="2112BEF8">
            <w:pPr>
              <w:keepNext w:val="0"/>
              <w:keepLines w:val="0"/>
              <w:pageBreakBefore w:val="0"/>
              <w:widowControl w:val="0"/>
              <w:kinsoku/>
              <w:wordWrap/>
              <w:overflowPunct/>
              <w:topLinePunct w:val="0"/>
              <w:bidi w:val="0"/>
              <w:snapToGrid w:val="0"/>
              <w:spacing w:line="460" w:lineRule="exact"/>
              <w:ind w:firstLine="482" w:firstLineChars="200"/>
              <w:textAlignment w:val="auto"/>
              <w:rPr>
                <w:b/>
                <w:bCs/>
                <w:color w:val="auto"/>
                <w:sz w:val="24"/>
                <w:highlight w:val="none"/>
                <w:lang w:val="zh-CN"/>
              </w:rPr>
            </w:pPr>
            <w:r>
              <w:rPr>
                <w:b/>
                <w:bCs/>
                <w:color w:val="auto"/>
                <w:sz w:val="24"/>
                <w:highlight w:val="none"/>
                <w:lang w:val="zh-CN"/>
              </w:rPr>
              <w:t>（3）环境管理制度的建立</w:t>
            </w:r>
          </w:p>
          <w:p w14:paraId="03DA2C99">
            <w:pPr>
              <w:keepNext w:val="0"/>
              <w:keepLines w:val="0"/>
              <w:pageBreakBefore w:val="0"/>
              <w:widowControl w:val="0"/>
              <w:kinsoku/>
              <w:wordWrap/>
              <w:overflowPunct/>
              <w:topLinePunct w:val="0"/>
              <w:bidi w:val="0"/>
              <w:snapToGrid w:val="0"/>
              <w:spacing w:line="460" w:lineRule="exact"/>
              <w:ind w:left="0" w:leftChars="0" w:firstLine="482" w:firstLineChars="200"/>
              <w:textAlignment w:val="auto"/>
              <w:rPr>
                <w:b/>
                <w:bCs/>
                <w:color w:val="auto"/>
                <w:sz w:val="24"/>
                <w:highlight w:val="none"/>
                <w:lang w:val="zh-CN"/>
              </w:rPr>
            </w:pPr>
            <w:r>
              <w:rPr>
                <w:rFonts w:hint="eastAsia"/>
                <w:b/>
                <w:bCs/>
                <w:color w:val="auto"/>
                <w:sz w:val="24"/>
                <w:highlight w:val="none"/>
                <w:lang w:val="en-US" w:eastAsia="zh-CN"/>
              </w:rPr>
              <w:t>1）</w:t>
            </w:r>
            <w:r>
              <w:rPr>
                <w:b/>
                <w:bCs/>
                <w:color w:val="auto"/>
                <w:sz w:val="24"/>
                <w:highlight w:val="none"/>
                <w:lang w:val="zh-CN"/>
              </w:rPr>
              <w:t>排污许可制度</w:t>
            </w:r>
          </w:p>
          <w:p w14:paraId="38CA1A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bCs/>
                <w:color w:val="auto"/>
                <w:highlight w:val="none"/>
                <w:lang w:val="en-US" w:eastAsia="zh-CN"/>
              </w:rPr>
            </w:pPr>
            <w:r>
              <w:rPr>
                <w:rFonts w:hint="eastAsia"/>
                <w:color w:val="auto"/>
                <w:sz w:val="24"/>
                <w:highlight w:val="none"/>
              </w:rPr>
              <w:t>本项目</w:t>
            </w:r>
            <w:r>
              <w:rPr>
                <w:rFonts w:hint="eastAsia"/>
                <w:color w:val="auto"/>
                <w:sz w:val="24"/>
                <w:highlight w:val="none"/>
                <w:lang w:val="en-US" w:eastAsia="zh-CN"/>
              </w:rPr>
              <w:t>主要进行创新中药研发实验</w:t>
            </w:r>
            <w:r>
              <w:rPr>
                <w:rFonts w:hint="eastAsia"/>
                <w:bCs/>
                <w:color w:val="auto"/>
                <w:sz w:val="24"/>
                <w:highlight w:val="none"/>
              </w:rPr>
              <w:t>，其属于</w:t>
            </w:r>
            <w:r>
              <w:rPr>
                <w:rFonts w:hint="eastAsia"/>
                <w:color w:val="auto"/>
                <w:sz w:val="24"/>
                <w:highlight w:val="none"/>
              </w:rPr>
              <w:t>《国民经济行业分类》（GB/T</w:t>
            </w:r>
            <w:r>
              <w:rPr>
                <w:rFonts w:hint="eastAsia"/>
                <w:color w:val="auto"/>
                <w:sz w:val="24"/>
                <w:highlight w:val="none"/>
                <w:lang w:val="en-US" w:eastAsia="zh-CN"/>
              </w:rPr>
              <w:t>4</w:t>
            </w:r>
            <w:r>
              <w:rPr>
                <w:rFonts w:hint="eastAsia"/>
                <w:color w:val="auto"/>
                <w:sz w:val="24"/>
                <w:highlight w:val="none"/>
              </w:rPr>
              <w:t>754-2017）的</w:t>
            </w:r>
            <w:r>
              <w:rPr>
                <w:rFonts w:hint="eastAsia" w:cs="Times New Roman"/>
                <w:color w:val="auto"/>
                <w:sz w:val="24"/>
                <w:szCs w:val="24"/>
                <w:highlight w:val="none"/>
                <w:lang w:val="en-US" w:eastAsia="zh-CN"/>
              </w:rPr>
              <w:t>M7340</w:t>
            </w:r>
            <w:r>
              <w:rPr>
                <w:rFonts w:hint="default" w:ascii="Times New Roman" w:hAnsi="Times New Roman" w:eastAsia="宋体" w:cs="Times New Roman"/>
                <w:color w:val="auto"/>
                <w:sz w:val="24"/>
                <w:szCs w:val="24"/>
                <w:highlight w:val="none"/>
                <w:lang w:val="en-US" w:eastAsia="zh-CN"/>
              </w:rPr>
              <w:t>医学研究和试验发展</w:t>
            </w:r>
            <w:r>
              <w:rPr>
                <w:rFonts w:hint="eastAsia" w:cs="Times New Roman"/>
                <w:color w:val="auto"/>
                <w:sz w:val="24"/>
                <w:szCs w:val="24"/>
                <w:highlight w:val="none"/>
                <w:lang w:val="en-US" w:eastAsia="zh-CN"/>
              </w:rPr>
              <w:t>，对照</w:t>
            </w:r>
            <w:r>
              <w:rPr>
                <w:rFonts w:hint="eastAsia"/>
                <w:bCs/>
                <w:color w:val="auto"/>
                <w:sz w:val="24"/>
                <w:highlight w:val="none"/>
              </w:rPr>
              <w:t>《固定污染源排污许可分类管理名录》（2019年版）</w:t>
            </w:r>
            <w:r>
              <w:rPr>
                <w:rFonts w:hint="eastAsia"/>
                <w:bCs/>
                <w:color w:val="auto"/>
                <w:sz w:val="24"/>
                <w:highlight w:val="none"/>
                <w:lang w:val="en-US" w:eastAsia="zh-CN"/>
              </w:rPr>
              <w:t>，</w:t>
            </w:r>
            <w:r>
              <w:rPr>
                <w:rFonts w:hint="eastAsia"/>
                <w:color w:val="auto"/>
                <w:sz w:val="24"/>
                <w:highlight w:val="none"/>
                <w:lang w:val="en-US" w:eastAsia="zh-CN"/>
              </w:rPr>
              <w:t>无需进行排污许可管理填报</w:t>
            </w:r>
            <w:r>
              <w:rPr>
                <w:rFonts w:hint="eastAsia"/>
                <w:bCs/>
                <w:color w:val="auto"/>
                <w:sz w:val="24"/>
                <w:highlight w:val="none"/>
                <w:lang w:val="en-US" w:eastAsia="zh-CN"/>
              </w:rPr>
              <w:t>。</w:t>
            </w:r>
          </w:p>
          <w:p w14:paraId="4E5270CB">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lang w:val="zh-CN"/>
              </w:rPr>
            </w:pPr>
            <w:r>
              <w:rPr>
                <w:rFonts w:hint="eastAsia"/>
                <w:b/>
                <w:bCs/>
                <w:color w:val="auto"/>
                <w:highlight w:val="none"/>
                <w:lang w:val="en-US" w:eastAsia="zh-CN"/>
              </w:rPr>
              <w:t>2）</w:t>
            </w:r>
            <w:r>
              <w:rPr>
                <w:b/>
                <w:bCs/>
                <w:color w:val="auto"/>
                <w:highlight w:val="none"/>
                <w:lang w:val="zh-CN"/>
              </w:rPr>
              <w:t>环境管理体系</w:t>
            </w:r>
          </w:p>
          <w:p w14:paraId="59F74F11">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lang w:val="zh-CN"/>
              </w:rPr>
            </w:pPr>
            <w:r>
              <w:rPr>
                <w:color w:val="auto"/>
                <w:highlight w:val="none"/>
                <w:lang w:val="zh-CN"/>
              </w:rPr>
              <w:t>项目建成后，建立环境管理体系，以便全面</w:t>
            </w:r>
            <w:r>
              <w:rPr>
                <w:rFonts w:hint="eastAsia"/>
                <w:color w:val="auto"/>
                <w:highlight w:val="none"/>
                <w:lang w:val="zh-CN"/>
              </w:rPr>
              <w:t>系统地</w:t>
            </w:r>
            <w:r>
              <w:rPr>
                <w:color w:val="auto"/>
                <w:highlight w:val="none"/>
                <w:lang w:val="zh-CN"/>
              </w:rPr>
              <w:t>对污染物进行控制，进一步提高能源资源的利用率，及时了解有关环保法律法规及其他要求，更好地遵守法律法规及各项制度。</w:t>
            </w:r>
          </w:p>
          <w:p w14:paraId="0A0F8D83">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lang w:val="zh-CN"/>
              </w:rPr>
            </w:pPr>
            <w:r>
              <w:rPr>
                <w:rFonts w:hint="eastAsia"/>
                <w:b/>
                <w:bCs/>
                <w:color w:val="auto"/>
                <w:highlight w:val="none"/>
                <w:lang w:val="en-US" w:eastAsia="zh-CN"/>
              </w:rPr>
              <w:t>3）</w:t>
            </w:r>
            <w:r>
              <w:rPr>
                <w:b/>
                <w:bCs/>
                <w:color w:val="auto"/>
                <w:highlight w:val="none"/>
                <w:lang w:val="zh-CN"/>
              </w:rPr>
              <w:t>排污定期报告制度</w:t>
            </w:r>
          </w:p>
          <w:p w14:paraId="0AC5E91D">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lang w:val="zh-CN"/>
              </w:rPr>
            </w:pPr>
            <w:r>
              <w:rPr>
                <w:color w:val="auto"/>
                <w:highlight w:val="none"/>
                <w:lang w:val="zh-CN"/>
              </w:rPr>
              <w:t>要定期向当地环保部门报告污染治理设施运行情况、污染物排放情况以及污染事故、污染纠纷等情况。</w:t>
            </w:r>
          </w:p>
          <w:p w14:paraId="7D9631D9">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lang w:val="zh-CN"/>
              </w:rPr>
            </w:pPr>
            <w:r>
              <w:rPr>
                <w:rFonts w:hint="eastAsia"/>
                <w:b/>
                <w:bCs/>
                <w:color w:val="auto"/>
                <w:highlight w:val="none"/>
                <w:lang w:val="en-US" w:eastAsia="zh-CN"/>
              </w:rPr>
              <w:t>4）</w:t>
            </w:r>
            <w:r>
              <w:rPr>
                <w:b/>
                <w:bCs/>
                <w:color w:val="auto"/>
                <w:highlight w:val="none"/>
                <w:lang w:val="zh-CN"/>
              </w:rPr>
              <w:t>污染处理设施管理制度</w:t>
            </w:r>
          </w:p>
          <w:p w14:paraId="50691FAD">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lang w:val="zh-CN"/>
              </w:rPr>
            </w:pPr>
            <w:r>
              <w:rPr>
                <w:color w:val="auto"/>
                <w:highlight w:val="none"/>
                <w:lang w:val="zh-CN"/>
              </w:rPr>
              <w:t>对污染治理设施的管理必须与生产经营活动一起纳入企业的日常管理中，要建立岗位责任制，制定操作规程，建立</w:t>
            </w:r>
            <w:r>
              <w:rPr>
                <w:rFonts w:hint="eastAsia"/>
                <w:color w:val="auto"/>
                <w:highlight w:val="none"/>
                <w:lang w:val="zh-CN"/>
              </w:rPr>
              <w:t>管理台账</w:t>
            </w:r>
            <w:r>
              <w:rPr>
                <w:color w:val="auto"/>
                <w:highlight w:val="none"/>
                <w:lang w:val="zh-CN"/>
              </w:rPr>
              <w:t>。</w:t>
            </w:r>
          </w:p>
          <w:p w14:paraId="467C74F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color w:val="auto"/>
                <w:highlight w:val="none"/>
                <w:lang w:val="zh-CN" w:eastAsia="zh-CN"/>
              </w:rPr>
            </w:pPr>
            <w:r>
              <w:rPr>
                <w:rFonts w:hint="eastAsia"/>
                <w:b/>
                <w:bCs/>
                <w:color w:val="auto"/>
                <w:highlight w:val="none"/>
                <w:lang w:val="en-US" w:eastAsia="zh-CN"/>
              </w:rPr>
              <w:t>5）</w:t>
            </w:r>
            <w:r>
              <w:rPr>
                <w:rFonts w:hint="eastAsia"/>
                <w:b/>
                <w:bCs/>
                <w:color w:val="auto"/>
                <w:highlight w:val="none"/>
                <w:lang w:val="zh-CN" w:eastAsia="zh-CN"/>
              </w:rPr>
              <w:t>社会公开制度</w:t>
            </w:r>
          </w:p>
          <w:p w14:paraId="720D321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zh-CN" w:eastAsia="zh-CN"/>
              </w:rPr>
            </w:pPr>
            <w:r>
              <w:rPr>
                <w:rFonts w:hint="eastAsia"/>
                <w:color w:val="auto"/>
                <w:highlight w:val="none"/>
                <w:lang w:val="zh-CN" w:eastAsia="zh-CN"/>
              </w:rPr>
              <w:t>向社会公开拟建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w:t>
            </w:r>
          </w:p>
          <w:p w14:paraId="2F37C5C9">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highlight w:val="none"/>
              </w:rPr>
            </w:pPr>
            <w:r>
              <w:rPr>
                <w:rFonts w:hint="eastAsia" w:eastAsia="黑体"/>
                <w:b/>
                <w:bCs/>
                <w:snapToGrid w:val="0"/>
                <w:color w:val="auto"/>
                <w:szCs w:val="30"/>
                <w:highlight w:val="none"/>
                <w:vertAlign w:val="baseline"/>
                <w:lang w:val="en-US" w:eastAsia="zh-CN"/>
              </w:rPr>
              <w:t>8、</w:t>
            </w:r>
            <w:r>
              <w:rPr>
                <w:b/>
                <w:bCs/>
                <w:color w:val="auto"/>
                <w:highlight w:val="none"/>
              </w:rPr>
              <w:t>环保投资及</w:t>
            </w:r>
            <w:r>
              <w:rPr>
                <w:rFonts w:hint="eastAsia"/>
                <w:b/>
                <w:bCs/>
                <w:color w:val="auto"/>
                <w:highlight w:val="none"/>
              </w:rPr>
              <w:t>“</w:t>
            </w:r>
            <w:r>
              <w:rPr>
                <w:b/>
                <w:bCs/>
                <w:color w:val="auto"/>
                <w:highlight w:val="none"/>
              </w:rPr>
              <w:t>三同时</w:t>
            </w:r>
            <w:r>
              <w:rPr>
                <w:rFonts w:hint="eastAsia"/>
                <w:b/>
                <w:bCs/>
                <w:color w:val="auto"/>
                <w:highlight w:val="none"/>
              </w:rPr>
              <w:t>”</w:t>
            </w:r>
            <w:r>
              <w:rPr>
                <w:b/>
                <w:bCs/>
                <w:color w:val="auto"/>
                <w:highlight w:val="none"/>
              </w:rPr>
              <w:t>验收一览表</w:t>
            </w:r>
          </w:p>
          <w:p w14:paraId="019D0D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黑体"/>
                <w:snapToGrid w:val="0"/>
                <w:color w:val="auto"/>
                <w:szCs w:val="30"/>
                <w:highlight w:val="none"/>
                <w:vertAlign w:val="baseline"/>
                <w:lang w:val="en-US" w:eastAsia="zh-CN"/>
              </w:rPr>
            </w:pPr>
            <w:r>
              <w:rPr>
                <w:color w:val="auto"/>
                <w:highlight w:val="none"/>
              </w:rPr>
              <w:t>建设项目环保投资</w:t>
            </w:r>
            <w:r>
              <w:rPr>
                <w:rFonts w:hint="eastAsia"/>
                <w:color w:val="auto"/>
                <w:highlight w:val="none"/>
                <w:lang w:val="en-US" w:eastAsia="zh-CN"/>
              </w:rPr>
              <w:t>80</w:t>
            </w:r>
            <w:r>
              <w:rPr>
                <w:color w:val="auto"/>
                <w:highlight w:val="none"/>
              </w:rPr>
              <w:t>万元，占项目总投资</w:t>
            </w:r>
            <w:r>
              <w:rPr>
                <w:rFonts w:hint="eastAsia"/>
                <w:color w:val="auto"/>
                <w:highlight w:val="none"/>
                <w:lang w:val="en-US" w:eastAsia="zh-CN"/>
              </w:rPr>
              <w:t>10076.9</w:t>
            </w:r>
            <w:r>
              <w:rPr>
                <w:color w:val="auto"/>
                <w:highlight w:val="none"/>
              </w:rPr>
              <w:t>万元的</w:t>
            </w:r>
            <w:r>
              <w:rPr>
                <w:rFonts w:hint="eastAsia"/>
                <w:color w:val="auto"/>
                <w:highlight w:val="none"/>
                <w:lang w:val="en-US" w:eastAsia="zh-CN"/>
              </w:rPr>
              <w:t>0.79</w:t>
            </w:r>
            <w:r>
              <w:rPr>
                <w:color w:val="auto"/>
                <w:highlight w:val="none"/>
              </w:rPr>
              <w:t>%。建设项目环境保护投资估算及</w:t>
            </w:r>
            <w:r>
              <w:rPr>
                <w:rFonts w:hint="eastAsia"/>
                <w:color w:val="auto"/>
                <w:highlight w:val="none"/>
              </w:rPr>
              <w:t>“三同时”</w:t>
            </w:r>
            <w:r>
              <w:rPr>
                <w:color w:val="auto"/>
                <w:highlight w:val="none"/>
              </w:rPr>
              <w:t>验收一览表见下表。</w:t>
            </w:r>
          </w:p>
          <w:p w14:paraId="0C7EB1DE">
            <w:pPr>
              <w:pStyle w:val="162"/>
              <w:bidi w:val="0"/>
              <w:rPr>
                <w:rFonts w:hint="eastAsia"/>
                <w:lang w:val="en-US" w:eastAsia="zh-CN"/>
              </w:rPr>
            </w:pPr>
            <w:r>
              <w:t>污染治理投资和</w:t>
            </w:r>
            <w:r>
              <w:rPr>
                <w:rFonts w:hint="eastAsia"/>
              </w:rPr>
              <w:t>“三同时”</w:t>
            </w:r>
            <w:r>
              <w:t>验收一览表</w:t>
            </w:r>
          </w:p>
          <w:tbl>
            <w:tblPr>
              <w:tblStyle w:val="32"/>
              <w:tblW w:w="500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596"/>
              <w:gridCol w:w="1662"/>
              <w:gridCol w:w="1694"/>
              <w:gridCol w:w="1449"/>
              <w:gridCol w:w="911"/>
              <w:gridCol w:w="705"/>
            </w:tblGrid>
            <w:tr w14:paraId="1BDCB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Align w:val="center"/>
                </w:tcPr>
                <w:p w14:paraId="56D2DA87">
                  <w:pPr>
                    <w:pStyle w:val="41"/>
                    <w:bidi w:val="0"/>
                    <w:rPr>
                      <w:b/>
                      <w:bCs/>
                      <w:color w:val="auto"/>
                      <w:highlight w:val="none"/>
                    </w:rPr>
                  </w:pPr>
                  <w:r>
                    <w:rPr>
                      <w:b/>
                      <w:bCs/>
                      <w:color w:val="auto"/>
                      <w:highlight w:val="none"/>
                    </w:rPr>
                    <w:t>类别</w:t>
                  </w:r>
                </w:p>
              </w:tc>
              <w:tc>
                <w:tcPr>
                  <w:tcW w:w="940" w:type="pct"/>
                  <w:vAlign w:val="center"/>
                </w:tcPr>
                <w:p w14:paraId="3C590A27">
                  <w:pPr>
                    <w:pStyle w:val="41"/>
                    <w:bidi w:val="0"/>
                    <w:rPr>
                      <w:b/>
                      <w:bCs/>
                      <w:color w:val="auto"/>
                      <w:highlight w:val="none"/>
                    </w:rPr>
                  </w:pPr>
                  <w:r>
                    <w:rPr>
                      <w:b/>
                      <w:bCs/>
                      <w:color w:val="auto"/>
                      <w:highlight w:val="none"/>
                    </w:rPr>
                    <w:t>污染源</w:t>
                  </w:r>
                </w:p>
              </w:tc>
              <w:tc>
                <w:tcPr>
                  <w:tcW w:w="978" w:type="pct"/>
                  <w:vAlign w:val="center"/>
                </w:tcPr>
                <w:p w14:paraId="620F5A31">
                  <w:pPr>
                    <w:pStyle w:val="41"/>
                    <w:bidi w:val="0"/>
                    <w:rPr>
                      <w:b/>
                      <w:bCs/>
                      <w:color w:val="auto"/>
                      <w:highlight w:val="none"/>
                    </w:rPr>
                  </w:pPr>
                  <w:r>
                    <w:rPr>
                      <w:b/>
                      <w:bCs/>
                      <w:color w:val="auto"/>
                      <w:highlight w:val="none"/>
                    </w:rPr>
                    <w:t>污染物</w:t>
                  </w:r>
                </w:p>
              </w:tc>
              <w:tc>
                <w:tcPr>
                  <w:tcW w:w="997" w:type="pct"/>
                  <w:vAlign w:val="center"/>
                </w:tcPr>
                <w:p w14:paraId="6F83FABF">
                  <w:pPr>
                    <w:pStyle w:val="41"/>
                    <w:bidi w:val="0"/>
                    <w:rPr>
                      <w:b/>
                      <w:bCs/>
                      <w:color w:val="auto"/>
                      <w:highlight w:val="none"/>
                    </w:rPr>
                  </w:pPr>
                  <w:r>
                    <w:rPr>
                      <w:b/>
                      <w:bCs/>
                      <w:color w:val="auto"/>
                      <w:highlight w:val="none"/>
                    </w:rPr>
                    <w:t>治理措施</w:t>
                  </w:r>
                </w:p>
              </w:tc>
              <w:tc>
                <w:tcPr>
                  <w:tcW w:w="853" w:type="pct"/>
                  <w:vAlign w:val="center"/>
                </w:tcPr>
                <w:p w14:paraId="5E8CF67F">
                  <w:pPr>
                    <w:pStyle w:val="41"/>
                    <w:bidi w:val="0"/>
                    <w:rPr>
                      <w:b/>
                      <w:bCs/>
                      <w:color w:val="auto"/>
                      <w:highlight w:val="none"/>
                    </w:rPr>
                  </w:pPr>
                  <w:r>
                    <w:rPr>
                      <w:b/>
                      <w:bCs/>
                      <w:color w:val="auto"/>
                      <w:highlight w:val="none"/>
                    </w:rPr>
                    <w:t>处理效果、执行标准或拟达要求</w:t>
                  </w:r>
                </w:p>
              </w:tc>
              <w:tc>
                <w:tcPr>
                  <w:tcW w:w="536" w:type="pct"/>
                  <w:vAlign w:val="center"/>
                </w:tcPr>
                <w:p w14:paraId="6DD09136">
                  <w:pPr>
                    <w:pStyle w:val="41"/>
                    <w:bidi w:val="0"/>
                    <w:rPr>
                      <w:rFonts w:hint="eastAsia"/>
                      <w:b/>
                      <w:bCs/>
                      <w:color w:val="auto"/>
                      <w:highlight w:val="none"/>
                      <w:lang w:eastAsia="zh-CN"/>
                    </w:rPr>
                  </w:pPr>
                  <w:r>
                    <w:rPr>
                      <w:b/>
                      <w:bCs/>
                      <w:color w:val="auto"/>
                      <w:highlight w:val="none"/>
                    </w:rPr>
                    <w:t>环保投资</w:t>
                  </w:r>
                  <w:r>
                    <w:rPr>
                      <w:rFonts w:hint="eastAsia"/>
                      <w:b/>
                      <w:bCs/>
                      <w:color w:val="auto"/>
                      <w:highlight w:val="none"/>
                      <w:lang w:eastAsia="zh-CN"/>
                    </w:rPr>
                    <w:t>（</w:t>
                  </w:r>
                  <w:r>
                    <w:rPr>
                      <w:b/>
                      <w:bCs/>
                      <w:color w:val="auto"/>
                      <w:highlight w:val="none"/>
                    </w:rPr>
                    <w:t>万元</w:t>
                  </w:r>
                  <w:r>
                    <w:rPr>
                      <w:rFonts w:hint="eastAsia"/>
                      <w:b/>
                      <w:bCs/>
                      <w:color w:val="auto"/>
                      <w:highlight w:val="none"/>
                      <w:lang w:eastAsia="zh-CN"/>
                    </w:rPr>
                    <w:t>）</w:t>
                  </w:r>
                </w:p>
              </w:tc>
              <w:tc>
                <w:tcPr>
                  <w:tcW w:w="415" w:type="pct"/>
                  <w:vAlign w:val="center"/>
                </w:tcPr>
                <w:p w14:paraId="31ABBF9E">
                  <w:pPr>
                    <w:pStyle w:val="41"/>
                    <w:bidi w:val="0"/>
                    <w:rPr>
                      <w:b/>
                      <w:bCs/>
                      <w:color w:val="auto"/>
                      <w:highlight w:val="none"/>
                    </w:rPr>
                  </w:pPr>
                  <w:r>
                    <w:rPr>
                      <w:b/>
                      <w:bCs/>
                      <w:color w:val="auto"/>
                      <w:highlight w:val="none"/>
                    </w:rPr>
                    <w:t>完成时间</w:t>
                  </w:r>
                </w:p>
              </w:tc>
            </w:tr>
            <w:tr w14:paraId="531E0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278" w:type="pct"/>
                  <w:vMerge w:val="restart"/>
                  <w:vAlign w:val="center"/>
                </w:tcPr>
                <w:p w14:paraId="1D060685">
                  <w:pPr>
                    <w:pStyle w:val="41"/>
                    <w:bidi w:val="0"/>
                    <w:rPr>
                      <w:rFonts w:hint="eastAsia"/>
                      <w:color w:val="auto"/>
                      <w:highlight w:val="none"/>
                      <w:lang w:eastAsia="zh-CN"/>
                    </w:rPr>
                  </w:pPr>
                  <w:r>
                    <w:rPr>
                      <w:rFonts w:hint="eastAsia"/>
                      <w:color w:val="auto"/>
                      <w:highlight w:val="none"/>
                      <w:lang w:val="en-US" w:eastAsia="zh-CN"/>
                    </w:rPr>
                    <w:t>废水</w:t>
                  </w:r>
                </w:p>
              </w:tc>
              <w:tc>
                <w:tcPr>
                  <w:tcW w:w="940" w:type="pct"/>
                  <w:shd w:val="clear" w:color="auto" w:fill="auto"/>
                  <w:vAlign w:val="center"/>
                </w:tcPr>
                <w:p w14:paraId="3881F5BB">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仪器及器皿后续清洗废水</w:t>
                  </w:r>
                </w:p>
              </w:tc>
              <w:tc>
                <w:tcPr>
                  <w:tcW w:w="978" w:type="pct"/>
                  <w:shd w:val="clear" w:color="auto" w:fill="auto"/>
                  <w:vAlign w:val="center"/>
                </w:tcPr>
                <w:p w14:paraId="62EF3C8B">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pH、</w:t>
                  </w:r>
                  <w:r>
                    <w:rPr>
                      <w:color w:val="auto"/>
                      <w:highlight w:val="none"/>
                    </w:rPr>
                    <w:t>COD、SS、NH</w:t>
                  </w:r>
                  <w:r>
                    <w:rPr>
                      <w:color w:val="auto"/>
                      <w:highlight w:val="none"/>
                      <w:vertAlign w:val="subscript"/>
                    </w:rPr>
                    <w:t>3</w:t>
                  </w:r>
                  <w:r>
                    <w:rPr>
                      <w:color w:val="auto"/>
                      <w:highlight w:val="none"/>
                    </w:rPr>
                    <w:t>-N、</w:t>
                  </w:r>
                  <w:r>
                    <w:rPr>
                      <w:rFonts w:hint="eastAsia"/>
                      <w:color w:val="auto"/>
                      <w:highlight w:val="none"/>
                    </w:rPr>
                    <w:t>TN</w:t>
                  </w:r>
                  <w:r>
                    <w:rPr>
                      <w:rFonts w:hint="eastAsia"/>
                      <w:color w:val="auto"/>
                      <w:highlight w:val="none"/>
                      <w:lang w:eastAsia="zh-CN"/>
                    </w:rPr>
                    <w:t>、</w:t>
                  </w:r>
                  <w:r>
                    <w:rPr>
                      <w:rFonts w:hint="eastAsia"/>
                      <w:color w:val="auto"/>
                      <w:highlight w:val="none"/>
                      <w:lang w:val="en-US" w:eastAsia="zh-CN"/>
                    </w:rPr>
                    <w:t>TP</w:t>
                  </w:r>
                </w:p>
              </w:tc>
              <w:tc>
                <w:tcPr>
                  <w:tcW w:w="997" w:type="pct"/>
                  <w:vMerge w:val="restart"/>
                  <w:vAlign w:val="center"/>
                </w:tcPr>
                <w:p w14:paraId="280962F3">
                  <w:pPr>
                    <w:pStyle w:val="41"/>
                    <w:bidi w:val="0"/>
                    <w:rPr>
                      <w:rFonts w:hint="default"/>
                      <w:color w:val="auto"/>
                      <w:highlight w:val="none"/>
                      <w:lang w:val="en-US" w:eastAsia="zh-CN"/>
                    </w:rPr>
                  </w:pPr>
                  <w:r>
                    <w:rPr>
                      <w:rFonts w:hint="eastAsia"/>
                      <w:color w:val="auto"/>
                      <w:highlight w:val="none"/>
                      <w:lang w:val="en-US" w:eastAsia="zh-CN"/>
                    </w:rPr>
                    <w:t>25t/d污水处理站（1号楼）TW003，处理工艺：中和+混凝沉淀+水解酸化+AO</w:t>
                  </w:r>
                </w:p>
              </w:tc>
              <w:tc>
                <w:tcPr>
                  <w:tcW w:w="853" w:type="pct"/>
                  <w:vMerge w:val="restart"/>
                  <w:vAlign w:val="center"/>
                </w:tcPr>
                <w:p w14:paraId="201DEECF">
                  <w:pPr>
                    <w:pStyle w:val="41"/>
                    <w:bidi w:val="0"/>
                    <w:rPr>
                      <w:color w:val="auto"/>
                      <w:highlight w:val="none"/>
                    </w:rPr>
                  </w:pPr>
                  <w:r>
                    <w:rPr>
                      <w:rFonts w:hint="eastAsia"/>
                      <w:color w:val="auto"/>
                      <w:highlight w:val="none"/>
                      <w:lang w:val="en-US" w:eastAsia="zh-CN"/>
                    </w:rPr>
                    <w:t>高新区</w:t>
                  </w:r>
                  <w:r>
                    <w:rPr>
                      <w:rFonts w:hint="eastAsia"/>
                      <w:color w:val="auto"/>
                      <w:highlight w:val="none"/>
                      <w:lang w:eastAsia="zh-CN"/>
                    </w:rPr>
                    <w:t>污水处理厂</w:t>
                  </w:r>
                  <w:r>
                    <w:rPr>
                      <w:rFonts w:hint="eastAsia"/>
                      <w:color w:val="auto"/>
                      <w:highlight w:val="none"/>
                    </w:rPr>
                    <w:t>接管标准</w:t>
                  </w:r>
                </w:p>
              </w:tc>
              <w:tc>
                <w:tcPr>
                  <w:tcW w:w="536" w:type="pct"/>
                  <w:vMerge w:val="restart"/>
                  <w:vAlign w:val="center"/>
                </w:tcPr>
                <w:p w14:paraId="140E0061">
                  <w:pPr>
                    <w:pStyle w:val="41"/>
                    <w:bidi w:val="0"/>
                    <w:rPr>
                      <w:rFonts w:hint="default"/>
                      <w:color w:val="auto"/>
                      <w:highlight w:val="none"/>
                      <w:lang w:val="en-US" w:eastAsia="zh-CN"/>
                    </w:rPr>
                  </w:pPr>
                  <w:r>
                    <w:rPr>
                      <w:rFonts w:hint="eastAsia"/>
                      <w:color w:val="auto"/>
                      <w:highlight w:val="none"/>
                      <w:lang w:val="en-US" w:eastAsia="zh-CN"/>
                    </w:rPr>
                    <w:t>50</w:t>
                  </w:r>
                </w:p>
              </w:tc>
              <w:tc>
                <w:tcPr>
                  <w:tcW w:w="415" w:type="pct"/>
                  <w:vMerge w:val="restart"/>
                  <w:vAlign w:val="center"/>
                </w:tcPr>
                <w:p w14:paraId="5B75ACEC">
                  <w:pPr>
                    <w:pStyle w:val="41"/>
                    <w:bidi w:val="0"/>
                    <w:rPr>
                      <w:color w:val="auto"/>
                      <w:highlight w:val="none"/>
                    </w:rPr>
                  </w:pPr>
                  <w:r>
                    <w:rPr>
                      <w:color w:val="auto"/>
                      <w:highlight w:val="none"/>
                    </w:rPr>
                    <w:t>与建设项目主体工程同时设计、同时施工、同时投产使用</w:t>
                  </w:r>
                </w:p>
              </w:tc>
            </w:tr>
            <w:tr w14:paraId="5B3C1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41571E29">
                  <w:pPr>
                    <w:pStyle w:val="41"/>
                    <w:bidi w:val="0"/>
                    <w:rPr>
                      <w:color w:val="auto"/>
                      <w:highlight w:val="none"/>
                    </w:rPr>
                  </w:pPr>
                </w:p>
              </w:tc>
              <w:tc>
                <w:tcPr>
                  <w:tcW w:w="940" w:type="pct"/>
                  <w:shd w:val="clear" w:color="auto" w:fill="auto"/>
                  <w:vAlign w:val="center"/>
                </w:tcPr>
                <w:p w14:paraId="266BA29B">
                  <w:pPr>
                    <w:pStyle w:val="41"/>
                    <w:bidi w:val="0"/>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实验设备废水</w:t>
                  </w:r>
                </w:p>
              </w:tc>
              <w:tc>
                <w:tcPr>
                  <w:tcW w:w="978" w:type="pct"/>
                  <w:shd w:val="clear" w:color="auto" w:fill="auto"/>
                  <w:vAlign w:val="center"/>
                </w:tcPr>
                <w:p w14:paraId="4E94CE5B">
                  <w:pPr>
                    <w:pStyle w:val="41"/>
                    <w:bidi w:val="0"/>
                    <w:jc w:val="center"/>
                    <w:rPr>
                      <w:rFonts w:hint="default" w:ascii="Times New Roman" w:hAnsi="Times New Roman" w:eastAsia="宋体" w:cs="Times New Roman"/>
                      <w:color w:val="auto"/>
                      <w:kern w:val="0"/>
                      <w:sz w:val="21"/>
                      <w:szCs w:val="24"/>
                      <w:highlight w:val="none"/>
                      <w:lang w:val="en-US" w:eastAsia="zh-CN" w:bidi="ar-SA"/>
                    </w:rPr>
                  </w:pPr>
                  <w:r>
                    <w:rPr>
                      <w:color w:val="auto"/>
                      <w:highlight w:val="none"/>
                    </w:rPr>
                    <w:t>COD、SS</w:t>
                  </w:r>
                </w:p>
              </w:tc>
              <w:tc>
                <w:tcPr>
                  <w:tcW w:w="997" w:type="pct"/>
                  <w:vMerge w:val="continue"/>
                  <w:vAlign w:val="center"/>
                </w:tcPr>
                <w:p w14:paraId="44330805">
                  <w:pPr>
                    <w:pStyle w:val="41"/>
                    <w:bidi w:val="0"/>
                    <w:rPr>
                      <w:rFonts w:hint="default" w:eastAsia="宋体"/>
                      <w:color w:val="auto"/>
                      <w:highlight w:val="none"/>
                      <w:lang w:val="en-US" w:eastAsia="zh-CN"/>
                    </w:rPr>
                  </w:pPr>
                </w:p>
              </w:tc>
              <w:tc>
                <w:tcPr>
                  <w:tcW w:w="853" w:type="pct"/>
                  <w:vMerge w:val="continue"/>
                  <w:vAlign w:val="center"/>
                </w:tcPr>
                <w:p w14:paraId="4E6DEE92">
                  <w:pPr>
                    <w:pStyle w:val="41"/>
                    <w:bidi w:val="0"/>
                    <w:rPr>
                      <w:color w:val="auto"/>
                      <w:highlight w:val="none"/>
                    </w:rPr>
                  </w:pPr>
                </w:p>
              </w:tc>
              <w:tc>
                <w:tcPr>
                  <w:tcW w:w="536" w:type="pct"/>
                  <w:vMerge w:val="continue"/>
                  <w:vAlign w:val="center"/>
                </w:tcPr>
                <w:p w14:paraId="371E6372">
                  <w:pPr>
                    <w:pStyle w:val="41"/>
                    <w:bidi w:val="0"/>
                    <w:rPr>
                      <w:rFonts w:hint="default"/>
                      <w:color w:val="auto"/>
                      <w:highlight w:val="none"/>
                      <w:lang w:val="en-US" w:eastAsia="zh-CN"/>
                    </w:rPr>
                  </w:pPr>
                </w:p>
              </w:tc>
              <w:tc>
                <w:tcPr>
                  <w:tcW w:w="415" w:type="pct"/>
                  <w:vMerge w:val="continue"/>
                  <w:vAlign w:val="center"/>
                </w:tcPr>
                <w:p w14:paraId="68EB621E">
                  <w:pPr>
                    <w:pStyle w:val="41"/>
                    <w:bidi w:val="0"/>
                    <w:rPr>
                      <w:color w:val="auto"/>
                      <w:highlight w:val="none"/>
                    </w:rPr>
                  </w:pPr>
                </w:p>
              </w:tc>
            </w:tr>
            <w:tr w14:paraId="5BCF0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6DD01D4D">
                  <w:pPr>
                    <w:pStyle w:val="41"/>
                    <w:bidi w:val="0"/>
                    <w:rPr>
                      <w:color w:val="auto"/>
                      <w:highlight w:val="none"/>
                    </w:rPr>
                  </w:pPr>
                </w:p>
              </w:tc>
              <w:tc>
                <w:tcPr>
                  <w:tcW w:w="940" w:type="pct"/>
                  <w:shd w:val="clear" w:color="auto" w:fill="auto"/>
                  <w:vAlign w:val="center"/>
                </w:tcPr>
                <w:p w14:paraId="2834007B">
                  <w:pPr>
                    <w:pStyle w:val="41"/>
                    <w:bidi w:val="0"/>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喷淋塔废水</w:t>
                  </w:r>
                </w:p>
              </w:tc>
              <w:tc>
                <w:tcPr>
                  <w:tcW w:w="978" w:type="pct"/>
                  <w:shd w:val="clear" w:color="auto" w:fill="auto"/>
                  <w:vAlign w:val="center"/>
                </w:tcPr>
                <w:p w14:paraId="1160D801">
                  <w:pPr>
                    <w:pStyle w:val="41"/>
                    <w:bidi w:val="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pH、</w:t>
                  </w:r>
                  <w:r>
                    <w:rPr>
                      <w:color w:val="auto"/>
                      <w:highlight w:val="none"/>
                    </w:rPr>
                    <w:t>COD、SS、NH</w:t>
                  </w:r>
                  <w:r>
                    <w:rPr>
                      <w:color w:val="auto"/>
                      <w:highlight w:val="none"/>
                      <w:vertAlign w:val="subscript"/>
                    </w:rPr>
                    <w:t>3</w:t>
                  </w:r>
                  <w:r>
                    <w:rPr>
                      <w:color w:val="auto"/>
                      <w:highlight w:val="none"/>
                    </w:rPr>
                    <w:t>-N、</w:t>
                  </w:r>
                  <w:r>
                    <w:rPr>
                      <w:rFonts w:hint="eastAsia"/>
                      <w:color w:val="auto"/>
                      <w:highlight w:val="none"/>
                    </w:rPr>
                    <w:t>TN</w:t>
                  </w:r>
                  <w:r>
                    <w:rPr>
                      <w:rFonts w:hint="eastAsia"/>
                      <w:color w:val="auto"/>
                      <w:highlight w:val="none"/>
                      <w:lang w:eastAsia="zh-CN"/>
                    </w:rPr>
                    <w:t>、</w:t>
                  </w:r>
                  <w:r>
                    <w:rPr>
                      <w:rFonts w:hint="eastAsia"/>
                      <w:color w:val="auto"/>
                      <w:highlight w:val="none"/>
                      <w:lang w:val="en-US" w:eastAsia="zh-CN"/>
                    </w:rPr>
                    <w:t>TP</w:t>
                  </w:r>
                </w:p>
              </w:tc>
              <w:tc>
                <w:tcPr>
                  <w:tcW w:w="997" w:type="pct"/>
                  <w:vMerge w:val="continue"/>
                  <w:vAlign w:val="center"/>
                </w:tcPr>
                <w:p w14:paraId="551628E3">
                  <w:pPr>
                    <w:pStyle w:val="41"/>
                    <w:bidi w:val="0"/>
                    <w:rPr>
                      <w:color w:val="auto"/>
                      <w:highlight w:val="none"/>
                    </w:rPr>
                  </w:pPr>
                </w:p>
              </w:tc>
              <w:tc>
                <w:tcPr>
                  <w:tcW w:w="853" w:type="pct"/>
                  <w:vMerge w:val="continue"/>
                  <w:vAlign w:val="center"/>
                </w:tcPr>
                <w:p w14:paraId="4E0A9AB3">
                  <w:pPr>
                    <w:pStyle w:val="41"/>
                    <w:bidi w:val="0"/>
                    <w:rPr>
                      <w:color w:val="auto"/>
                      <w:highlight w:val="none"/>
                    </w:rPr>
                  </w:pPr>
                </w:p>
              </w:tc>
              <w:tc>
                <w:tcPr>
                  <w:tcW w:w="536" w:type="pct"/>
                  <w:vMerge w:val="continue"/>
                  <w:vAlign w:val="center"/>
                </w:tcPr>
                <w:p w14:paraId="479A2306">
                  <w:pPr>
                    <w:pStyle w:val="41"/>
                    <w:bidi w:val="0"/>
                    <w:rPr>
                      <w:color w:val="auto"/>
                      <w:highlight w:val="none"/>
                    </w:rPr>
                  </w:pPr>
                </w:p>
              </w:tc>
              <w:tc>
                <w:tcPr>
                  <w:tcW w:w="415" w:type="pct"/>
                  <w:vMerge w:val="continue"/>
                  <w:vAlign w:val="center"/>
                </w:tcPr>
                <w:p w14:paraId="30B2ED37">
                  <w:pPr>
                    <w:pStyle w:val="41"/>
                    <w:bidi w:val="0"/>
                    <w:rPr>
                      <w:color w:val="auto"/>
                      <w:highlight w:val="none"/>
                    </w:rPr>
                  </w:pPr>
                </w:p>
              </w:tc>
            </w:tr>
            <w:tr w14:paraId="4B494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1E449E1B">
                  <w:pPr>
                    <w:pStyle w:val="41"/>
                    <w:bidi w:val="0"/>
                    <w:rPr>
                      <w:color w:val="auto"/>
                      <w:highlight w:val="none"/>
                    </w:rPr>
                  </w:pPr>
                </w:p>
              </w:tc>
              <w:tc>
                <w:tcPr>
                  <w:tcW w:w="940" w:type="pct"/>
                  <w:shd w:val="clear" w:color="auto" w:fill="auto"/>
                  <w:vAlign w:val="center"/>
                </w:tcPr>
                <w:p w14:paraId="6D870CEF">
                  <w:pPr>
                    <w:pStyle w:val="41"/>
                    <w:bidi w:val="0"/>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地面清洁废水</w:t>
                  </w:r>
                </w:p>
              </w:tc>
              <w:tc>
                <w:tcPr>
                  <w:tcW w:w="978" w:type="pct"/>
                  <w:shd w:val="clear" w:color="auto" w:fill="auto"/>
                  <w:vAlign w:val="center"/>
                </w:tcPr>
                <w:p w14:paraId="2A3F6D8E">
                  <w:pPr>
                    <w:pStyle w:val="41"/>
                    <w:bidi w:val="0"/>
                    <w:rPr>
                      <w:rFonts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pH、</w:t>
                  </w:r>
                  <w:r>
                    <w:rPr>
                      <w:color w:val="auto"/>
                      <w:highlight w:val="none"/>
                    </w:rPr>
                    <w:t>COD、SS、NH</w:t>
                  </w:r>
                  <w:r>
                    <w:rPr>
                      <w:color w:val="auto"/>
                      <w:highlight w:val="none"/>
                      <w:vertAlign w:val="subscript"/>
                    </w:rPr>
                    <w:t>3</w:t>
                  </w:r>
                  <w:r>
                    <w:rPr>
                      <w:color w:val="auto"/>
                      <w:highlight w:val="none"/>
                    </w:rPr>
                    <w:t>-N、</w:t>
                  </w:r>
                  <w:r>
                    <w:rPr>
                      <w:rFonts w:hint="eastAsia"/>
                      <w:color w:val="auto"/>
                      <w:highlight w:val="none"/>
                    </w:rPr>
                    <w:t>TN</w:t>
                  </w:r>
                  <w:r>
                    <w:rPr>
                      <w:rFonts w:hint="eastAsia"/>
                      <w:color w:val="auto"/>
                      <w:highlight w:val="none"/>
                      <w:lang w:eastAsia="zh-CN"/>
                    </w:rPr>
                    <w:t>、</w:t>
                  </w:r>
                  <w:r>
                    <w:rPr>
                      <w:rFonts w:hint="eastAsia"/>
                      <w:color w:val="auto"/>
                      <w:highlight w:val="none"/>
                      <w:lang w:val="en-US" w:eastAsia="zh-CN"/>
                    </w:rPr>
                    <w:t>TP</w:t>
                  </w:r>
                </w:p>
              </w:tc>
              <w:tc>
                <w:tcPr>
                  <w:tcW w:w="997" w:type="pct"/>
                  <w:vMerge w:val="continue"/>
                  <w:vAlign w:val="center"/>
                </w:tcPr>
                <w:p w14:paraId="5AC28D99">
                  <w:pPr>
                    <w:pStyle w:val="41"/>
                    <w:bidi w:val="0"/>
                    <w:rPr>
                      <w:rFonts w:hint="eastAsia"/>
                      <w:color w:val="auto"/>
                      <w:highlight w:val="none"/>
                      <w:lang w:val="en-US" w:eastAsia="zh-CN"/>
                    </w:rPr>
                  </w:pPr>
                </w:p>
              </w:tc>
              <w:tc>
                <w:tcPr>
                  <w:tcW w:w="853" w:type="pct"/>
                  <w:vMerge w:val="continue"/>
                  <w:vAlign w:val="center"/>
                </w:tcPr>
                <w:p w14:paraId="6711D5EF">
                  <w:pPr>
                    <w:pStyle w:val="41"/>
                    <w:bidi w:val="0"/>
                    <w:rPr>
                      <w:color w:val="auto"/>
                      <w:highlight w:val="none"/>
                    </w:rPr>
                  </w:pPr>
                </w:p>
              </w:tc>
              <w:tc>
                <w:tcPr>
                  <w:tcW w:w="536" w:type="pct"/>
                  <w:vMerge w:val="continue"/>
                  <w:vAlign w:val="center"/>
                </w:tcPr>
                <w:p w14:paraId="419F94D9">
                  <w:pPr>
                    <w:pStyle w:val="41"/>
                    <w:bidi w:val="0"/>
                    <w:rPr>
                      <w:rFonts w:hint="eastAsia"/>
                      <w:color w:val="auto"/>
                      <w:highlight w:val="none"/>
                      <w:lang w:val="en-US" w:eastAsia="zh-CN"/>
                    </w:rPr>
                  </w:pPr>
                </w:p>
              </w:tc>
              <w:tc>
                <w:tcPr>
                  <w:tcW w:w="415" w:type="pct"/>
                  <w:vMerge w:val="continue"/>
                  <w:vAlign w:val="center"/>
                </w:tcPr>
                <w:p w14:paraId="15768EF6">
                  <w:pPr>
                    <w:pStyle w:val="41"/>
                    <w:bidi w:val="0"/>
                    <w:rPr>
                      <w:color w:val="auto"/>
                      <w:highlight w:val="none"/>
                    </w:rPr>
                  </w:pPr>
                </w:p>
              </w:tc>
            </w:tr>
            <w:tr w14:paraId="7160B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51859027">
                  <w:pPr>
                    <w:pStyle w:val="41"/>
                    <w:bidi w:val="0"/>
                    <w:rPr>
                      <w:color w:val="auto"/>
                      <w:highlight w:val="none"/>
                    </w:rPr>
                  </w:pPr>
                </w:p>
              </w:tc>
              <w:tc>
                <w:tcPr>
                  <w:tcW w:w="940" w:type="pct"/>
                  <w:shd w:val="clear" w:color="auto" w:fill="auto"/>
                  <w:vAlign w:val="center"/>
                </w:tcPr>
                <w:p w14:paraId="07C02CE7">
                  <w:pPr>
                    <w:pStyle w:val="41"/>
                    <w:bidi w:val="0"/>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纯水制备浓水</w:t>
                  </w:r>
                </w:p>
              </w:tc>
              <w:tc>
                <w:tcPr>
                  <w:tcW w:w="978" w:type="pct"/>
                  <w:shd w:val="clear" w:color="auto" w:fill="auto"/>
                  <w:vAlign w:val="center"/>
                </w:tcPr>
                <w:p w14:paraId="0F82F3E2">
                  <w:pPr>
                    <w:pStyle w:val="41"/>
                    <w:bidi w:val="0"/>
                    <w:rPr>
                      <w:rFonts w:hint="eastAsia" w:ascii="Times New Roman" w:hAnsi="Times New Roman" w:eastAsia="宋体" w:cs="Times New Roman"/>
                      <w:color w:val="auto"/>
                      <w:kern w:val="0"/>
                      <w:sz w:val="21"/>
                      <w:szCs w:val="24"/>
                      <w:highlight w:val="none"/>
                      <w:lang w:val="en-US" w:eastAsia="zh-CN" w:bidi="ar-SA"/>
                    </w:rPr>
                  </w:pPr>
                  <w:r>
                    <w:rPr>
                      <w:color w:val="auto"/>
                      <w:highlight w:val="none"/>
                    </w:rPr>
                    <w:t>COD、SS</w:t>
                  </w:r>
                </w:p>
              </w:tc>
              <w:tc>
                <w:tcPr>
                  <w:tcW w:w="997" w:type="pct"/>
                  <w:vMerge w:val="continue"/>
                  <w:vAlign w:val="center"/>
                </w:tcPr>
                <w:p w14:paraId="294F5D27">
                  <w:pPr>
                    <w:pStyle w:val="41"/>
                    <w:bidi w:val="0"/>
                    <w:rPr>
                      <w:rFonts w:hint="default"/>
                      <w:color w:val="auto"/>
                      <w:highlight w:val="none"/>
                      <w:lang w:val="en-US" w:eastAsia="zh-CN"/>
                    </w:rPr>
                  </w:pPr>
                </w:p>
              </w:tc>
              <w:tc>
                <w:tcPr>
                  <w:tcW w:w="853" w:type="pct"/>
                  <w:vMerge w:val="continue"/>
                  <w:vAlign w:val="center"/>
                </w:tcPr>
                <w:p w14:paraId="241407F2">
                  <w:pPr>
                    <w:pStyle w:val="41"/>
                    <w:bidi w:val="0"/>
                    <w:rPr>
                      <w:color w:val="auto"/>
                      <w:highlight w:val="none"/>
                    </w:rPr>
                  </w:pPr>
                </w:p>
              </w:tc>
              <w:tc>
                <w:tcPr>
                  <w:tcW w:w="536" w:type="pct"/>
                  <w:vMerge w:val="continue"/>
                  <w:vAlign w:val="center"/>
                </w:tcPr>
                <w:p w14:paraId="04814BD0">
                  <w:pPr>
                    <w:pStyle w:val="41"/>
                    <w:bidi w:val="0"/>
                    <w:rPr>
                      <w:rFonts w:hint="eastAsia"/>
                      <w:color w:val="auto"/>
                      <w:highlight w:val="none"/>
                      <w:lang w:val="en-US" w:eastAsia="zh-CN"/>
                    </w:rPr>
                  </w:pPr>
                </w:p>
              </w:tc>
              <w:tc>
                <w:tcPr>
                  <w:tcW w:w="415" w:type="pct"/>
                  <w:vMerge w:val="continue"/>
                  <w:vAlign w:val="center"/>
                </w:tcPr>
                <w:p w14:paraId="15AF707B">
                  <w:pPr>
                    <w:pStyle w:val="41"/>
                    <w:bidi w:val="0"/>
                    <w:rPr>
                      <w:color w:val="auto"/>
                      <w:highlight w:val="none"/>
                    </w:rPr>
                  </w:pPr>
                </w:p>
              </w:tc>
            </w:tr>
            <w:tr w14:paraId="6BDDD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6998E25E">
                  <w:pPr>
                    <w:pStyle w:val="41"/>
                    <w:bidi w:val="0"/>
                    <w:rPr>
                      <w:color w:val="auto"/>
                      <w:highlight w:val="none"/>
                    </w:rPr>
                  </w:pPr>
                </w:p>
              </w:tc>
              <w:tc>
                <w:tcPr>
                  <w:tcW w:w="940" w:type="pct"/>
                  <w:shd w:val="clear" w:color="auto" w:fill="auto"/>
                  <w:vAlign w:val="center"/>
                </w:tcPr>
                <w:p w14:paraId="6988F148">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生活污水</w:t>
                  </w:r>
                </w:p>
              </w:tc>
              <w:tc>
                <w:tcPr>
                  <w:tcW w:w="978" w:type="pct"/>
                  <w:shd w:val="clear" w:color="auto" w:fill="auto"/>
                  <w:vAlign w:val="center"/>
                </w:tcPr>
                <w:p w14:paraId="58ABD77F">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pH、</w:t>
                  </w:r>
                  <w:r>
                    <w:rPr>
                      <w:color w:val="auto"/>
                      <w:highlight w:val="none"/>
                    </w:rPr>
                    <w:t>COD、SS、NH</w:t>
                  </w:r>
                  <w:r>
                    <w:rPr>
                      <w:color w:val="auto"/>
                      <w:highlight w:val="none"/>
                      <w:vertAlign w:val="subscript"/>
                    </w:rPr>
                    <w:t>3</w:t>
                  </w:r>
                  <w:r>
                    <w:rPr>
                      <w:color w:val="auto"/>
                      <w:highlight w:val="none"/>
                    </w:rPr>
                    <w:t>-N、</w:t>
                  </w:r>
                  <w:r>
                    <w:rPr>
                      <w:rFonts w:hint="eastAsia"/>
                      <w:color w:val="auto"/>
                      <w:highlight w:val="none"/>
                    </w:rPr>
                    <w:t>TN</w:t>
                  </w:r>
                  <w:r>
                    <w:rPr>
                      <w:rFonts w:hint="eastAsia"/>
                      <w:color w:val="auto"/>
                      <w:highlight w:val="none"/>
                      <w:lang w:eastAsia="zh-CN"/>
                    </w:rPr>
                    <w:t>、</w:t>
                  </w:r>
                  <w:r>
                    <w:rPr>
                      <w:rFonts w:hint="eastAsia"/>
                      <w:color w:val="auto"/>
                      <w:highlight w:val="none"/>
                      <w:lang w:val="en-US" w:eastAsia="zh-CN"/>
                    </w:rPr>
                    <w:t>TP</w:t>
                  </w:r>
                </w:p>
              </w:tc>
              <w:tc>
                <w:tcPr>
                  <w:tcW w:w="997" w:type="pct"/>
                  <w:vAlign w:val="center"/>
                </w:tcPr>
                <w:p w14:paraId="0CD65D1E">
                  <w:pPr>
                    <w:pStyle w:val="41"/>
                    <w:bidi w:val="0"/>
                    <w:rPr>
                      <w:rFonts w:hint="eastAsia"/>
                      <w:color w:val="auto"/>
                      <w:highlight w:val="none"/>
                      <w:lang w:val="en-US" w:eastAsia="zh-CN"/>
                    </w:rPr>
                  </w:pPr>
                  <w:r>
                    <w:rPr>
                      <w:rFonts w:hint="eastAsia"/>
                      <w:color w:val="auto"/>
                      <w:highlight w:val="none"/>
                      <w:lang w:val="en-US" w:eastAsia="zh-CN"/>
                    </w:rPr>
                    <w:t>30m</w:t>
                  </w:r>
                  <w:r>
                    <w:rPr>
                      <w:rFonts w:hint="eastAsia"/>
                      <w:color w:val="auto"/>
                      <w:highlight w:val="none"/>
                      <w:vertAlign w:val="superscript"/>
                      <w:lang w:val="en-US" w:eastAsia="zh-CN"/>
                    </w:rPr>
                    <w:t>3</w:t>
                  </w:r>
                  <w:r>
                    <w:rPr>
                      <w:rFonts w:hint="eastAsia"/>
                      <w:color w:val="auto"/>
                      <w:highlight w:val="none"/>
                      <w:lang w:val="en-US" w:eastAsia="zh-CN"/>
                    </w:rPr>
                    <w:t>化粪池TW001</w:t>
                  </w:r>
                </w:p>
              </w:tc>
              <w:tc>
                <w:tcPr>
                  <w:tcW w:w="853" w:type="pct"/>
                  <w:vMerge w:val="continue"/>
                  <w:vAlign w:val="center"/>
                </w:tcPr>
                <w:p w14:paraId="4594812E">
                  <w:pPr>
                    <w:pStyle w:val="41"/>
                    <w:bidi w:val="0"/>
                    <w:rPr>
                      <w:color w:val="auto"/>
                      <w:highlight w:val="none"/>
                    </w:rPr>
                  </w:pPr>
                </w:p>
              </w:tc>
              <w:tc>
                <w:tcPr>
                  <w:tcW w:w="536" w:type="pct"/>
                  <w:vAlign w:val="center"/>
                </w:tcPr>
                <w:p w14:paraId="3133CCDB">
                  <w:pPr>
                    <w:pStyle w:val="41"/>
                    <w:bidi w:val="0"/>
                    <w:rPr>
                      <w:rFonts w:hint="default"/>
                      <w:color w:val="auto"/>
                      <w:highlight w:val="none"/>
                      <w:lang w:val="en-US" w:eastAsia="zh-CN"/>
                    </w:rPr>
                  </w:pPr>
                  <w:r>
                    <w:rPr>
                      <w:rFonts w:hint="eastAsia"/>
                      <w:color w:val="auto"/>
                      <w:highlight w:val="none"/>
                      <w:lang w:val="en-US" w:eastAsia="zh-CN"/>
                    </w:rPr>
                    <w:t>/</w:t>
                  </w:r>
                </w:p>
              </w:tc>
              <w:tc>
                <w:tcPr>
                  <w:tcW w:w="415" w:type="pct"/>
                  <w:vMerge w:val="continue"/>
                  <w:vAlign w:val="center"/>
                </w:tcPr>
                <w:p w14:paraId="2CD93671">
                  <w:pPr>
                    <w:pStyle w:val="41"/>
                    <w:bidi w:val="0"/>
                    <w:rPr>
                      <w:color w:val="auto"/>
                      <w:highlight w:val="none"/>
                    </w:rPr>
                  </w:pPr>
                </w:p>
              </w:tc>
            </w:tr>
            <w:tr w14:paraId="6F750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restart"/>
                  <w:vAlign w:val="center"/>
                </w:tcPr>
                <w:p w14:paraId="3F358A9E">
                  <w:pPr>
                    <w:pStyle w:val="41"/>
                    <w:bidi w:val="0"/>
                    <w:rPr>
                      <w:color w:val="auto"/>
                      <w:highlight w:val="none"/>
                    </w:rPr>
                  </w:pPr>
                  <w:r>
                    <w:rPr>
                      <w:color w:val="auto"/>
                      <w:highlight w:val="none"/>
                    </w:rPr>
                    <w:t>废气</w:t>
                  </w:r>
                </w:p>
              </w:tc>
              <w:tc>
                <w:tcPr>
                  <w:tcW w:w="940" w:type="pct"/>
                  <w:shd w:val="clear" w:color="auto" w:fill="auto"/>
                  <w:vAlign w:val="center"/>
                </w:tcPr>
                <w:p w14:paraId="361C523C">
                  <w:pPr>
                    <w:pStyle w:val="41"/>
                    <w:bidi w:val="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生物安全柜废气</w:t>
                  </w:r>
                </w:p>
              </w:tc>
              <w:tc>
                <w:tcPr>
                  <w:tcW w:w="978" w:type="pct"/>
                  <w:shd w:val="clear" w:color="auto" w:fill="auto"/>
                  <w:vAlign w:val="center"/>
                </w:tcPr>
                <w:p w14:paraId="066BA8FF">
                  <w:pPr>
                    <w:pStyle w:val="41"/>
                    <w:bidi w:val="0"/>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olor w:val="auto"/>
                      <w:sz w:val="21"/>
                      <w:szCs w:val="21"/>
                      <w:highlight w:val="none"/>
                    </w:rPr>
                    <w:t>NH</w:t>
                  </w:r>
                  <w:r>
                    <w:rPr>
                      <w:rFonts w:hint="default"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臭气浓度</w:t>
                  </w:r>
                  <w:r>
                    <w:rPr>
                      <w:rFonts w:hint="eastAsia"/>
                      <w:color w:val="auto"/>
                      <w:sz w:val="21"/>
                      <w:szCs w:val="21"/>
                      <w:highlight w:val="none"/>
                      <w:lang w:val="en-US" w:eastAsia="zh-CN"/>
                    </w:rPr>
                    <w:t>、气溶胶</w:t>
                  </w:r>
                </w:p>
              </w:tc>
              <w:tc>
                <w:tcPr>
                  <w:tcW w:w="997" w:type="pct"/>
                  <w:shd w:val="clear" w:color="auto" w:fill="auto"/>
                  <w:vAlign w:val="center"/>
                </w:tcPr>
                <w:p w14:paraId="3AC961D2">
                  <w:pPr>
                    <w:pStyle w:val="41"/>
                    <w:bidi w:val="0"/>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olor w:val="auto"/>
                      <w:sz w:val="21"/>
                      <w:szCs w:val="21"/>
                      <w:highlight w:val="none"/>
                      <w:lang w:val="en-US" w:eastAsia="zh-CN"/>
                    </w:rPr>
                    <w:t>生物安全柜</w:t>
                  </w:r>
                  <w:r>
                    <w:rPr>
                      <w:rFonts w:hint="eastAsia"/>
                      <w:color w:val="auto"/>
                      <w:sz w:val="21"/>
                      <w:szCs w:val="21"/>
                      <w:highlight w:val="none"/>
                      <w:lang w:val="en-US" w:eastAsia="zh-CN"/>
                    </w:rPr>
                    <w:t>自带的</w:t>
                  </w:r>
                  <w:r>
                    <w:rPr>
                      <w:rFonts w:hint="eastAsia" w:ascii="Times New Roman" w:hAnsi="Times New Roman" w:eastAsia="宋体"/>
                      <w:color w:val="auto"/>
                      <w:sz w:val="21"/>
                      <w:szCs w:val="21"/>
                      <w:highlight w:val="none"/>
                      <w:lang w:eastAsia="zh-CN"/>
                    </w:rPr>
                    <w:t>ULPA过滤器</w:t>
                  </w:r>
                  <w:r>
                    <w:rPr>
                      <w:rFonts w:hint="eastAsia"/>
                      <w:color w:val="auto"/>
                      <w:sz w:val="21"/>
                      <w:szCs w:val="21"/>
                      <w:highlight w:val="none"/>
                      <w:lang w:val="en-US" w:eastAsia="zh-CN"/>
                    </w:rPr>
                    <w:t>处理后无组织排放</w:t>
                  </w:r>
                </w:p>
              </w:tc>
              <w:tc>
                <w:tcPr>
                  <w:tcW w:w="853" w:type="pct"/>
                  <w:vMerge w:val="restart"/>
                  <w:vAlign w:val="center"/>
                </w:tcPr>
                <w:p w14:paraId="4319DE86">
                  <w:pPr>
                    <w:pStyle w:val="41"/>
                    <w:bidi w:val="0"/>
                    <w:rPr>
                      <w:color w:val="auto"/>
                      <w:highlight w:val="none"/>
                    </w:rPr>
                  </w:pPr>
                  <w:r>
                    <w:rPr>
                      <w:rFonts w:hint="eastAsia"/>
                      <w:color w:val="auto"/>
                      <w:highlight w:val="none"/>
                    </w:rPr>
                    <w:t>《合成树脂工业污染物排放标准》（GB31572-2015）（2024年修改单）</w:t>
                  </w:r>
                  <w:r>
                    <w:rPr>
                      <w:rFonts w:hint="eastAsia"/>
                      <w:color w:val="auto"/>
                      <w:highlight w:val="none"/>
                      <w:lang w:eastAsia="zh-CN"/>
                    </w:rPr>
                    <w:t>；</w:t>
                  </w:r>
                  <w:r>
                    <w:rPr>
                      <w:color w:val="auto"/>
                      <w:highlight w:val="none"/>
                    </w:rPr>
                    <w:t>《大气污染物综合排放标准》（DB32/4041-2021</w:t>
                  </w:r>
                  <w:r>
                    <w:rPr>
                      <w:rFonts w:hint="eastAsia"/>
                      <w:color w:val="auto"/>
                      <w:highlight w:val="none"/>
                      <w:lang w:eastAsia="zh-CN"/>
                    </w:rPr>
                    <w:t>）</w:t>
                  </w:r>
                </w:p>
              </w:tc>
              <w:tc>
                <w:tcPr>
                  <w:tcW w:w="536" w:type="pct"/>
                  <w:vAlign w:val="center"/>
                </w:tcPr>
                <w:p w14:paraId="728DE00F">
                  <w:pPr>
                    <w:pStyle w:val="41"/>
                    <w:bidi w:val="0"/>
                    <w:rPr>
                      <w:rFonts w:hint="eastAsia"/>
                      <w:color w:val="auto"/>
                      <w:highlight w:val="none"/>
                      <w:lang w:eastAsia="zh-CN"/>
                    </w:rPr>
                  </w:pPr>
                  <w:r>
                    <w:rPr>
                      <w:rFonts w:hint="eastAsia"/>
                      <w:color w:val="auto"/>
                      <w:highlight w:val="none"/>
                      <w:lang w:val="en-US" w:eastAsia="zh-CN"/>
                    </w:rPr>
                    <w:t>/</w:t>
                  </w:r>
                </w:p>
              </w:tc>
              <w:tc>
                <w:tcPr>
                  <w:tcW w:w="415" w:type="pct"/>
                  <w:vMerge w:val="continue"/>
                  <w:vAlign w:val="center"/>
                </w:tcPr>
                <w:p w14:paraId="397CDA5A">
                  <w:pPr>
                    <w:pStyle w:val="41"/>
                    <w:bidi w:val="0"/>
                    <w:rPr>
                      <w:color w:val="auto"/>
                      <w:highlight w:val="none"/>
                    </w:rPr>
                  </w:pPr>
                </w:p>
              </w:tc>
            </w:tr>
            <w:tr w14:paraId="7D2E5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31F8F569">
                  <w:pPr>
                    <w:pStyle w:val="41"/>
                    <w:bidi w:val="0"/>
                    <w:rPr>
                      <w:color w:val="auto"/>
                      <w:highlight w:val="none"/>
                    </w:rPr>
                  </w:pPr>
                </w:p>
              </w:tc>
              <w:tc>
                <w:tcPr>
                  <w:tcW w:w="940" w:type="pct"/>
                  <w:shd w:val="clear" w:color="auto" w:fill="auto"/>
                  <w:vAlign w:val="center"/>
                </w:tcPr>
                <w:p w14:paraId="44A39626">
                  <w:pPr>
                    <w:pStyle w:val="41"/>
                    <w:bidi w:val="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试剂挥发废气</w:t>
                  </w:r>
                </w:p>
              </w:tc>
              <w:tc>
                <w:tcPr>
                  <w:tcW w:w="978" w:type="pct"/>
                  <w:shd w:val="clear" w:color="auto" w:fill="auto"/>
                  <w:vAlign w:val="center"/>
                </w:tcPr>
                <w:p w14:paraId="53B3B1F4">
                  <w:pPr>
                    <w:pStyle w:val="41"/>
                    <w:bidi w:val="0"/>
                    <w:rPr>
                      <w:rFonts w:ascii="Times New Roman" w:hAnsi="Times New Roman" w:eastAsia="宋体" w:cs="Times New Roman"/>
                      <w:color w:val="auto"/>
                      <w:kern w:val="0"/>
                      <w:sz w:val="21"/>
                      <w:szCs w:val="24"/>
                      <w:highlight w:val="none"/>
                      <w:lang w:val="en-US" w:eastAsia="zh-CN" w:bidi="ar-SA"/>
                    </w:rPr>
                  </w:pPr>
                  <w:r>
                    <w:rPr>
                      <w:rFonts w:hint="eastAsia"/>
                      <w:color w:val="auto"/>
                      <w:highlight w:val="none"/>
                    </w:rPr>
                    <w:t>非甲烷总烃、乙酸乙酯、甲醇、二氯甲烷、乙腈</w:t>
                  </w:r>
                </w:p>
              </w:tc>
              <w:tc>
                <w:tcPr>
                  <w:tcW w:w="997" w:type="pct"/>
                  <w:vMerge w:val="restart"/>
                  <w:shd w:val="clear" w:color="auto" w:fill="auto"/>
                  <w:vAlign w:val="center"/>
                </w:tcPr>
                <w:p w14:paraId="16E4C8D9">
                  <w:pPr>
                    <w:pStyle w:val="41"/>
                    <w:bidi w:val="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2套二级活性炭吸附装置（TA005-TA006）+2根楼顶70m排气筒（DA005-DA006）</w:t>
                  </w:r>
                </w:p>
              </w:tc>
              <w:tc>
                <w:tcPr>
                  <w:tcW w:w="853" w:type="pct"/>
                  <w:vMerge w:val="continue"/>
                  <w:vAlign w:val="center"/>
                </w:tcPr>
                <w:p w14:paraId="3E48F74C">
                  <w:pPr>
                    <w:pStyle w:val="41"/>
                    <w:bidi w:val="0"/>
                    <w:rPr>
                      <w:color w:val="auto"/>
                      <w:highlight w:val="none"/>
                    </w:rPr>
                  </w:pPr>
                </w:p>
              </w:tc>
              <w:tc>
                <w:tcPr>
                  <w:tcW w:w="536" w:type="pct"/>
                  <w:vMerge w:val="restart"/>
                  <w:vAlign w:val="center"/>
                </w:tcPr>
                <w:p w14:paraId="1B998403">
                  <w:pPr>
                    <w:pStyle w:val="41"/>
                    <w:bidi w:val="0"/>
                    <w:rPr>
                      <w:rFonts w:hint="default"/>
                      <w:color w:val="auto"/>
                      <w:highlight w:val="none"/>
                      <w:lang w:val="en-US"/>
                    </w:rPr>
                  </w:pPr>
                  <w:r>
                    <w:rPr>
                      <w:rFonts w:hint="eastAsia"/>
                      <w:color w:val="auto"/>
                      <w:highlight w:val="none"/>
                      <w:lang w:val="en-US" w:eastAsia="zh-CN"/>
                    </w:rPr>
                    <w:t>20</w:t>
                  </w:r>
                </w:p>
              </w:tc>
              <w:tc>
                <w:tcPr>
                  <w:tcW w:w="415" w:type="pct"/>
                  <w:vMerge w:val="continue"/>
                  <w:vAlign w:val="center"/>
                </w:tcPr>
                <w:p w14:paraId="4995C87F">
                  <w:pPr>
                    <w:pStyle w:val="41"/>
                    <w:bidi w:val="0"/>
                    <w:rPr>
                      <w:color w:val="auto"/>
                      <w:highlight w:val="none"/>
                    </w:rPr>
                  </w:pPr>
                </w:p>
              </w:tc>
            </w:tr>
            <w:tr w14:paraId="22C0C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278" w:type="pct"/>
                  <w:vMerge w:val="continue"/>
                  <w:vAlign w:val="center"/>
                </w:tcPr>
                <w:p w14:paraId="714BBC92">
                  <w:pPr>
                    <w:pStyle w:val="41"/>
                    <w:bidi w:val="0"/>
                    <w:rPr>
                      <w:color w:val="auto"/>
                      <w:highlight w:val="none"/>
                    </w:rPr>
                  </w:pPr>
                </w:p>
              </w:tc>
              <w:tc>
                <w:tcPr>
                  <w:tcW w:w="940" w:type="pct"/>
                  <w:shd w:val="clear" w:color="auto" w:fill="auto"/>
                  <w:vAlign w:val="center"/>
                </w:tcPr>
                <w:p w14:paraId="338FD8EE">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危化品库废气</w:t>
                  </w:r>
                </w:p>
              </w:tc>
              <w:tc>
                <w:tcPr>
                  <w:tcW w:w="978" w:type="pct"/>
                  <w:shd w:val="clear" w:color="auto" w:fill="auto"/>
                  <w:vAlign w:val="center"/>
                </w:tcPr>
                <w:p w14:paraId="2D53FFCD">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非甲烷总烃、乙酸乙酯、甲醇、二氯甲烷、乙腈</w:t>
                  </w:r>
                </w:p>
              </w:tc>
              <w:tc>
                <w:tcPr>
                  <w:tcW w:w="997" w:type="pct"/>
                  <w:vMerge w:val="continue"/>
                  <w:shd w:val="clear" w:color="auto" w:fill="auto"/>
                  <w:vAlign w:val="center"/>
                </w:tcPr>
                <w:p w14:paraId="0D3D974A">
                  <w:pPr>
                    <w:pStyle w:val="41"/>
                    <w:bidi w:val="0"/>
                    <w:rPr>
                      <w:rFonts w:hint="eastAsia"/>
                      <w:color w:val="auto"/>
                      <w:highlight w:val="none"/>
                      <w:lang w:val="en-US" w:eastAsia="zh-CN"/>
                    </w:rPr>
                  </w:pPr>
                </w:p>
              </w:tc>
              <w:tc>
                <w:tcPr>
                  <w:tcW w:w="853" w:type="pct"/>
                  <w:vMerge w:val="continue"/>
                  <w:vAlign w:val="center"/>
                </w:tcPr>
                <w:p w14:paraId="518E15FD">
                  <w:pPr>
                    <w:pStyle w:val="41"/>
                    <w:bidi w:val="0"/>
                    <w:rPr>
                      <w:color w:val="auto"/>
                      <w:highlight w:val="none"/>
                    </w:rPr>
                  </w:pPr>
                </w:p>
              </w:tc>
              <w:tc>
                <w:tcPr>
                  <w:tcW w:w="536" w:type="pct"/>
                  <w:vMerge w:val="continue"/>
                  <w:vAlign w:val="center"/>
                </w:tcPr>
                <w:p w14:paraId="4E7C7253">
                  <w:pPr>
                    <w:pStyle w:val="41"/>
                    <w:bidi w:val="0"/>
                    <w:rPr>
                      <w:rFonts w:hint="eastAsia"/>
                      <w:color w:val="auto"/>
                      <w:highlight w:val="none"/>
                      <w:lang w:val="en-US" w:eastAsia="zh-CN"/>
                    </w:rPr>
                  </w:pPr>
                </w:p>
              </w:tc>
              <w:tc>
                <w:tcPr>
                  <w:tcW w:w="415" w:type="pct"/>
                  <w:vMerge w:val="continue"/>
                  <w:vAlign w:val="center"/>
                </w:tcPr>
                <w:p w14:paraId="6DF4ADA0">
                  <w:pPr>
                    <w:pStyle w:val="41"/>
                    <w:bidi w:val="0"/>
                    <w:rPr>
                      <w:color w:val="auto"/>
                      <w:highlight w:val="none"/>
                    </w:rPr>
                  </w:pPr>
                </w:p>
              </w:tc>
            </w:tr>
            <w:tr w14:paraId="3061C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28262398">
                  <w:pPr>
                    <w:pStyle w:val="41"/>
                    <w:bidi w:val="0"/>
                    <w:rPr>
                      <w:color w:val="auto"/>
                      <w:highlight w:val="none"/>
                    </w:rPr>
                  </w:pPr>
                </w:p>
              </w:tc>
              <w:tc>
                <w:tcPr>
                  <w:tcW w:w="940" w:type="pct"/>
                  <w:shd w:val="clear" w:color="auto" w:fill="auto"/>
                  <w:vAlign w:val="center"/>
                </w:tcPr>
                <w:p w14:paraId="7CBE5099">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粉碎废气</w:t>
                  </w:r>
                </w:p>
              </w:tc>
              <w:tc>
                <w:tcPr>
                  <w:tcW w:w="978" w:type="pct"/>
                  <w:shd w:val="clear" w:color="auto" w:fill="auto"/>
                  <w:vAlign w:val="center"/>
                </w:tcPr>
                <w:p w14:paraId="0E7AC5B2">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颗粒物</w:t>
                  </w:r>
                </w:p>
              </w:tc>
              <w:tc>
                <w:tcPr>
                  <w:tcW w:w="997" w:type="pct"/>
                  <w:shd w:val="clear" w:color="auto" w:fill="auto"/>
                  <w:vAlign w:val="center"/>
                </w:tcPr>
                <w:p w14:paraId="085AEE75">
                  <w:pPr>
                    <w:pStyle w:val="41"/>
                    <w:bidi w:val="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无组织排放</w:t>
                  </w:r>
                </w:p>
              </w:tc>
              <w:tc>
                <w:tcPr>
                  <w:tcW w:w="853" w:type="pct"/>
                  <w:vMerge w:val="continue"/>
                  <w:vAlign w:val="center"/>
                </w:tcPr>
                <w:p w14:paraId="245B3A30">
                  <w:pPr>
                    <w:pStyle w:val="41"/>
                    <w:bidi w:val="0"/>
                    <w:rPr>
                      <w:color w:val="auto"/>
                      <w:highlight w:val="none"/>
                    </w:rPr>
                  </w:pPr>
                </w:p>
              </w:tc>
              <w:tc>
                <w:tcPr>
                  <w:tcW w:w="536" w:type="pct"/>
                  <w:vAlign w:val="center"/>
                </w:tcPr>
                <w:p w14:paraId="3FDA8E93">
                  <w:pPr>
                    <w:pStyle w:val="41"/>
                    <w:bidi w:val="0"/>
                    <w:rPr>
                      <w:rFonts w:hint="default"/>
                      <w:color w:val="auto"/>
                      <w:highlight w:val="none"/>
                      <w:lang w:val="en-US" w:eastAsia="zh-CN"/>
                    </w:rPr>
                  </w:pPr>
                  <w:r>
                    <w:rPr>
                      <w:rFonts w:hint="eastAsia"/>
                      <w:color w:val="auto"/>
                      <w:highlight w:val="none"/>
                      <w:lang w:val="en-US" w:eastAsia="zh-CN"/>
                    </w:rPr>
                    <w:t>/</w:t>
                  </w:r>
                </w:p>
              </w:tc>
              <w:tc>
                <w:tcPr>
                  <w:tcW w:w="415" w:type="pct"/>
                  <w:vMerge w:val="continue"/>
                  <w:vAlign w:val="center"/>
                </w:tcPr>
                <w:p w14:paraId="44134517">
                  <w:pPr>
                    <w:pStyle w:val="41"/>
                    <w:bidi w:val="0"/>
                    <w:rPr>
                      <w:color w:val="auto"/>
                      <w:highlight w:val="none"/>
                    </w:rPr>
                  </w:pPr>
                </w:p>
              </w:tc>
            </w:tr>
            <w:tr w14:paraId="001DE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417F04C8">
                  <w:pPr>
                    <w:pStyle w:val="41"/>
                    <w:bidi w:val="0"/>
                    <w:rPr>
                      <w:color w:val="auto"/>
                      <w:highlight w:val="none"/>
                    </w:rPr>
                  </w:pPr>
                </w:p>
              </w:tc>
              <w:tc>
                <w:tcPr>
                  <w:tcW w:w="940" w:type="pct"/>
                  <w:shd w:val="clear" w:color="auto" w:fill="auto"/>
                  <w:vAlign w:val="center"/>
                </w:tcPr>
                <w:p w14:paraId="285457C6">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制粒废气</w:t>
                  </w:r>
                </w:p>
              </w:tc>
              <w:tc>
                <w:tcPr>
                  <w:tcW w:w="978" w:type="pct"/>
                  <w:shd w:val="clear" w:color="auto" w:fill="auto"/>
                  <w:vAlign w:val="center"/>
                </w:tcPr>
                <w:p w14:paraId="60366B1D">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颗粒物</w:t>
                  </w:r>
                </w:p>
              </w:tc>
              <w:tc>
                <w:tcPr>
                  <w:tcW w:w="997" w:type="pct"/>
                  <w:shd w:val="clear" w:color="auto" w:fill="auto"/>
                  <w:vAlign w:val="center"/>
                </w:tcPr>
                <w:p w14:paraId="3FD75BA6">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无组织排放</w:t>
                  </w:r>
                </w:p>
              </w:tc>
              <w:tc>
                <w:tcPr>
                  <w:tcW w:w="853" w:type="pct"/>
                  <w:vMerge w:val="continue"/>
                  <w:vAlign w:val="center"/>
                </w:tcPr>
                <w:p w14:paraId="4EDF1BB3">
                  <w:pPr>
                    <w:pStyle w:val="41"/>
                    <w:bidi w:val="0"/>
                    <w:rPr>
                      <w:color w:val="auto"/>
                      <w:highlight w:val="none"/>
                    </w:rPr>
                  </w:pPr>
                </w:p>
              </w:tc>
              <w:tc>
                <w:tcPr>
                  <w:tcW w:w="536" w:type="pct"/>
                  <w:vAlign w:val="center"/>
                </w:tcPr>
                <w:p w14:paraId="3204C3B2">
                  <w:pPr>
                    <w:pStyle w:val="41"/>
                    <w:bidi w:val="0"/>
                    <w:rPr>
                      <w:rFonts w:hint="eastAsia" w:eastAsia="宋体"/>
                      <w:color w:val="auto"/>
                      <w:highlight w:val="none"/>
                      <w:lang w:val="en-US" w:eastAsia="zh-CN"/>
                    </w:rPr>
                  </w:pPr>
                  <w:r>
                    <w:rPr>
                      <w:rFonts w:hint="eastAsia"/>
                      <w:color w:val="auto"/>
                      <w:highlight w:val="none"/>
                      <w:lang w:val="en-US" w:eastAsia="zh-CN"/>
                    </w:rPr>
                    <w:t>/</w:t>
                  </w:r>
                </w:p>
              </w:tc>
              <w:tc>
                <w:tcPr>
                  <w:tcW w:w="415" w:type="pct"/>
                  <w:vMerge w:val="continue"/>
                  <w:vAlign w:val="center"/>
                </w:tcPr>
                <w:p w14:paraId="4D7A9DFA">
                  <w:pPr>
                    <w:pStyle w:val="41"/>
                    <w:bidi w:val="0"/>
                    <w:rPr>
                      <w:color w:val="auto"/>
                      <w:highlight w:val="none"/>
                    </w:rPr>
                  </w:pPr>
                </w:p>
              </w:tc>
            </w:tr>
            <w:tr w14:paraId="1DAB6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7DFCFE1F">
                  <w:pPr>
                    <w:pStyle w:val="41"/>
                    <w:bidi w:val="0"/>
                    <w:rPr>
                      <w:color w:val="auto"/>
                      <w:highlight w:val="none"/>
                    </w:rPr>
                  </w:pPr>
                </w:p>
              </w:tc>
              <w:tc>
                <w:tcPr>
                  <w:tcW w:w="940" w:type="pct"/>
                  <w:shd w:val="clear" w:color="auto" w:fill="auto"/>
                  <w:vAlign w:val="center"/>
                </w:tcPr>
                <w:p w14:paraId="33C0CF30">
                  <w:pPr>
                    <w:pStyle w:val="41"/>
                    <w:bidi w:val="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危废贮存废气</w:t>
                  </w:r>
                </w:p>
              </w:tc>
              <w:tc>
                <w:tcPr>
                  <w:tcW w:w="978" w:type="pct"/>
                  <w:shd w:val="clear" w:color="auto" w:fill="auto"/>
                  <w:vAlign w:val="center"/>
                </w:tcPr>
                <w:p w14:paraId="1941CEE2">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NMHC</w:t>
                  </w:r>
                </w:p>
              </w:tc>
              <w:tc>
                <w:tcPr>
                  <w:tcW w:w="997" w:type="pct"/>
                  <w:shd w:val="clear" w:color="auto" w:fill="auto"/>
                  <w:vAlign w:val="center"/>
                </w:tcPr>
                <w:p w14:paraId="2FCD4CC2">
                  <w:pPr>
                    <w:pStyle w:val="41"/>
                    <w:bidi w:val="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无组织排放</w:t>
                  </w:r>
                </w:p>
              </w:tc>
              <w:tc>
                <w:tcPr>
                  <w:tcW w:w="853" w:type="pct"/>
                  <w:vMerge w:val="continue"/>
                  <w:vAlign w:val="center"/>
                </w:tcPr>
                <w:p w14:paraId="72678148">
                  <w:pPr>
                    <w:pStyle w:val="41"/>
                    <w:bidi w:val="0"/>
                    <w:rPr>
                      <w:rFonts w:hint="eastAsia"/>
                      <w:color w:val="auto"/>
                      <w:highlight w:val="none"/>
                    </w:rPr>
                  </w:pPr>
                </w:p>
              </w:tc>
              <w:tc>
                <w:tcPr>
                  <w:tcW w:w="536" w:type="pct"/>
                  <w:vAlign w:val="center"/>
                </w:tcPr>
                <w:p w14:paraId="751535B5">
                  <w:pPr>
                    <w:pStyle w:val="41"/>
                    <w:bidi w:val="0"/>
                    <w:rPr>
                      <w:rFonts w:hint="default"/>
                      <w:color w:val="auto"/>
                      <w:highlight w:val="none"/>
                      <w:lang w:val="en-US" w:eastAsia="zh-CN"/>
                    </w:rPr>
                  </w:pPr>
                  <w:r>
                    <w:rPr>
                      <w:rFonts w:hint="eastAsia"/>
                      <w:color w:val="auto"/>
                      <w:highlight w:val="none"/>
                      <w:lang w:val="en-US" w:eastAsia="zh-CN"/>
                    </w:rPr>
                    <w:t>/</w:t>
                  </w:r>
                </w:p>
              </w:tc>
              <w:tc>
                <w:tcPr>
                  <w:tcW w:w="415" w:type="pct"/>
                  <w:vMerge w:val="continue"/>
                  <w:vAlign w:val="center"/>
                </w:tcPr>
                <w:p w14:paraId="614DC950">
                  <w:pPr>
                    <w:pStyle w:val="41"/>
                    <w:bidi w:val="0"/>
                    <w:rPr>
                      <w:color w:val="auto"/>
                      <w:highlight w:val="none"/>
                    </w:rPr>
                  </w:pPr>
                </w:p>
              </w:tc>
            </w:tr>
            <w:tr w14:paraId="20EA2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5E86D1F4">
                  <w:pPr>
                    <w:pStyle w:val="41"/>
                    <w:bidi w:val="0"/>
                    <w:rPr>
                      <w:color w:val="auto"/>
                      <w:highlight w:val="none"/>
                    </w:rPr>
                  </w:pPr>
                </w:p>
              </w:tc>
              <w:tc>
                <w:tcPr>
                  <w:tcW w:w="940" w:type="pct"/>
                  <w:shd w:val="clear" w:color="auto" w:fill="auto"/>
                  <w:vAlign w:val="center"/>
                </w:tcPr>
                <w:p w14:paraId="01206D07">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污水站废气</w:t>
                  </w:r>
                </w:p>
              </w:tc>
              <w:tc>
                <w:tcPr>
                  <w:tcW w:w="978" w:type="pct"/>
                  <w:shd w:val="clear" w:color="auto" w:fill="auto"/>
                  <w:vAlign w:val="center"/>
                </w:tcPr>
                <w:p w14:paraId="0494A525">
                  <w:pPr>
                    <w:pStyle w:val="41"/>
                    <w:bidi w:val="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氨、硫化氢、臭气浓度</w:t>
                  </w:r>
                </w:p>
              </w:tc>
              <w:tc>
                <w:tcPr>
                  <w:tcW w:w="997" w:type="pct"/>
                  <w:shd w:val="clear" w:color="auto" w:fill="auto"/>
                  <w:vAlign w:val="center"/>
                </w:tcPr>
                <w:p w14:paraId="0C75B70B">
                  <w:pPr>
                    <w:pStyle w:val="41"/>
                    <w:bidi w:val="0"/>
                    <w:rPr>
                      <w:rFonts w:hint="eastAsia" w:ascii="Times New Roman" w:hAnsi="Times New Roman" w:eastAsia="宋体" w:cs="Times New Roman"/>
                      <w:color w:val="auto"/>
                      <w:kern w:val="0"/>
                      <w:sz w:val="21"/>
                      <w:szCs w:val="24"/>
                      <w:highlight w:val="none"/>
                      <w:lang w:val="en-US" w:eastAsia="zh-CN" w:bidi="ar-SA"/>
                    </w:rPr>
                  </w:pPr>
                  <w:r>
                    <w:rPr>
                      <w:rFonts w:hint="eastAsia"/>
                      <w:color w:val="auto"/>
                      <w:lang w:val="en-US" w:eastAsia="zh-CN"/>
                    </w:rPr>
                    <w:t>水喷淋+除雾+活性炭吸附TA007+15m排气筒DA007</w:t>
                  </w:r>
                </w:p>
              </w:tc>
              <w:tc>
                <w:tcPr>
                  <w:tcW w:w="853" w:type="pct"/>
                  <w:vMerge w:val="continue"/>
                  <w:vAlign w:val="center"/>
                </w:tcPr>
                <w:p w14:paraId="6CD77B5C">
                  <w:pPr>
                    <w:pStyle w:val="41"/>
                    <w:bidi w:val="0"/>
                    <w:rPr>
                      <w:rFonts w:hint="eastAsia"/>
                      <w:color w:val="auto"/>
                      <w:highlight w:val="none"/>
                    </w:rPr>
                  </w:pPr>
                </w:p>
              </w:tc>
              <w:tc>
                <w:tcPr>
                  <w:tcW w:w="536" w:type="pct"/>
                  <w:vAlign w:val="center"/>
                </w:tcPr>
                <w:p w14:paraId="531320BC">
                  <w:pPr>
                    <w:pStyle w:val="41"/>
                    <w:bidi w:val="0"/>
                    <w:rPr>
                      <w:rFonts w:hint="default"/>
                      <w:color w:val="auto"/>
                      <w:highlight w:val="none"/>
                      <w:lang w:val="en-US" w:eastAsia="zh-CN"/>
                    </w:rPr>
                  </w:pPr>
                  <w:r>
                    <w:rPr>
                      <w:rFonts w:hint="eastAsia"/>
                      <w:color w:val="auto"/>
                      <w:highlight w:val="none"/>
                      <w:lang w:val="en-US" w:eastAsia="zh-CN"/>
                    </w:rPr>
                    <w:t>5</w:t>
                  </w:r>
                </w:p>
              </w:tc>
              <w:tc>
                <w:tcPr>
                  <w:tcW w:w="415" w:type="pct"/>
                  <w:vMerge w:val="continue"/>
                  <w:vAlign w:val="center"/>
                </w:tcPr>
                <w:p w14:paraId="7E3451E0">
                  <w:pPr>
                    <w:pStyle w:val="41"/>
                    <w:bidi w:val="0"/>
                    <w:rPr>
                      <w:color w:val="auto"/>
                      <w:highlight w:val="none"/>
                    </w:rPr>
                  </w:pPr>
                </w:p>
              </w:tc>
            </w:tr>
            <w:tr w14:paraId="2C1E4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Align w:val="center"/>
                </w:tcPr>
                <w:p w14:paraId="425D20A4">
                  <w:pPr>
                    <w:pStyle w:val="41"/>
                    <w:bidi w:val="0"/>
                    <w:rPr>
                      <w:color w:val="auto"/>
                      <w:highlight w:val="none"/>
                    </w:rPr>
                  </w:pPr>
                  <w:r>
                    <w:rPr>
                      <w:color w:val="auto"/>
                      <w:highlight w:val="none"/>
                    </w:rPr>
                    <w:t>噪声</w:t>
                  </w:r>
                </w:p>
              </w:tc>
              <w:tc>
                <w:tcPr>
                  <w:tcW w:w="940" w:type="pct"/>
                  <w:vAlign w:val="center"/>
                </w:tcPr>
                <w:p w14:paraId="150504D6">
                  <w:pPr>
                    <w:pStyle w:val="41"/>
                    <w:bidi w:val="0"/>
                    <w:rPr>
                      <w:rFonts w:hint="default"/>
                      <w:color w:val="auto"/>
                      <w:highlight w:val="none"/>
                      <w:lang w:val="en-US" w:eastAsia="zh-CN"/>
                    </w:rPr>
                  </w:pPr>
                  <w:r>
                    <w:rPr>
                      <w:rFonts w:hint="eastAsia"/>
                      <w:color w:val="auto"/>
                      <w:highlight w:val="none"/>
                      <w:lang w:val="en-US" w:eastAsia="zh-CN"/>
                    </w:rPr>
                    <w:t>生产设备</w:t>
                  </w:r>
                </w:p>
              </w:tc>
              <w:tc>
                <w:tcPr>
                  <w:tcW w:w="978" w:type="pct"/>
                  <w:vAlign w:val="center"/>
                </w:tcPr>
                <w:p w14:paraId="45D51F73">
                  <w:pPr>
                    <w:pStyle w:val="41"/>
                    <w:bidi w:val="0"/>
                    <w:rPr>
                      <w:color w:val="auto"/>
                      <w:highlight w:val="none"/>
                    </w:rPr>
                  </w:pPr>
                  <w:r>
                    <w:rPr>
                      <w:color w:val="auto"/>
                      <w:highlight w:val="none"/>
                    </w:rPr>
                    <w:t>噪声</w:t>
                  </w:r>
                </w:p>
              </w:tc>
              <w:tc>
                <w:tcPr>
                  <w:tcW w:w="997" w:type="pct"/>
                  <w:vAlign w:val="center"/>
                </w:tcPr>
                <w:p w14:paraId="2C2EACF8">
                  <w:pPr>
                    <w:pStyle w:val="41"/>
                    <w:bidi w:val="0"/>
                    <w:rPr>
                      <w:color w:val="auto"/>
                      <w:highlight w:val="none"/>
                    </w:rPr>
                  </w:pPr>
                  <w:r>
                    <w:rPr>
                      <w:rFonts w:hint="eastAsia"/>
                      <w:color w:val="auto"/>
                      <w:highlight w:val="none"/>
                    </w:rPr>
                    <w:t>选用低噪声设备，合理布局，增强建筑隔声等措施等</w:t>
                  </w:r>
                </w:p>
              </w:tc>
              <w:tc>
                <w:tcPr>
                  <w:tcW w:w="853" w:type="pct"/>
                  <w:vAlign w:val="center"/>
                </w:tcPr>
                <w:p w14:paraId="31B9416A">
                  <w:pPr>
                    <w:pStyle w:val="41"/>
                    <w:bidi w:val="0"/>
                    <w:rPr>
                      <w:color w:val="auto"/>
                      <w:highlight w:val="none"/>
                    </w:rPr>
                  </w:pPr>
                  <w:r>
                    <w:rPr>
                      <w:color w:val="auto"/>
                      <w:highlight w:val="none"/>
                    </w:rPr>
                    <w:t>《工业企业厂界环境噪声排放标准》（GB12348-2008）</w:t>
                  </w:r>
                  <w:r>
                    <w:rPr>
                      <w:rFonts w:hint="eastAsia"/>
                      <w:color w:val="auto"/>
                      <w:highlight w:val="none"/>
                      <w:lang w:val="en-US" w:eastAsia="zh-CN"/>
                    </w:rPr>
                    <w:t>2</w:t>
                  </w:r>
                  <w:r>
                    <w:rPr>
                      <w:rFonts w:hint="eastAsia"/>
                      <w:color w:val="auto"/>
                      <w:highlight w:val="none"/>
                      <w:lang w:eastAsia="zh-CN"/>
                    </w:rPr>
                    <w:t>类</w:t>
                  </w:r>
                  <w:r>
                    <w:rPr>
                      <w:color w:val="auto"/>
                      <w:highlight w:val="none"/>
                    </w:rPr>
                    <w:t>标准</w:t>
                  </w:r>
                </w:p>
              </w:tc>
              <w:tc>
                <w:tcPr>
                  <w:tcW w:w="536" w:type="pct"/>
                  <w:vAlign w:val="center"/>
                </w:tcPr>
                <w:p w14:paraId="7E50B3DC">
                  <w:pPr>
                    <w:pStyle w:val="41"/>
                    <w:bidi w:val="0"/>
                    <w:rPr>
                      <w:rFonts w:hint="eastAsia"/>
                      <w:color w:val="auto"/>
                      <w:highlight w:val="none"/>
                      <w:lang w:eastAsia="zh-CN"/>
                    </w:rPr>
                  </w:pPr>
                  <w:r>
                    <w:rPr>
                      <w:rFonts w:hint="eastAsia"/>
                      <w:color w:val="auto"/>
                      <w:highlight w:val="none"/>
                      <w:lang w:val="en-US" w:eastAsia="zh-CN"/>
                    </w:rPr>
                    <w:t>/</w:t>
                  </w:r>
                </w:p>
              </w:tc>
              <w:tc>
                <w:tcPr>
                  <w:tcW w:w="415" w:type="pct"/>
                  <w:vMerge w:val="continue"/>
                  <w:vAlign w:val="center"/>
                </w:tcPr>
                <w:p w14:paraId="2C53F485">
                  <w:pPr>
                    <w:pStyle w:val="41"/>
                    <w:bidi w:val="0"/>
                    <w:rPr>
                      <w:color w:val="auto"/>
                      <w:highlight w:val="none"/>
                    </w:rPr>
                  </w:pPr>
                </w:p>
              </w:tc>
            </w:tr>
            <w:tr w14:paraId="447EF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278" w:type="pct"/>
                  <w:vMerge w:val="restart"/>
                  <w:vAlign w:val="center"/>
                </w:tcPr>
                <w:p w14:paraId="24A75E15">
                  <w:pPr>
                    <w:pStyle w:val="41"/>
                    <w:bidi w:val="0"/>
                    <w:rPr>
                      <w:color w:val="auto"/>
                      <w:highlight w:val="none"/>
                    </w:rPr>
                  </w:pPr>
                  <w:r>
                    <w:rPr>
                      <w:color w:val="auto"/>
                      <w:highlight w:val="none"/>
                    </w:rPr>
                    <w:t>固废</w:t>
                  </w:r>
                </w:p>
              </w:tc>
              <w:tc>
                <w:tcPr>
                  <w:tcW w:w="940" w:type="pct"/>
                  <w:vMerge w:val="restart"/>
                  <w:vAlign w:val="center"/>
                </w:tcPr>
                <w:p w14:paraId="2F4EDE85">
                  <w:pPr>
                    <w:pStyle w:val="41"/>
                    <w:bidi w:val="0"/>
                    <w:rPr>
                      <w:rFonts w:hint="eastAsia"/>
                      <w:color w:val="auto"/>
                      <w:highlight w:val="none"/>
                      <w:lang w:val="en-US" w:eastAsia="zh-CN"/>
                    </w:rPr>
                  </w:pPr>
                  <w:r>
                    <w:rPr>
                      <w:rFonts w:hint="eastAsia"/>
                      <w:color w:val="auto"/>
                      <w:highlight w:val="none"/>
                      <w:lang w:val="en-US" w:eastAsia="zh-CN"/>
                    </w:rPr>
                    <w:t>一般固体废物</w:t>
                  </w:r>
                </w:p>
              </w:tc>
              <w:tc>
                <w:tcPr>
                  <w:tcW w:w="978" w:type="pct"/>
                  <w:shd w:val="clear" w:color="auto" w:fill="auto"/>
                  <w:vAlign w:val="center"/>
                </w:tcPr>
                <w:p w14:paraId="0D1F3EE7">
                  <w:pPr>
                    <w:pStyle w:val="41"/>
                    <w:bidi w:val="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纯水制备滤芯</w:t>
                  </w:r>
                </w:p>
              </w:tc>
              <w:tc>
                <w:tcPr>
                  <w:tcW w:w="997" w:type="pct"/>
                  <w:vMerge w:val="restart"/>
                  <w:vAlign w:val="center"/>
                </w:tcPr>
                <w:p w14:paraId="52619791">
                  <w:pPr>
                    <w:pStyle w:val="41"/>
                    <w:bidi w:val="0"/>
                    <w:rPr>
                      <w:color w:val="auto"/>
                      <w:highlight w:val="none"/>
                    </w:rPr>
                  </w:pPr>
                  <w:r>
                    <w:rPr>
                      <w:rFonts w:hint="eastAsia"/>
                      <w:color w:val="auto"/>
                      <w:highlight w:val="none"/>
                      <w:lang w:val="en-US" w:eastAsia="zh-CN"/>
                    </w:rPr>
                    <w:t>定期</w:t>
                  </w:r>
                  <w:r>
                    <w:rPr>
                      <w:rFonts w:hint="eastAsia"/>
                      <w:color w:val="auto"/>
                      <w:highlight w:val="none"/>
                    </w:rPr>
                    <w:t>外售</w:t>
                  </w:r>
                </w:p>
              </w:tc>
              <w:tc>
                <w:tcPr>
                  <w:tcW w:w="853" w:type="pct"/>
                  <w:vMerge w:val="restart"/>
                  <w:vAlign w:val="center"/>
                </w:tcPr>
                <w:p w14:paraId="37E58E87">
                  <w:pPr>
                    <w:pStyle w:val="41"/>
                    <w:bidi w:val="0"/>
                    <w:rPr>
                      <w:color w:val="auto"/>
                      <w:highlight w:val="none"/>
                    </w:rPr>
                  </w:pPr>
                  <w:r>
                    <w:rPr>
                      <w:rFonts w:hint="eastAsia"/>
                      <w:color w:val="auto"/>
                      <w:highlight w:val="none"/>
                      <w:lang w:val="en-US" w:eastAsia="zh-CN"/>
                    </w:rPr>
                    <w:t>固体废物妥善处置</w:t>
                  </w:r>
                  <w:r>
                    <w:rPr>
                      <w:color w:val="auto"/>
                      <w:highlight w:val="none"/>
                    </w:rPr>
                    <w:t>，不产生二次污染</w:t>
                  </w:r>
                </w:p>
              </w:tc>
              <w:tc>
                <w:tcPr>
                  <w:tcW w:w="536" w:type="pct"/>
                  <w:vMerge w:val="restart"/>
                  <w:vAlign w:val="center"/>
                </w:tcPr>
                <w:p w14:paraId="347C7B03">
                  <w:pPr>
                    <w:pStyle w:val="41"/>
                    <w:bidi w:val="0"/>
                    <w:rPr>
                      <w:rFonts w:hint="eastAsia"/>
                      <w:color w:val="auto"/>
                      <w:highlight w:val="none"/>
                      <w:lang w:eastAsia="zh-CN"/>
                    </w:rPr>
                  </w:pPr>
                  <w:r>
                    <w:rPr>
                      <w:rFonts w:hint="eastAsia"/>
                      <w:color w:val="auto"/>
                      <w:highlight w:val="none"/>
                      <w:lang w:val="en-US" w:eastAsia="zh-CN"/>
                    </w:rPr>
                    <w:t>/</w:t>
                  </w:r>
                </w:p>
              </w:tc>
              <w:tc>
                <w:tcPr>
                  <w:tcW w:w="415" w:type="pct"/>
                  <w:vMerge w:val="continue"/>
                  <w:vAlign w:val="center"/>
                </w:tcPr>
                <w:p w14:paraId="42377547">
                  <w:pPr>
                    <w:pStyle w:val="41"/>
                    <w:bidi w:val="0"/>
                    <w:rPr>
                      <w:color w:val="auto"/>
                      <w:highlight w:val="none"/>
                    </w:rPr>
                  </w:pPr>
                </w:p>
              </w:tc>
            </w:tr>
            <w:tr w14:paraId="632D1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6CF687EE">
                  <w:pPr>
                    <w:pStyle w:val="41"/>
                    <w:bidi w:val="0"/>
                    <w:rPr>
                      <w:color w:val="auto"/>
                      <w:highlight w:val="none"/>
                    </w:rPr>
                  </w:pPr>
                </w:p>
              </w:tc>
              <w:tc>
                <w:tcPr>
                  <w:tcW w:w="940" w:type="pct"/>
                  <w:vMerge w:val="continue"/>
                  <w:vAlign w:val="center"/>
                </w:tcPr>
                <w:p w14:paraId="4DB8719F">
                  <w:pPr>
                    <w:pStyle w:val="41"/>
                    <w:bidi w:val="0"/>
                    <w:rPr>
                      <w:rFonts w:hint="eastAsia"/>
                      <w:color w:val="auto"/>
                      <w:highlight w:val="none"/>
                      <w:lang w:val="en-US" w:eastAsia="zh-CN"/>
                    </w:rPr>
                  </w:pPr>
                </w:p>
              </w:tc>
              <w:tc>
                <w:tcPr>
                  <w:tcW w:w="978" w:type="pct"/>
                  <w:shd w:val="clear" w:color="auto" w:fill="auto"/>
                  <w:vAlign w:val="center"/>
                </w:tcPr>
                <w:p w14:paraId="3251E997">
                  <w:pPr>
                    <w:pStyle w:val="41"/>
                    <w:bidi w:val="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废外包装材料</w:t>
                  </w:r>
                </w:p>
              </w:tc>
              <w:tc>
                <w:tcPr>
                  <w:tcW w:w="997" w:type="pct"/>
                  <w:vMerge w:val="continue"/>
                  <w:vAlign w:val="center"/>
                </w:tcPr>
                <w:p w14:paraId="22A7C413">
                  <w:pPr>
                    <w:pStyle w:val="41"/>
                    <w:bidi w:val="0"/>
                    <w:rPr>
                      <w:rFonts w:hint="eastAsia"/>
                      <w:color w:val="auto"/>
                      <w:highlight w:val="none"/>
                    </w:rPr>
                  </w:pPr>
                </w:p>
              </w:tc>
              <w:tc>
                <w:tcPr>
                  <w:tcW w:w="853" w:type="pct"/>
                  <w:vMerge w:val="continue"/>
                  <w:vAlign w:val="center"/>
                </w:tcPr>
                <w:p w14:paraId="11F90FC3">
                  <w:pPr>
                    <w:pStyle w:val="41"/>
                    <w:bidi w:val="0"/>
                    <w:rPr>
                      <w:rFonts w:hint="eastAsia"/>
                      <w:color w:val="auto"/>
                      <w:highlight w:val="none"/>
                      <w:lang w:val="en-US" w:eastAsia="zh-CN"/>
                    </w:rPr>
                  </w:pPr>
                </w:p>
              </w:tc>
              <w:tc>
                <w:tcPr>
                  <w:tcW w:w="536" w:type="pct"/>
                  <w:vMerge w:val="continue"/>
                  <w:vAlign w:val="center"/>
                </w:tcPr>
                <w:p w14:paraId="52AB6552">
                  <w:pPr>
                    <w:pStyle w:val="41"/>
                    <w:bidi w:val="0"/>
                    <w:rPr>
                      <w:rFonts w:hint="eastAsia"/>
                      <w:color w:val="auto"/>
                      <w:highlight w:val="none"/>
                      <w:lang w:val="en-US" w:eastAsia="zh-CN"/>
                    </w:rPr>
                  </w:pPr>
                </w:p>
              </w:tc>
              <w:tc>
                <w:tcPr>
                  <w:tcW w:w="415" w:type="pct"/>
                  <w:vMerge w:val="continue"/>
                  <w:vAlign w:val="center"/>
                </w:tcPr>
                <w:p w14:paraId="74CE1D0C">
                  <w:pPr>
                    <w:pStyle w:val="41"/>
                    <w:bidi w:val="0"/>
                    <w:rPr>
                      <w:color w:val="auto"/>
                      <w:highlight w:val="none"/>
                    </w:rPr>
                  </w:pPr>
                </w:p>
              </w:tc>
            </w:tr>
            <w:tr w14:paraId="4CC01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0A4B3A71">
                  <w:pPr>
                    <w:pStyle w:val="41"/>
                    <w:bidi w:val="0"/>
                    <w:rPr>
                      <w:color w:val="auto"/>
                      <w:highlight w:val="none"/>
                    </w:rPr>
                  </w:pPr>
                </w:p>
              </w:tc>
              <w:tc>
                <w:tcPr>
                  <w:tcW w:w="940" w:type="pct"/>
                  <w:vMerge w:val="continue"/>
                  <w:vAlign w:val="center"/>
                </w:tcPr>
                <w:p w14:paraId="71954C34">
                  <w:pPr>
                    <w:pStyle w:val="41"/>
                    <w:bidi w:val="0"/>
                    <w:rPr>
                      <w:rFonts w:hint="eastAsia"/>
                      <w:color w:val="auto"/>
                      <w:highlight w:val="none"/>
                      <w:lang w:val="en-US" w:eastAsia="zh-CN"/>
                    </w:rPr>
                  </w:pPr>
                </w:p>
              </w:tc>
              <w:tc>
                <w:tcPr>
                  <w:tcW w:w="978" w:type="pct"/>
                  <w:shd w:val="clear" w:color="auto" w:fill="auto"/>
                  <w:vAlign w:val="center"/>
                </w:tcPr>
                <w:p w14:paraId="04476A0A">
                  <w:pPr>
                    <w:pStyle w:val="41"/>
                    <w:bidi w:val="0"/>
                    <w:rPr>
                      <w:rFonts w:hint="default"/>
                      <w:color w:val="auto"/>
                      <w:highlight w:val="none"/>
                      <w:lang w:val="en-US" w:eastAsia="zh-CN"/>
                    </w:rPr>
                  </w:pPr>
                  <w:r>
                    <w:rPr>
                      <w:rFonts w:hint="eastAsia"/>
                      <w:color w:val="auto"/>
                      <w:highlight w:val="none"/>
                      <w:lang w:val="en-US" w:eastAsia="zh-CN"/>
                    </w:rPr>
                    <w:t>化粪池污泥</w:t>
                  </w:r>
                </w:p>
              </w:tc>
              <w:tc>
                <w:tcPr>
                  <w:tcW w:w="997" w:type="pct"/>
                  <w:vAlign w:val="center"/>
                </w:tcPr>
                <w:p w14:paraId="4669490B">
                  <w:pPr>
                    <w:pStyle w:val="41"/>
                    <w:bidi w:val="0"/>
                    <w:rPr>
                      <w:rFonts w:hint="eastAsia"/>
                      <w:color w:val="auto"/>
                      <w:highlight w:val="none"/>
                    </w:rPr>
                  </w:pPr>
                  <w:r>
                    <w:rPr>
                      <w:rFonts w:hint="eastAsia"/>
                      <w:color w:val="auto"/>
                      <w:highlight w:val="none"/>
                    </w:rPr>
                    <w:t>委托专业单位处理</w:t>
                  </w:r>
                </w:p>
              </w:tc>
              <w:tc>
                <w:tcPr>
                  <w:tcW w:w="853" w:type="pct"/>
                  <w:vMerge w:val="continue"/>
                  <w:vAlign w:val="center"/>
                </w:tcPr>
                <w:p w14:paraId="16361C69">
                  <w:pPr>
                    <w:pStyle w:val="41"/>
                    <w:bidi w:val="0"/>
                    <w:rPr>
                      <w:rFonts w:hint="eastAsia"/>
                      <w:color w:val="auto"/>
                      <w:highlight w:val="none"/>
                      <w:lang w:val="en-US" w:eastAsia="zh-CN"/>
                    </w:rPr>
                  </w:pPr>
                </w:p>
              </w:tc>
              <w:tc>
                <w:tcPr>
                  <w:tcW w:w="536" w:type="pct"/>
                  <w:vMerge w:val="continue"/>
                  <w:vAlign w:val="center"/>
                </w:tcPr>
                <w:p w14:paraId="442D7CE7">
                  <w:pPr>
                    <w:pStyle w:val="41"/>
                    <w:bidi w:val="0"/>
                    <w:rPr>
                      <w:rFonts w:hint="eastAsia"/>
                      <w:color w:val="auto"/>
                      <w:highlight w:val="none"/>
                      <w:lang w:val="en-US" w:eastAsia="zh-CN"/>
                    </w:rPr>
                  </w:pPr>
                </w:p>
              </w:tc>
              <w:tc>
                <w:tcPr>
                  <w:tcW w:w="415" w:type="pct"/>
                  <w:vMerge w:val="continue"/>
                  <w:vAlign w:val="center"/>
                </w:tcPr>
                <w:p w14:paraId="6A3E1989">
                  <w:pPr>
                    <w:pStyle w:val="41"/>
                    <w:bidi w:val="0"/>
                    <w:rPr>
                      <w:color w:val="auto"/>
                      <w:highlight w:val="none"/>
                    </w:rPr>
                  </w:pPr>
                </w:p>
              </w:tc>
            </w:tr>
            <w:tr w14:paraId="3B6AB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14FB6239">
                  <w:pPr>
                    <w:pStyle w:val="41"/>
                    <w:bidi w:val="0"/>
                    <w:rPr>
                      <w:color w:val="auto"/>
                      <w:highlight w:val="none"/>
                    </w:rPr>
                  </w:pPr>
                </w:p>
              </w:tc>
              <w:tc>
                <w:tcPr>
                  <w:tcW w:w="940" w:type="pct"/>
                  <w:vMerge w:val="restart"/>
                  <w:vAlign w:val="center"/>
                </w:tcPr>
                <w:p w14:paraId="54CFA005">
                  <w:pPr>
                    <w:pStyle w:val="41"/>
                    <w:bidi w:val="0"/>
                    <w:rPr>
                      <w:rFonts w:hint="default"/>
                      <w:color w:val="auto"/>
                      <w:highlight w:val="none"/>
                      <w:lang w:val="en-US" w:eastAsia="zh-CN"/>
                    </w:rPr>
                  </w:pPr>
                  <w:r>
                    <w:rPr>
                      <w:rFonts w:hint="eastAsia"/>
                      <w:color w:val="auto"/>
                      <w:highlight w:val="none"/>
                      <w:lang w:val="en-US" w:eastAsia="zh-CN"/>
                    </w:rPr>
                    <w:t>危险废物</w:t>
                  </w:r>
                </w:p>
              </w:tc>
              <w:tc>
                <w:tcPr>
                  <w:tcW w:w="978" w:type="pct"/>
                  <w:shd w:val="clear" w:color="auto" w:fill="auto"/>
                  <w:vAlign w:val="center"/>
                </w:tcPr>
                <w:p w14:paraId="25147D1F">
                  <w:pPr>
                    <w:pStyle w:val="41"/>
                    <w:bidi w:val="0"/>
                    <w:rPr>
                      <w:rFonts w:hint="eastAsia" w:ascii="Times New Roman" w:hAnsi="Times New Roman" w:eastAsia="宋体" w:cs="Times New Roman"/>
                      <w:color w:val="auto"/>
                      <w:kern w:val="0"/>
                      <w:sz w:val="21"/>
                      <w:szCs w:val="24"/>
                      <w:lang w:val="en-US" w:eastAsia="zh-CN" w:bidi="ar-SA"/>
                    </w:rPr>
                  </w:pPr>
                  <w:r>
                    <w:rPr>
                      <w:rFonts w:hint="eastAsia"/>
                      <w:color w:val="auto"/>
                      <w:lang w:eastAsia="zh-CN"/>
                    </w:rPr>
                    <w:t>废液及废料</w:t>
                  </w:r>
                </w:p>
              </w:tc>
              <w:tc>
                <w:tcPr>
                  <w:tcW w:w="997" w:type="pct"/>
                  <w:vMerge w:val="restart"/>
                  <w:vAlign w:val="center"/>
                </w:tcPr>
                <w:p w14:paraId="6CE7C976">
                  <w:pPr>
                    <w:pStyle w:val="41"/>
                    <w:bidi w:val="0"/>
                    <w:rPr>
                      <w:color w:val="auto"/>
                      <w:highlight w:val="none"/>
                    </w:rPr>
                  </w:pPr>
                  <w:r>
                    <w:rPr>
                      <w:rFonts w:hint="eastAsia"/>
                      <w:color w:val="auto"/>
                      <w:highlight w:val="none"/>
                    </w:rPr>
                    <w:t>收集后</w:t>
                  </w:r>
                  <w:r>
                    <w:rPr>
                      <w:rFonts w:hint="eastAsia"/>
                      <w:color w:val="auto"/>
                      <w:highlight w:val="none"/>
                      <w:lang w:eastAsia="zh-CN"/>
                    </w:rPr>
                    <w:t>暂存于</w:t>
                  </w:r>
                  <w:r>
                    <w:rPr>
                      <w:rFonts w:hint="eastAsia"/>
                      <w:color w:val="auto"/>
                      <w:highlight w:val="none"/>
                      <w:lang w:val="en-US" w:eastAsia="zh-CN"/>
                    </w:rPr>
                    <w:t>危废暂存点</w:t>
                  </w:r>
                  <w:r>
                    <w:rPr>
                      <w:rFonts w:hint="eastAsia"/>
                      <w:color w:val="auto"/>
                      <w:highlight w:val="none"/>
                    </w:rPr>
                    <w:t>，定期委托有资质单位处置</w:t>
                  </w:r>
                </w:p>
              </w:tc>
              <w:tc>
                <w:tcPr>
                  <w:tcW w:w="853" w:type="pct"/>
                  <w:vMerge w:val="continue"/>
                  <w:vAlign w:val="center"/>
                </w:tcPr>
                <w:p w14:paraId="45CCCC52">
                  <w:pPr>
                    <w:pStyle w:val="41"/>
                    <w:bidi w:val="0"/>
                    <w:rPr>
                      <w:rFonts w:hint="eastAsia"/>
                      <w:color w:val="auto"/>
                      <w:highlight w:val="none"/>
                      <w:lang w:val="en-US" w:eastAsia="zh-CN"/>
                    </w:rPr>
                  </w:pPr>
                </w:p>
              </w:tc>
              <w:tc>
                <w:tcPr>
                  <w:tcW w:w="536" w:type="pct"/>
                  <w:vMerge w:val="restart"/>
                  <w:vAlign w:val="center"/>
                </w:tcPr>
                <w:p w14:paraId="704EEE76">
                  <w:pPr>
                    <w:pStyle w:val="41"/>
                    <w:bidi w:val="0"/>
                    <w:rPr>
                      <w:rFonts w:hint="eastAsia"/>
                      <w:color w:val="auto"/>
                      <w:highlight w:val="none"/>
                      <w:lang w:val="en-US" w:eastAsia="zh-CN"/>
                    </w:rPr>
                  </w:pPr>
                  <w:r>
                    <w:rPr>
                      <w:rFonts w:hint="eastAsia"/>
                      <w:color w:val="auto"/>
                      <w:highlight w:val="none"/>
                      <w:lang w:val="en-US" w:eastAsia="zh-CN"/>
                    </w:rPr>
                    <w:t>5</w:t>
                  </w:r>
                </w:p>
              </w:tc>
              <w:tc>
                <w:tcPr>
                  <w:tcW w:w="415" w:type="pct"/>
                  <w:vMerge w:val="continue"/>
                  <w:vAlign w:val="center"/>
                </w:tcPr>
                <w:p w14:paraId="65BB7874">
                  <w:pPr>
                    <w:pStyle w:val="41"/>
                    <w:bidi w:val="0"/>
                    <w:rPr>
                      <w:color w:val="auto"/>
                      <w:highlight w:val="none"/>
                    </w:rPr>
                  </w:pPr>
                </w:p>
              </w:tc>
            </w:tr>
            <w:tr w14:paraId="2FC7E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38D92B1C">
                  <w:pPr>
                    <w:pStyle w:val="41"/>
                    <w:bidi w:val="0"/>
                    <w:rPr>
                      <w:color w:val="auto"/>
                      <w:highlight w:val="none"/>
                    </w:rPr>
                  </w:pPr>
                </w:p>
              </w:tc>
              <w:tc>
                <w:tcPr>
                  <w:tcW w:w="940" w:type="pct"/>
                  <w:vMerge w:val="continue"/>
                  <w:vAlign w:val="center"/>
                </w:tcPr>
                <w:p w14:paraId="25618EEF">
                  <w:pPr>
                    <w:pStyle w:val="41"/>
                    <w:bidi w:val="0"/>
                    <w:rPr>
                      <w:rFonts w:hint="eastAsia"/>
                      <w:color w:val="auto"/>
                      <w:highlight w:val="none"/>
                      <w:lang w:val="en-US" w:eastAsia="zh-CN"/>
                    </w:rPr>
                  </w:pPr>
                </w:p>
              </w:tc>
              <w:tc>
                <w:tcPr>
                  <w:tcW w:w="978" w:type="pct"/>
                  <w:shd w:val="clear" w:color="auto" w:fill="auto"/>
                  <w:vAlign w:val="center"/>
                </w:tcPr>
                <w:p w14:paraId="4C6306A4">
                  <w:pPr>
                    <w:pStyle w:val="41"/>
                    <w:bidi w:val="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废实验用品</w:t>
                  </w:r>
                </w:p>
              </w:tc>
              <w:tc>
                <w:tcPr>
                  <w:tcW w:w="997" w:type="pct"/>
                  <w:vMerge w:val="continue"/>
                  <w:vAlign w:val="center"/>
                </w:tcPr>
                <w:p w14:paraId="1A714253">
                  <w:pPr>
                    <w:pStyle w:val="41"/>
                    <w:bidi w:val="0"/>
                    <w:rPr>
                      <w:rFonts w:hint="eastAsia"/>
                      <w:color w:val="auto"/>
                      <w:highlight w:val="none"/>
                    </w:rPr>
                  </w:pPr>
                </w:p>
              </w:tc>
              <w:tc>
                <w:tcPr>
                  <w:tcW w:w="853" w:type="pct"/>
                  <w:vMerge w:val="continue"/>
                  <w:vAlign w:val="center"/>
                </w:tcPr>
                <w:p w14:paraId="3285B382">
                  <w:pPr>
                    <w:pStyle w:val="41"/>
                    <w:bidi w:val="0"/>
                    <w:rPr>
                      <w:rFonts w:hint="eastAsia"/>
                      <w:color w:val="auto"/>
                      <w:highlight w:val="none"/>
                      <w:lang w:val="en-US" w:eastAsia="zh-CN"/>
                    </w:rPr>
                  </w:pPr>
                </w:p>
              </w:tc>
              <w:tc>
                <w:tcPr>
                  <w:tcW w:w="536" w:type="pct"/>
                  <w:vMerge w:val="continue"/>
                  <w:vAlign w:val="center"/>
                </w:tcPr>
                <w:p w14:paraId="1EF82FB1">
                  <w:pPr>
                    <w:pStyle w:val="41"/>
                    <w:bidi w:val="0"/>
                    <w:rPr>
                      <w:rFonts w:hint="eastAsia"/>
                      <w:color w:val="auto"/>
                      <w:highlight w:val="none"/>
                      <w:lang w:val="en-US" w:eastAsia="zh-CN"/>
                    </w:rPr>
                  </w:pPr>
                </w:p>
              </w:tc>
              <w:tc>
                <w:tcPr>
                  <w:tcW w:w="415" w:type="pct"/>
                  <w:vMerge w:val="continue"/>
                  <w:vAlign w:val="center"/>
                </w:tcPr>
                <w:p w14:paraId="57E2D52C">
                  <w:pPr>
                    <w:pStyle w:val="41"/>
                    <w:bidi w:val="0"/>
                    <w:rPr>
                      <w:color w:val="auto"/>
                      <w:highlight w:val="none"/>
                    </w:rPr>
                  </w:pPr>
                </w:p>
              </w:tc>
            </w:tr>
            <w:tr w14:paraId="66D85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3A402796">
                  <w:pPr>
                    <w:pStyle w:val="41"/>
                    <w:bidi w:val="0"/>
                    <w:rPr>
                      <w:color w:val="auto"/>
                      <w:highlight w:val="none"/>
                    </w:rPr>
                  </w:pPr>
                </w:p>
              </w:tc>
              <w:tc>
                <w:tcPr>
                  <w:tcW w:w="940" w:type="pct"/>
                  <w:vMerge w:val="continue"/>
                  <w:vAlign w:val="center"/>
                </w:tcPr>
                <w:p w14:paraId="3E695122">
                  <w:pPr>
                    <w:pStyle w:val="41"/>
                    <w:bidi w:val="0"/>
                    <w:rPr>
                      <w:rFonts w:hint="eastAsia"/>
                      <w:color w:val="auto"/>
                      <w:highlight w:val="none"/>
                      <w:lang w:val="en-US" w:eastAsia="zh-CN"/>
                    </w:rPr>
                  </w:pPr>
                </w:p>
              </w:tc>
              <w:tc>
                <w:tcPr>
                  <w:tcW w:w="978" w:type="pct"/>
                  <w:shd w:val="clear" w:color="auto" w:fill="auto"/>
                  <w:vAlign w:val="center"/>
                </w:tcPr>
                <w:p w14:paraId="5FC93EE5">
                  <w:pPr>
                    <w:pStyle w:val="41"/>
                    <w:bidi w:val="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废过滤器</w:t>
                  </w:r>
                </w:p>
              </w:tc>
              <w:tc>
                <w:tcPr>
                  <w:tcW w:w="997" w:type="pct"/>
                  <w:vMerge w:val="continue"/>
                  <w:vAlign w:val="center"/>
                </w:tcPr>
                <w:p w14:paraId="01374E6E">
                  <w:pPr>
                    <w:pStyle w:val="41"/>
                    <w:bidi w:val="0"/>
                    <w:rPr>
                      <w:rFonts w:hint="eastAsia"/>
                      <w:color w:val="auto"/>
                      <w:highlight w:val="none"/>
                    </w:rPr>
                  </w:pPr>
                </w:p>
              </w:tc>
              <w:tc>
                <w:tcPr>
                  <w:tcW w:w="853" w:type="pct"/>
                  <w:vMerge w:val="continue"/>
                  <w:vAlign w:val="center"/>
                </w:tcPr>
                <w:p w14:paraId="4DF2B438">
                  <w:pPr>
                    <w:pStyle w:val="41"/>
                    <w:bidi w:val="0"/>
                    <w:rPr>
                      <w:rFonts w:hint="eastAsia"/>
                      <w:color w:val="auto"/>
                      <w:highlight w:val="none"/>
                      <w:lang w:val="en-US" w:eastAsia="zh-CN"/>
                    </w:rPr>
                  </w:pPr>
                </w:p>
              </w:tc>
              <w:tc>
                <w:tcPr>
                  <w:tcW w:w="536" w:type="pct"/>
                  <w:vMerge w:val="continue"/>
                  <w:vAlign w:val="center"/>
                </w:tcPr>
                <w:p w14:paraId="47F26DFB">
                  <w:pPr>
                    <w:pStyle w:val="41"/>
                    <w:bidi w:val="0"/>
                    <w:rPr>
                      <w:rFonts w:hint="eastAsia"/>
                      <w:color w:val="auto"/>
                      <w:highlight w:val="none"/>
                      <w:lang w:val="en-US" w:eastAsia="zh-CN"/>
                    </w:rPr>
                  </w:pPr>
                </w:p>
              </w:tc>
              <w:tc>
                <w:tcPr>
                  <w:tcW w:w="415" w:type="pct"/>
                  <w:vMerge w:val="continue"/>
                  <w:vAlign w:val="center"/>
                </w:tcPr>
                <w:p w14:paraId="69EF7807">
                  <w:pPr>
                    <w:pStyle w:val="41"/>
                    <w:bidi w:val="0"/>
                    <w:rPr>
                      <w:color w:val="auto"/>
                      <w:highlight w:val="none"/>
                    </w:rPr>
                  </w:pPr>
                </w:p>
              </w:tc>
            </w:tr>
            <w:tr w14:paraId="32053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6D3173AB">
                  <w:pPr>
                    <w:pStyle w:val="41"/>
                    <w:bidi w:val="0"/>
                    <w:rPr>
                      <w:color w:val="auto"/>
                      <w:highlight w:val="none"/>
                    </w:rPr>
                  </w:pPr>
                </w:p>
              </w:tc>
              <w:tc>
                <w:tcPr>
                  <w:tcW w:w="940" w:type="pct"/>
                  <w:vMerge w:val="continue"/>
                  <w:vAlign w:val="center"/>
                </w:tcPr>
                <w:p w14:paraId="355919B6">
                  <w:pPr>
                    <w:pStyle w:val="41"/>
                    <w:bidi w:val="0"/>
                    <w:rPr>
                      <w:rFonts w:hint="eastAsia"/>
                      <w:color w:val="auto"/>
                      <w:highlight w:val="none"/>
                      <w:lang w:val="en-US" w:eastAsia="zh-CN"/>
                    </w:rPr>
                  </w:pPr>
                </w:p>
              </w:tc>
              <w:tc>
                <w:tcPr>
                  <w:tcW w:w="978" w:type="pct"/>
                  <w:shd w:val="clear" w:color="auto" w:fill="auto"/>
                  <w:vAlign w:val="center"/>
                </w:tcPr>
                <w:p w14:paraId="2FF4F701">
                  <w:pPr>
                    <w:pStyle w:val="41"/>
                    <w:bidi w:val="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废活性炭</w:t>
                  </w:r>
                </w:p>
              </w:tc>
              <w:tc>
                <w:tcPr>
                  <w:tcW w:w="997" w:type="pct"/>
                  <w:vMerge w:val="continue"/>
                  <w:vAlign w:val="center"/>
                </w:tcPr>
                <w:p w14:paraId="20C2251C">
                  <w:pPr>
                    <w:pStyle w:val="41"/>
                    <w:bidi w:val="0"/>
                    <w:rPr>
                      <w:rFonts w:hint="eastAsia"/>
                      <w:color w:val="auto"/>
                      <w:highlight w:val="none"/>
                    </w:rPr>
                  </w:pPr>
                </w:p>
              </w:tc>
              <w:tc>
                <w:tcPr>
                  <w:tcW w:w="853" w:type="pct"/>
                  <w:vMerge w:val="continue"/>
                  <w:vAlign w:val="center"/>
                </w:tcPr>
                <w:p w14:paraId="34938120">
                  <w:pPr>
                    <w:pStyle w:val="41"/>
                    <w:bidi w:val="0"/>
                    <w:rPr>
                      <w:rFonts w:hint="eastAsia"/>
                      <w:color w:val="auto"/>
                      <w:highlight w:val="none"/>
                      <w:lang w:val="en-US" w:eastAsia="zh-CN"/>
                    </w:rPr>
                  </w:pPr>
                </w:p>
              </w:tc>
              <w:tc>
                <w:tcPr>
                  <w:tcW w:w="536" w:type="pct"/>
                  <w:vMerge w:val="continue"/>
                  <w:vAlign w:val="center"/>
                </w:tcPr>
                <w:p w14:paraId="004C08CE">
                  <w:pPr>
                    <w:pStyle w:val="41"/>
                    <w:bidi w:val="0"/>
                    <w:rPr>
                      <w:rFonts w:hint="eastAsia"/>
                      <w:color w:val="auto"/>
                      <w:highlight w:val="none"/>
                      <w:lang w:val="en-US" w:eastAsia="zh-CN"/>
                    </w:rPr>
                  </w:pPr>
                </w:p>
              </w:tc>
              <w:tc>
                <w:tcPr>
                  <w:tcW w:w="415" w:type="pct"/>
                  <w:vMerge w:val="continue"/>
                  <w:vAlign w:val="center"/>
                </w:tcPr>
                <w:p w14:paraId="5E38EE71">
                  <w:pPr>
                    <w:pStyle w:val="41"/>
                    <w:bidi w:val="0"/>
                    <w:rPr>
                      <w:color w:val="auto"/>
                      <w:highlight w:val="none"/>
                    </w:rPr>
                  </w:pPr>
                </w:p>
              </w:tc>
            </w:tr>
            <w:tr w14:paraId="5DAA7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6AA6470F">
                  <w:pPr>
                    <w:pStyle w:val="41"/>
                    <w:bidi w:val="0"/>
                    <w:rPr>
                      <w:color w:val="auto"/>
                      <w:highlight w:val="none"/>
                    </w:rPr>
                  </w:pPr>
                </w:p>
              </w:tc>
              <w:tc>
                <w:tcPr>
                  <w:tcW w:w="940" w:type="pct"/>
                  <w:vMerge w:val="continue"/>
                  <w:vAlign w:val="center"/>
                </w:tcPr>
                <w:p w14:paraId="3D465AD3">
                  <w:pPr>
                    <w:pStyle w:val="41"/>
                    <w:bidi w:val="0"/>
                    <w:rPr>
                      <w:rFonts w:hint="default"/>
                      <w:color w:val="auto"/>
                      <w:highlight w:val="none"/>
                      <w:lang w:val="en-US" w:eastAsia="zh-CN"/>
                    </w:rPr>
                  </w:pPr>
                </w:p>
              </w:tc>
              <w:tc>
                <w:tcPr>
                  <w:tcW w:w="978" w:type="pct"/>
                  <w:shd w:val="clear" w:color="auto" w:fill="auto"/>
                  <w:vAlign w:val="center"/>
                </w:tcPr>
                <w:p w14:paraId="59C95CF0">
                  <w:pPr>
                    <w:pStyle w:val="41"/>
                    <w:bidi w:val="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废试剂包装</w:t>
                  </w:r>
                </w:p>
              </w:tc>
              <w:tc>
                <w:tcPr>
                  <w:tcW w:w="997" w:type="pct"/>
                  <w:vMerge w:val="continue"/>
                  <w:vAlign w:val="center"/>
                </w:tcPr>
                <w:p w14:paraId="2655B54B">
                  <w:pPr>
                    <w:pStyle w:val="41"/>
                    <w:bidi w:val="0"/>
                    <w:rPr>
                      <w:color w:val="auto"/>
                      <w:highlight w:val="none"/>
                    </w:rPr>
                  </w:pPr>
                </w:p>
              </w:tc>
              <w:tc>
                <w:tcPr>
                  <w:tcW w:w="853" w:type="pct"/>
                  <w:vMerge w:val="continue"/>
                  <w:vAlign w:val="center"/>
                </w:tcPr>
                <w:p w14:paraId="478430F4">
                  <w:pPr>
                    <w:pStyle w:val="41"/>
                    <w:bidi w:val="0"/>
                    <w:rPr>
                      <w:color w:val="auto"/>
                      <w:highlight w:val="none"/>
                    </w:rPr>
                  </w:pPr>
                </w:p>
              </w:tc>
              <w:tc>
                <w:tcPr>
                  <w:tcW w:w="536" w:type="pct"/>
                  <w:vMerge w:val="continue"/>
                  <w:vAlign w:val="center"/>
                </w:tcPr>
                <w:p w14:paraId="189962D3">
                  <w:pPr>
                    <w:pStyle w:val="41"/>
                    <w:bidi w:val="0"/>
                    <w:rPr>
                      <w:rFonts w:hint="eastAsia"/>
                      <w:color w:val="auto"/>
                      <w:highlight w:val="none"/>
                      <w:lang w:val="en-US" w:eastAsia="zh-CN"/>
                    </w:rPr>
                  </w:pPr>
                </w:p>
              </w:tc>
              <w:tc>
                <w:tcPr>
                  <w:tcW w:w="415" w:type="pct"/>
                  <w:vMerge w:val="continue"/>
                  <w:vAlign w:val="center"/>
                </w:tcPr>
                <w:p w14:paraId="5C1C88B5">
                  <w:pPr>
                    <w:pStyle w:val="41"/>
                    <w:bidi w:val="0"/>
                    <w:rPr>
                      <w:color w:val="auto"/>
                      <w:highlight w:val="none"/>
                    </w:rPr>
                  </w:pPr>
                </w:p>
              </w:tc>
            </w:tr>
            <w:tr w14:paraId="14676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 w:type="pct"/>
                  <w:vMerge w:val="continue"/>
                  <w:vAlign w:val="center"/>
                </w:tcPr>
                <w:p w14:paraId="1E1A2242">
                  <w:pPr>
                    <w:pStyle w:val="41"/>
                    <w:bidi w:val="0"/>
                    <w:rPr>
                      <w:color w:val="auto"/>
                      <w:highlight w:val="none"/>
                    </w:rPr>
                  </w:pPr>
                </w:p>
              </w:tc>
              <w:tc>
                <w:tcPr>
                  <w:tcW w:w="940" w:type="pct"/>
                  <w:vMerge w:val="continue"/>
                  <w:vAlign w:val="center"/>
                </w:tcPr>
                <w:p w14:paraId="476A375D">
                  <w:pPr>
                    <w:pStyle w:val="41"/>
                    <w:bidi w:val="0"/>
                    <w:rPr>
                      <w:rFonts w:hint="eastAsia"/>
                      <w:color w:val="auto"/>
                      <w:highlight w:val="none"/>
                      <w:lang w:val="en-US" w:eastAsia="zh-CN"/>
                    </w:rPr>
                  </w:pPr>
                </w:p>
              </w:tc>
              <w:tc>
                <w:tcPr>
                  <w:tcW w:w="978" w:type="pct"/>
                  <w:shd w:val="clear" w:color="auto" w:fill="auto"/>
                  <w:vAlign w:val="center"/>
                </w:tcPr>
                <w:p w14:paraId="5CFE9A33">
                  <w:pPr>
                    <w:pStyle w:val="41"/>
                    <w:bidi w:val="0"/>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污水站污泥</w:t>
                  </w:r>
                </w:p>
              </w:tc>
              <w:tc>
                <w:tcPr>
                  <w:tcW w:w="997" w:type="pct"/>
                  <w:vMerge w:val="continue"/>
                  <w:vAlign w:val="center"/>
                </w:tcPr>
                <w:p w14:paraId="5E9C0A52">
                  <w:pPr>
                    <w:pStyle w:val="41"/>
                    <w:bidi w:val="0"/>
                    <w:rPr>
                      <w:rFonts w:hint="eastAsia"/>
                      <w:color w:val="auto"/>
                      <w:highlight w:val="none"/>
                    </w:rPr>
                  </w:pPr>
                </w:p>
              </w:tc>
              <w:tc>
                <w:tcPr>
                  <w:tcW w:w="853" w:type="pct"/>
                  <w:vMerge w:val="continue"/>
                  <w:vAlign w:val="center"/>
                </w:tcPr>
                <w:p w14:paraId="79E017CF">
                  <w:pPr>
                    <w:pStyle w:val="41"/>
                    <w:bidi w:val="0"/>
                    <w:rPr>
                      <w:color w:val="auto"/>
                      <w:highlight w:val="none"/>
                    </w:rPr>
                  </w:pPr>
                </w:p>
              </w:tc>
              <w:tc>
                <w:tcPr>
                  <w:tcW w:w="536" w:type="pct"/>
                  <w:vMerge w:val="continue"/>
                  <w:vAlign w:val="center"/>
                </w:tcPr>
                <w:p w14:paraId="5137DC80">
                  <w:pPr>
                    <w:pStyle w:val="41"/>
                    <w:bidi w:val="0"/>
                    <w:rPr>
                      <w:rFonts w:hint="eastAsia"/>
                      <w:color w:val="auto"/>
                      <w:highlight w:val="none"/>
                      <w:lang w:val="en-US" w:eastAsia="zh-CN"/>
                    </w:rPr>
                  </w:pPr>
                </w:p>
              </w:tc>
              <w:tc>
                <w:tcPr>
                  <w:tcW w:w="415" w:type="pct"/>
                  <w:vMerge w:val="continue"/>
                  <w:vAlign w:val="center"/>
                </w:tcPr>
                <w:p w14:paraId="62A3C5D0">
                  <w:pPr>
                    <w:pStyle w:val="41"/>
                    <w:bidi w:val="0"/>
                    <w:rPr>
                      <w:color w:val="auto"/>
                      <w:highlight w:val="none"/>
                    </w:rPr>
                  </w:pPr>
                </w:p>
              </w:tc>
            </w:tr>
            <w:tr w14:paraId="44AB6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18" w:type="pct"/>
                  <w:gridSpan w:val="2"/>
                  <w:vAlign w:val="center"/>
                </w:tcPr>
                <w:p w14:paraId="552B9261">
                  <w:pPr>
                    <w:pStyle w:val="41"/>
                    <w:bidi w:val="0"/>
                    <w:rPr>
                      <w:color w:val="auto"/>
                      <w:highlight w:val="none"/>
                    </w:rPr>
                  </w:pPr>
                  <w:r>
                    <w:rPr>
                      <w:color w:val="auto"/>
                      <w:highlight w:val="none"/>
                    </w:rPr>
                    <w:t>环境管理（机构、监测能力等）</w:t>
                  </w:r>
                </w:p>
              </w:tc>
              <w:tc>
                <w:tcPr>
                  <w:tcW w:w="2830" w:type="pct"/>
                  <w:gridSpan w:val="3"/>
                  <w:vAlign w:val="center"/>
                </w:tcPr>
                <w:p w14:paraId="30424D03">
                  <w:pPr>
                    <w:pStyle w:val="41"/>
                    <w:bidi w:val="0"/>
                    <w:rPr>
                      <w:rFonts w:hint="eastAsia"/>
                      <w:color w:val="auto"/>
                      <w:highlight w:val="none"/>
                      <w:lang w:val="en-US" w:eastAsia="zh-CN"/>
                    </w:rPr>
                  </w:pPr>
                  <w:r>
                    <w:rPr>
                      <w:color w:val="auto"/>
                      <w:highlight w:val="none"/>
                    </w:rPr>
                    <w:t>专职管理人员</w:t>
                  </w:r>
                </w:p>
              </w:tc>
              <w:tc>
                <w:tcPr>
                  <w:tcW w:w="536" w:type="pct"/>
                  <w:vAlign w:val="center"/>
                </w:tcPr>
                <w:p w14:paraId="6C6AD24D">
                  <w:pPr>
                    <w:pStyle w:val="41"/>
                    <w:bidi w:val="0"/>
                    <w:rPr>
                      <w:rFonts w:hint="eastAsia" w:eastAsia="宋体"/>
                      <w:color w:val="auto"/>
                      <w:highlight w:val="none"/>
                      <w:lang w:eastAsia="zh-CN"/>
                    </w:rPr>
                  </w:pPr>
                  <w:r>
                    <w:rPr>
                      <w:rFonts w:hint="eastAsia"/>
                      <w:color w:val="auto"/>
                      <w:highlight w:val="none"/>
                      <w:lang w:val="en-US" w:eastAsia="zh-CN"/>
                    </w:rPr>
                    <w:t>/</w:t>
                  </w:r>
                </w:p>
              </w:tc>
              <w:tc>
                <w:tcPr>
                  <w:tcW w:w="415" w:type="pct"/>
                  <w:vMerge w:val="continue"/>
                  <w:vAlign w:val="center"/>
                </w:tcPr>
                <w:p w14:paraId="152A0612">
                  <w:pPr>
                    <w:pStyle w:val="41"/>
                    <w:bidi w:val="0"/>
                    <w:rPr>
                      <w:color w:val="auto"/>
                      <w:highlight w:val="none"/>
                    </w:rPr>
                  </w:pPr>
                </w:p>
              </w:tc>
            </w:tr>
            <w:tr w14:paraId="44993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18" w:type="pct"/>
                  <w:gridSpan w:val="2"/>
                  <w:vAlign w:val="center"/>
                </w:tcPr>
                <w:p w14:paraId="13D996CD">
                  <w:pPr>
                    <w:pStyle w:val="41"/>
                    <w:bidi w:val="0"/>
                    <w:rPr>
                      <w:rFonts w:hint="default" w:eastAsia="宋体"/>
                      <w:color w:val="auto"/>
                      <w:highlight w:val="none"/>
                      <w:lang w:val="en-US" w:eastAsia="zh-CN"/>
                    </w:rPr>
                  </w:pPr>
                  <w:r>
                    <w:rPr>
                      <w:rFonts w:hint="eastAsia"/>
                      <w:color w:val="auto"/>
                      <w:highlight w:val="none"/>
                      <w:lang w:val="en-US" w:eastAsia="zh-CN"/>
                    </w:rPr>
                    <w:t>风险防范措施</w:t>
                  </w:r>
                </w:p>
              </w:tc>
              <w:tc>
                <w:tcPr>
                  <w:tcW w:w="2830" w:type="pct"/>
                  <w:gridSpan w:val="3"/>
                  <w:vAlign w:val="center"/>
                </w:tcPr>
                <w:p w14:paraId="766B6DC0">
                  <w:pPr>
                    <w:pStyle w:val="41"/>
                    <w:bidi w:val="0"/>
                    <w:rPr>
                      <w:color w:val="auto"/>
                      <w:highlight w:val="none"/>
                    </w:rPr>
                  </w:pPr>
                  <w:r>
                    <w:rPr>
                      <w:rFonts w:hint="eastAsia"/>
                      <w:color w:val="auto"/>
                      <w:highlight w:val="none"/>
                      <w:lang w:val="en-US" w:eastAsia="zh-CN"/>
                    </w:rPr>
                    <w:t>雨污排口设置截止阀，设置容积为200m</w:t>
                  </w:r>
                  <w:r>
                    <w:rPr>
                      <w:rFonts w:hint="eastAsia"/>
                      <w:color w:val="auto"/>
                      <w:highlight w:val="none"/>
                      <w:vertAlign w:val="superscript"/>
                      <w:lang w:val="en-US" w:eastAsia="zh-CN"/>
                    </w:rPr>
                    <w:t>3</w:t>
                  </w:r>
                  <w:r>
                    <w:rPr>
                      <w:rFonts w:hint="eastAsia"/>
                      <w:color w:val="auto"/>
                      <w:highlight w:val="none"/>
                      <w:lang w:val="en-US" w:eastAsia="zh-CN"/>
                    </w:rPr>
                    <w:t>的应急事故水囊收集事故废水。</w:t>
                  </w:r>
                </w:p>
              </w:tc>
              <w:tc>
                <w:tcPr>
                  <w:tcW w:w="536" w:type="pct"/>
                  <w:vAlign w:val="center"/>
                </w:tcPr>
                <w:p w14:paraId="509BFB61">
                  <w:pPr>
                    <w:pStyle w:val="41"/>
                    <w:bidi w:val="0"/>
                    <w:rPr>
                      <w:rFonts w:hint="default" w:eastAsia="宋体"/>
                      <w:color w:val="auto"/>
                      <w:highlight w:val="none"/>
                      <w:lang w:val="en-US" w:eastAsia="zh-CN"/>
                    </w:rPr>
                  </w:pPr>
                  <w:r>
                    <w:rPr>
                      <w:rFonts w:hint="eastAsia"/>
                      <w:color w:val="auto"/>
                      <w:highlight w:val="none"/>
                      <w:lang w:val="en-US" w:eastAsia="zh-CN"/>
                    </w:rPr>
                    <w:t>/</w:t>
                  </w:r>
                </w:p>
              </w:tc>
              <w:tc>
                <w:tcPr>
                  <w:tcW w:w="415" w:type="pct"/>
                  <w:vMerge w:val="continue"/>
                  <w:vAlign w:val="center"/>
                </w:tcPr>
                <w:p w14:paraId="2FABFF88">
                  <w:pPr>
                    <w:pStyle w:val="41"/>
                    <w:bidi w:val="0"/>
                    <w:rPr>
                      <w:color w:val="auto"/>
                      <w:highlight w:val="none"/>
                    </w:rPr>
                  </w:pPr>
                </w:p>
              </w:tc>
            </w:tr>
            <w:tr w14:paraId="41EAB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18" w:type="pct"/>
                  <w:gridSpan w:val="2"/>
                  <w:vAlign w:val="center"/>
                </w:tcPr>
                <w:p w14:paraId="72885B1F">
                  <w:pPr>
                    <w:pStyle w:val="41"/>
                    <w:bidi w:val="0"/>
                    <w:rPr>
                      <w:color w:val="auto"/>
                      <w:highlight w:val="none"/>
                    </w:rPr>
                  </w:pPr>
                  <w:r>
                    <w:rPr>
                      <w:color w:val="auto"/>
                      <w:highlight w:val="none"/>
                    </w:rPr>
                    <w:t>清污分流、排污口规范化设置</w:t>
                  </w:r>
                </w:p>
              </w:tc>
              <w:tc>
                <w:tcPr>
                  <w:tcW w:w="2830" w:type="pct"/>
                  <w:gridSpan w:val="3"/>
                  <w:vAlign w:val="center"/>
                </w:tcPr>
                <w:p w14:paraId="344A4BEE">
                  <w:pPr>
                    <w:pStyle w:val="41"/>
                    <w:bidi w:val="0"/>
                    <w:rPr>
                      <w:rFonts w:hint="eastAsia" w:eastAsia="宋体"/>
                      <w:color w:val="auto"/>
                      <w:highlight w:val="none"/>
                      <w:lang w:eastAsia="zh-CN"/>
                    </w:rPr>
                  </w:pPr>
                  <w:r>
                    <w:rPr>
                      <w:color w:val="auto"/>
                      <w:highlight w:val="none"/>
                    </w:rPr>
                    <w:t>规范化设置</w:t>
                  </w:r>
                  <w:r>
                    <w:rPr>
                      <w:rFonts w:hint="eastAsia"/>
                      <w:color w:val="auto"/>
                      <w:highlight w:val="none"/>
                      <w:lang w:eastAsia="zh-CN"/>
                    </w:rPr>
                    <w:t>，</w:t>
                  </w:r>
                  <w:r>
                    <w:rPr>
                      <w:color w:val="auto"/>
                      <w:highlight w:val="none"/>
                    </w:rPr>
                    <w:t>满足《江苏省排污口设置及规范化整治管理办法》</w:t>
                  </w:r>
                  <w:r>
                    <w:rPr>
                      <w:rFonts w:hint="eastAsia"/>
                      <w:color w:val="auto"/>
                      <w:highlight w:val="none"/>
                      <w:lang w:eastAsia="zh-CN"/>
                    </w:rPr>
                    <w:t>（</w:t>
                  </w:r>
                  <w:r>
                    <w:rPr>
                      <w:rFonts w:hint="eastAsia"/>
                      <w:color w:val="auto"/>
                      <w:highlight w:val="none"/>
                      <w:lang w:val="en-US" w:eastAsia="zh-CN"/>
                    </w:rPr>
                    <w:t>苏环控〔1997〕122号</w:t>
                  </w:r>
                  <w:r>
                    <w:rPr>
                      <w:rFonts w:hint="eastAsia"/>
                      <w:color w:val="auto"/>
                      <w:highlight w:val="none"/>
                      <w:lang w:eastAsia="zh-CN"/>
                    </w:rPr>
                    <w:t>）</w:t>
                  </w:r>
                  <w:r>
                    <w:rPr>
                      <w:color w:val="auto"/>
                      <w:highlight w:val="none"/>
                    </w:rPr>
                    <w:t>要求</w:t>
                  </w:r>
                  <w:r>
                    <w:rPr>
                      <w:rFonts w:hint="eastAsia"/>
                      <w:color w:val="auto"/>
                      <w:highlight w:val="none"/>
                      <w:lang w:eastAsia="zh-CN"/>
                    </w:rPr>
                    <w:t>。</w:t>
                  </w:r>
                </w:p>
              </w:tc>
              <w:tc>
                <w:tcPr>
                  <w:tcW w:w="536" w:type="pct"/>
                  <w:vAlign w:val="center"/>
                </w:tcPr>
                <w:p w14:paraId="217ADD4F">
                  <w:pPr>
                    <w:pStyle w:val="41"/>
                    <w:bidi w:val="0"/>
                    <w:rPr>
                      <w:rFonts w:hint="eastAsia"/>
                      <w:color w:val="auto"/>
                      <w:highlight w:val="none"/>
                      <w:lang w:eastAsia="zh-CN"/>
                    </w:rPr>
                  </w:pPr>
                  <w:r>
                    <w:rPr>
                      <w:rFonts w:hint="eastAsia"/>
                      <w:color w:val="auto"/>
                      <w:highlight w:val="none"/>
                      <w:lang w:val="en-US" w:eastAsia="zh-CN"/>
                    </w:rPr>
                    <w:t>/</w:t>
                  </w:r>
                </w:p>
              </w:tc>
              <w:tc>
                <w:tcPr>
                  <w:tcW w:w="415" w:type="pct"/>
                  <w:vMerge w:val="continue"/>
                  <w:vAlign w:val="center"/>
                </w:tcPr>
                <w:p w14:paraId="1C3C1E05">
                  <w:pPr>
                    <w:pStyle w:val="41"/>
                    <w:bidi w:val="0"/>
                    <w:rPr>
                      <w:color w:val="auto"/>
                      <w:highlight w:val="none"/>
                    </w:rPr>
                  </w:pPr>
                </w:p>
              </w:tc>
            </w:tr>
            <w:tr w14:paraId="5A259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18" w:type="pct"/>
                  <w:gridSpan w:val="2"/>
                  <w:vAlign w:val="center"/>
                </w:tcPr>
                <w:p w14:paraId="45362B42">
                  <w:pPr>
                    <w:pStyle w:val="41"/>
                    <w:bidi w:val="0"/>
                    <w:rPr>
                      <w:color w:val="FF0000"/>
                      <w:highlight w:val="none"/>
                    </w:rPr>
                  </w:pPr>
                  <w:r>
                    <w:rPr>
                      <w:color w:val="FF0000"/>
                      <w:highlight w:val="none"/>
                    </w:rPr>
                    <w:t>总量平衡</w:t>
                  </w:r>
                </w:p>
                <w:p w14:paraId="2507FEE9">
                  <w:pPr>
                    <w:pStyle w:val="41"/>
                    <w:bidi w:val="0"/>
                    <w:rPr>
                      <w:color w:val="FF0000"/>
                      <w:highlight w:val="none"/>
                    </w:rPr>
                  </w:pPr>
                  <w:r>
                    <w:rPr>
                      <w:color w:val="FF0000"/>
                      <w:highlight w:val="none"/>
                    </w:rPr>
                    <w:t>具体方案</w:t>
                  </w:r>
                </w:p>
              </w:tc>
              <w:tc>
                <w:tcPr>
                  <w:tcW w:w="2830" w:type="pct"/>
                  <w:gridSpan w:val="3"/>
                  <w:vAlign w:val="center"/>
                </w:tcPr>
                <w:p w14:paraId="50A303D3">
                  <w:pPr>
                    <w:pStyle w:val="41"/>
                    <w:bidi w:val="0"/>
                    <w:rPr>
                      <w:color w:val="FF0000"/>
                      <w:highlight w:val="none"/>
                    </w:rPr>
                  </w:pPr>
                  <w:r>
                    <w:rPr>
                      <w:rFonts w:hint="eastAsia"/>
                      <w:color w:val="FF0000"/>
                      <w:highlight w:val="none"/>
                      <w:lang w:val="en-US" w:eastAsia="zh-CN"/>
                    </w:rPr>
                    <w:t>本项目不新增废水排放量；废气新增</w:t>
                  </w:r>
                  <w:r>
                    <w:rPr>
                      <w:color w:val="FF0000"/>
                      <w:highlight w:val="none"/>
                    </w:rPr>
                    <w:t>非甲烷总烃</w:t>
                  </w:r>
                  <w:r>
                    <w:rPr>
                      <w:rFonts w:hint="eastAsia"/>
                      <w:color w:val="FF0000"/>
                      <w:highlight w:val="none"/>
                    </w:rPr>
                    <w:t>（</w:t>
                  </w:r>
                  <w:r>
                    <w:rPr>
                      <w:rFonts w:hint="eastAsia"/>
                      <w:color w:val="FF0000"/>
                      <w:highlight w:val="none"/>
                      <w:lang w:val="en-US" w:eastAsia="zh-CN"/>
                    </w:rPr>
                    <w:t>有组织+</w:t>
                  </w:r>
                  <w:r>
                    <w:rPr>
                      <w:rFonts w:hint="eastAsia"/>
                      <w:color w:val="FF0000"/>
                      <w:highlight w:val="none"/>
                    </w:rPr>
                    <w:t>无组织）</w:t>
                  </w:r>
                  <w:r>
                    <w:rPr>
                      <w:rFonts w:hint="eastAsia"/>
                      <w:color w:val="FF0000"/>
                      <w:highlight w:val="none"/>
                      <w:lang w:val="en-US" w:eastAsia="zh-CN"/>
                    </w:rPr>
                    <w:t>排放量0.1257</w:t>
                  </w:r>
                  <w:r>
                    <w:rPr>
                      <w:color w:val="FF0000"/>
                      <w:highlight w:val="none"/>
                    </w:rPr>
                    <w:t>t/a</w:t>
                  </w:r>
                  <w:r>
                    <w:rPr>
                      <w:rFonts w:hint="eastAsia"/>
                      <w:color w:val="FF0000"/>
                      <w:highlight w:val="none"/>
                      <w:lang w:eastAsia="zh-CN"/>
                    </w:rPr>
                    <w:t>，</w:t>
                  </w:r>
                  <w:r>
                    <w:rPr>
                      <w:rFonts w:hint="eastAsia"/>
                      <w:color w:val="FF0000"/>
                      <w:highlight w:val="none"/>
                      <w:lang w:val="en-US" w:eastAsia="zh-CN"/>
                    </w:rPr>
                    <w:t>废气污染物排放</w:t>
                  </w:r>
                  <w:r>
                    <w:rPr>
                      <w:color w:val="FF0000"/>
                      <w:highlight w:val="none"/>
                    </w:rPr>
                    <w:t>在江宁总量范围内平衡；固废</w:t>
                  </w:r>
                  <w:r>
                    <w:rPr>
                      <w:rFonts w:hint="eastAsia"/>
                      <w:color w:val="FF0000"/>
                      <w:highlight w:val="none"/>
                      <w:lang w:val="en-US" w:eastAsia="zh-CN"/>
                    </w:rPr>
                    <w:t>分类收集，合理处置</w:t>
                  </w:r>
                  <w:r>
                    <w:rPr>
                      <w:color w:val="FF0000"/>
                      <w:highlight w:val="none"/>
                    </w:rPr>
                    <w:t>，不需申请总量。</w:t>
                  </w:r>
                </w:p>
              </w:tc>
              <w:tc>
                <w:tcPr>
                  <w:tcW w:w="536" w:type="pct"/>
                  <w:vAlign w:val="center"/>
                </w:tcPr>
                <w:p w14:paraId="330403C7">
                  <w:pPr>
                    <w:pStyle w:val="41"/>
                    <w:bidi w:val="0"/>
                    <w:rPr>
                      <w:color w:val="auto"/>
                      <w:highlight w:val="none"/>
                    </w:rPr>
                  </w:pPr>
                  <w:r>
                    <w:rPr>
                      <w:rFonts w:hint="eastAsia"/>
                      <w:color w:val="auto"/>
                      <w:highlight w:val="none"/>
                    </w:rPr>
                    <w:t>-</w:t>
                  </w:r>
                </w:p>
              </w:tc>
              <w:tc>
                <w:tcPr>
                  <w:tcW w:w="415" w:type="pct"/>
                  <w:vMerge w:val="continue"/>
                  <w:vAlign w:val="center"/>
                </w:tcPr>
                <w:p w14:paraId="642F5F7B">
                  <w:pPr>
                    <w:pStyle w:val="41"/>
                    <w:bidi w:val="0"/>
                    <w:rPr>
                      <w:color w:val="auto"/>
                      <w:highlight w:val="none"/>
                    </w:rPr>
                  </w:pPr>
                </w:p>
              </w:tc>
            </w:tr>
            <w:tr w14:paraId="413A1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48" w:type="pct"/>
                  <w:gridSpan w:val="5"/>
                  <w:vAlign w:val="center"/>
                </w:tcPr>
                <w:p w14:paraId="493E2EEB">
                  <w:pPr>
                    <w:pStyle w:val="41"/>
                    <w:bidi w:val="0"/>
                    <w:rPr>
                      <w:color w:val="auto"/>
                      <w:highlight w:val="none"/>
                    </w:rPr>
                  </w:pPr>
                  <w:r>
                    <w:rPr>
                      <w:color w:val="auto"/>
                      <w:highlight w:val="none"/>
                    </w:rPr>
                    <w:t>合计</w:t>
                  </w:r>
                </w:p>
              </w:tc>
              <w:tc>
                <w:tcPr>
                  <w:tcW w:w="536" w:type="pct"/>
                  <w:vAlign w:val="center"/>
                </w:tcPr>
                <w:p w14:paraId="57836277">
                  <w:pPr>
                    <w:pStyle w:val="41"/>
                    <w:bidi w:val="0"/>
                    <w:rPr>
                      <w:rFonts w:hint="default"/>
                      <w:color w:val="auto"/>
                      <w:highlight w:val="none"/>
                      <w:lang w:val="en-US"/>
                    </w:rPr>
                  </w:pPr>
                  <w:r>
                    <w:rPr>
                      <w:rFonts w:hint="eastAsia"/>
                      <w:color w:val="auto"/>
                      <w:highlight w:val="none"/>
                      <w:lang w:val="en-US" w:eastAsia="zh-CN"/>
                    </w:rPr>
                    <w:t>80</w:t>
                  </w:r>
                </w:p>
              </w:tc>
              <w:tc>
                <w:tcPr>
                  <w:tcW w:w="415" w:type="pct"/>
                  <w:vMerge w:val="continue"/>
                  <w:vAlign w:val="center"/>
                </w:tcPr>
                <w:p w14:paraId="1F6D9F03">
                  <w:pPr>
                    <w:pStyle w:val="41"/>
                    <w:bidi w:val="0"/>
                    <w:rPr>
                      <w:color w:val="auto"/>
                      <w:highlight w:val="none"/>
                    </w:rPr>
                  </w:pPr>
                </w:p>
              </w:tc>
            </w:tr>
          </w:tbl>
          <w:p w14:paraId="6FD0992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黑体"/>
                <w:snapToGrid w:val="0"/>
                <w:color w:val="auto"/>
                <w:szCs w:val="30"/>
                <w:highlight w:val="none"/>
                <w:vertAlign w:val="baseline"/>
                <w:lang w:val="en-US" w:eastAsia="zh-CN"/>
              </w:rPr>
            </w:pPr>
          </w:p>
        </w:tc>
      </w:tr>
    </w:tbl>
    <w:p w14:paraId="1750A627">
      <w:pPr>
        <w:pStyle w:val="27"/>
        <w:jc w:val="both"/>
        <w:outlineLvl w:val="0"/>
        <w:rPr>
          <w:rFonts w:ascii="Times New Roman" w:hAnsi="Times New Roman" w:eastAsia="黑体"/>
          <w:snapToGrid w:val="0"/>
          <w:color w:val="auto"/>
          <w:sz w:val="30"/>
          <w:szCs w:val="30"/>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1FB05A7">
      <w:pPr>
        <w:pStyle w:val="2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五、</w:t>
      </w:r>
      <w:bookmarkStart w:id="66" w:name="_Hlk54167917"/>
      <w:r>
        <w:rPr>
          <w:rFonts w:ascii="Times New Roman" w:hAnsi="Times New Roman" w:eastAsia="黑体"/>
          <w:snapToGrid w:val="0"/>
          <w:color w:val="auto"/>
          <w:sz w:val="30"/>
          <w:szCs w:val="30"/>
          <w:highlight w:val="none"/>
        </w:rPr>
        <w:t>环境保护措施监督检查清单</w:t>
      </w:r>
      <w:bookmarkEnd w:id="66"/>
    </w:p>
    <w:tbl>
      <w:tblPr>
        <w:tblStyle w:val="32"/>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91"/>
        <w:gridCol w:w="1452"/>
        <w:gridCol w:w="1787"/>
        <w:gridCol w:w="2036"/>
        <w:gridCol w:w="2598"/>
      </w:tblGrid>
      <w:tr w14:paraId="79D57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tcBorders>
              <w:tl2br w:val="single" w:color="auto" w:sz="4" w:space="0"/>
            </w:tcBorders>
          </w:tcPr>
          <w:p w14:paraId="5C00860C">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内容</w:t>
            </w:r>
          </w:p>
          <w:p w14:paraId="6A4AA88F">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p>
          <w:p w14:paraId="1794B2E3">
            <w:pPr>
              <w:keepNext w:val="0"/>
              <w:keepLines w:val="0"/>
              <w:pageBreakBefore w:val="0"/>
              <w:widowControl w:val="0"/>
              <w:kinsoku/>
              <w:wordWrap/>
              <w:overflowPunct/>
              <w:topLinePunct w:val="0"/>
              <w:bidi w:val="0"/>
              <w:adjustRightInd w:val="0"/>
              <w:snapToGrid w:val="0"/>
              <w:spacing w:line="240" w:lineRule="auto"/>
              <w:textAlignment w:val="auto"/>
              <w:rPr>
                <w:b/>
                <w:color w:val="auto"/>
                <w:sz w:val="24"/>
                <w:highlight w:val="none"/>
              </w:rPr>
            </w:pPr>
            <w:r>
              <w:rPr>
                <w:b/>
                <w:color w:val="auto"/>
                <w:sz w:val="24"/>
                <w:highlight w:val="none"/>
              </w:rPr>
              <w:t>要素</w:t>
            </w:r>
          </w:p>
        </w:tc>
        <w:tc>
          <w:tcPr>
            <w:tcW w:w="1194" w:type="pct"/>
            <w:gridSpan w:val="2"/>
            <w:vAlign w:val="center"/>
          </w:tcPr>
          <w:p w14:paraId="32A848D5">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排放口</w:t>
            </w:r>
            <w:r>
              <w:rPr>
                <w:rFonts w:hint="eastAsia"/>
                <w:b/>
                <w:color w:val="auto"/>
                <w:sz w:val="24"/>
                <w:highlight w:val="none"/>
                <w:lang w:eastAsia="zh-CN"/>
              </w:rPr>
              <w:t>（</w:t>
            </w:r>
            <w:r>
              <w:rPr>
                <w:b/>
                <w:color w:val="auto"/>
                <w:sz w:val="24"/>
                <w:highlight w:val="none"/>
              </w:rPr>
              <w:t>编号、名称</w:t>
            </w:r>
            <w:r>
              <w:rPr>
                <w:rFonts w:hint="eastAsia"/>
                <w:b/>
                <w:color w:val="auto"/>
                <w:sz w:val="24"/>
                <w:highlight w:val="none"/>
                <w:lang w:eastAsia="zh-CN"/>
              </w:rPr>
              <w:t>）</w:t>
            </w:r>
            <w:r>
              <w:rPr>
                <w:b/>
                <w:color w:val="auto"/>
                <w:sz w:val="24"/>
                <w:highlight w:val="none"/>
              </w:rPr>
              <w:t>/污染源</w:t>
            </w:r>
          </w:p>
        </w:tc>
        <w:tc>
          <w:tcPr>
            <w:tcW w:w="951" w:type="pct"/>
            <w:vAlign w:val="center"/>
          </w:tcPr>
          <w:p w14:paraId="32F90AA0">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污染物项目</w:t>
            </w:r>
          </w:p>
        </w:tc>
        <w:tc>
          <w:tcPr>
            <w:tcW w:w="1084" w:type="pct"/>
            <w:vAlign w:val="center"/>
          </w:tcPr>
          <w:p w14:paraId="5F18C9F5">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环境保护</w:t>
            </w:r>
          </w:p>
          <w:p w14:paraId="574BE5A0">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措施</w:t>
            </w:r>
          </w:p>
        </w:tc>
        <w:tc>
          <w:tcPr>
            <w:tcW w:w="1383" w:type="pct"/>
            <w:vAlign w:val="center"/>
          </w:tcPr>
          <w:p w14:paraId="5FC1FB2E">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执行标准</w:t>
            </w:r>
          </w:p>
        </w:tc>
      </w:tr>
      <w:tr w14:paraId="473F9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vMerge w:val="restart"/>
            <w:vAlign w:val="center"/>
          </w:tcPr>
          <w:p w14:paraId="7C6F58BE">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rFonts w:hint="eastAsia"/>
                <w:b/>
                <w:color w:val="auto"/>
                <w:sz w:val="24"/>
                <w:highlight w:val="none"/>
              </w:rPr>
              <w:t>大气环境</w:t>
            </w:r>
          </w:p>
        </w:tc>
        <w:tc>
          <w:tcPr>
            <w:tcW w:w="421" w:type="pct"/>
            <w:vMerge w:val="restart"/>
            <w:vAlign w:val="center"/>
          </w:tcPr>
          <w:p w14:paraId="23972BCF">
            <w:pPr>
              <w:keepNext w:val="0"/>
              <w:keepLines w:val="0"/>
              <w:pageBreakBefore w:val="0"/>
              <w:widowControl w:val="0"/>
              <w:kinsoku/>
              <w:wordWrap/>
              <w:overflowPunct/>
              <w:topLinePunct w:val="0"/>
              <w:bidi w:val="0"/>
              <w:snapToGrid w:val="0"/>
              <w:spacing w:line="240" w:lineRule="auto"/>
              <w:jc w:val="center"/>
              <w:textAlignment w:val="auto"/>
              <w:rPr>
                <w:color w:val="auto"/>
                <w:sz w:val="24"/>
                <w:highlight w:val="none"/>
              </w:rPr>
            </w:pPr>
            <w:r>
              <w:rPr>
                <w:rFonts w:hint="eastAsia"/>
                <w:color w:val="auto"/>
                <w:sz w:val="24"/>
                <w:highlight w:val="none"/>
                <w:lang w:val="en-US" w:eastAsia="zh-CN"/>
              </w:rPr>
              <w:t>有</w:t>
            </w:r>
            <w:r>
              <w:rPr>
                <w:rFonts w:hint="eastAsia"/>
                <w:color w:val="auto"/>
                <w:sz w:val="24"/>
                <w:highlight w:val="none"/>
              </w:rPr>
              <w:t>组织废气</w:t>
            </w:r>
          </w:p>
        </w:tc>
        <w:tc>
          <w:tcPr>
            <w:tcW w:w="773" w:type="pct"/>
            <w:shd w:val="clear" w:color="auto" w:fill="auto"/>
            <w:vAlign w:val="center"/>
          </w:tcPr>
          <w:p w14:paraId="37B51B13">
            <w:pPr>
              <w:bidi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试剂挥发废气</w:t>
            </w:r>
          </w:p>
        </w:tc>
        <w:tc>
          <w:tcPr>
            <w:tcW w:w="951" w:type="pct"/>
            <w:shd w:val="clear" w:color="auto" w:fill="auto"/>
            <w:vAlign w:val="center"/>
          </w:tcPr>
          <w:p w14:paraId="65B5C5EE">
            <w:pPr>
              <w:bidi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非甲烷总烃、乙酸乙酯、甲醇、二氯甲烷、乙腈</w:t>
            </w:r>
          </w:p>
        </w:tc>
        <w:tc>
          <w:tcPr>
            <w:tcW w:w="1084" w:type="pct"/>
            <w:vMerge w:val="restart"/>
            <w:shd w:val="clear" w:color="auto" w:fill="auto"/>
            <w:vAlign w:val="center"/>
          </w:tcPr>
          <w:p w14:paraId="6B5F47B1">
            <w:pPr>
              <w:bidi w:val="0"/>
              <w:spacing w:line="240" w:lineRule="auto"/>
              <w:jc w:val="center"/>
              <w:rPr>
                <w:rFonts w:hint="eastAsia"/>
                <w:color w:val="auto"/>
                <w:lang w:val="en-US" w:eastAsia="zh-CN"/>
              </w:rPr>
            </w:pPr>
            <w:r>
              <w:rPr>
                <w:rFonts w:hint="eastAsia"/>
                <w:color w:val="auto"/>
                <w:lang w:val="en-US" w:eastAsia="zh-CN"/>
              </w:rPr>
              <w:t>2套二级活性炭吸附装置（TA005-TA006）+2根楼顶70m排气筒（DA005-DA006）</w:t>
            </w:r>
          </w:p>
        </w:tc>
        <w:tc>
          <w:tcPr>
            <w:tcW w:w="1383" w:type="pct"/>
            <w:vMerge w:val="restart"/>
            <w:vAlign w:val="center"/>
          </w:tcPr>
          <w:p w14:paraId="292885EA">
            <w:pPr>
              <w:keepNext w:val="0"/>
              <w:keepLines w:val="0"/>
              <w:pageBreakBefore w:val="0"/>
              <w:widowControl w:val="0"/>
              <w:kinsoku/>
              <w:wordWrap/>
              <w:overflowPunct/>
              <w:topLinePunct w:val="0"/>
              <w:bidi w:val="0"/>
              <w:snapToGrid w:val="0"/>
              <w:spacing w:line="240" w:lineRule="auto"/>
              <w:jc w:val="center"/>
              <w:textAlignment w:val="auto"/>
              <w:rPr>
                <w:rFonts w:hint="eastAsia" w:eastAsia="宋体"/>
                <w:color w:val="auto"/>
                <w:sz w:val="24"/>
                <w:highlight w:val="none"/>
                <w:lang w:eastAsia="zh-CN"/>
              </w:rPr>
            </w:pPr>
            <w:r>
              <w:rPr>
                <w:rFonts w:hint="default" w:ascii="Times New Roman" w:hAnsi="Times New Roman" w:cs="Times New Roman"/>
                <w:color w:val="auto"/>
                <w:sz w:val="24"/>
                <w:szCs w:val="24"/>
                <w:highlight w:val="none"/>
                <w:lang w:val="zh-TW"/>
              </w:rPr>
              <w:t>《制药工业大气污染物排放标准》（DB32/4042-2021）</w:t>
            </w:r>
          </w:p>
        </w:tc>
      </w:tr>
      <w:tr w14:paraId="5FA956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vMerge w:val="continue"/>
            <w:vAlign w:val="center"/>
          </w:tcPr>
          <w:p w14:paraId="4CB0B69A">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p>
        </w:tc>
        <w:tc>
          <w:tcPr>
            <w:tcW w:w="421" w:type="pct"/>
            <w:vMerge w:val="continue"/>
            <w:vAlign w:val="center"/>
          </w:tcPr>
          <w:p w14:paraId="300BB3C8">
            <w:pPr>
              <w:keepNext w:val="0"/>
              <w:keepLines w:val="0"/>
              <w:pageBreakBefore w:val="0"/>
              <w:widowControl w:val="0"/>
              <w:kinsoku/>
              <w:wordWrap/>
              <w:overflowPunct/>
              <w:topLinePunct w:val="0"/>
              <w:bidi w:val="0"/>
              <w:snapToGrid w:val="0"/>
              <w:spacing w:line="240" w:lineRule="auto"/>
              <w:jc w:val="center"/>
              <w:textAlignment w:val="auto"/>
              <w:rPr>
                <w:color w:val="auto"/>
                <w:sz w:val="24"/>
                <w:highlight w:val="none"/>
              </w:rPr>
            </w:pPr>
          </w:p>
        </w:tc>
        <w:tc>
          <w:tcPr>
            <w:tcW w:w="773" w:type="pct"/>
            <w:shd w:val="clear" w:color="auto" w:fill="auto"/>
            <w:vAlign w:val="center"/>
          </w:tcPr>
          <w:p w14:paraId="1C339196">
            <w:pPr>
              <w:bidi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危化品库废气</w:t>
            </w:r>
          </w:p>
        </w:tc>
        <w:tc>
          <w:tcPr>
            <w:tcW w:w="951" w:type="pct"/>
            <w:shd w:val="clear" w:color="auto" w:fill="auto"/>
            <w:vAlign w:val="center"/>
          </w:tcPr>
          <w:p w14:paraId="7C034742">
            <w:pPr>
              <w:bidi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非甲烷总烃、乙酸乙酯、甲醇、二氯甲烷、乙腈</w:t>
            </w:r>
          </w:p>
        </w:tc>
        <w:tc>
          <w:tcPr>
            <w:tcW w:w="1084" w:type="pct"/>
            <w:vMerge w:val="continue"/>
            <w:shd w:val="clear" w:color="auto" w:fill="auto"/>
            <w:vAlign w:val="center"/>
          </w:tcPr>
          <w:p w14:paraId="2BDBC1C2">
            <w:pPr>
              <w:bidi w:val="0"/>
              <w:spacing w:line="240" w:lineRule="auto"/>
              <w:jc w:val="center"/>
              <w:rPr>
                <w:rFonts w:hint="default"/>
                <w:color w:val="auto"/>
                <w:lang w:val="en-US" w:eastAsia="zh-CN"/>
              </w:rPr>
            </w:pPr>
          </w:p>
        </w:tc>
        <w:tc>
          <w:tcPr>
            <w:tcW w:w="1383" w:type="pct"/>
            <w:vMerge w:val="continue"/>
            <w:vAlign w:val="center"/>
          </w:tcPr>
          <w:p w14:paraId="48F6C8CB">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color w:val="auto"/>
                <w:sz w:val="24"/>
                <w:szCs w:val="24"/>
                <w:highlight w:val="none"/>
              </w:rPr>
            </w:pPr>
          </w:p>
        </w:tc>
      </w:tr>
      <w:tr w14:paraId="538F51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vMerge w:val="continue"/>
            <w:vAlign w:val="center"/>
          </w:tcPr>
          <w:p w14:paraId="4479C5EB">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p>
        </w:tc>
        <w:tc>
          <w:tcPr>
            <w:tcW w:w="421" w:type="pct"/>
            <w:vMerge w:val="continue"/>
            <w:vAlign w:val="center"/>
          </w:tcPr>
          <w:p w14:paraId="3F9AD066">
            <w:pPr>
              <w:keepNext w:val="0"/>
              <w:keepLines w:val="0"/>
              <w:pageBreakBefore w:val="0"/>
              <w:widowControl w:val="0"/>
              <w:kinsoku/>
              <w:wordWrap/>
              <w:overflowPunct/>
              <w:topLinePunct w:val="0"/>
              <w:bidi w:val="0"/>
              <w:snapToGrid w:val="0"/>
              <w:spacing w:line="240" w:lineRule="auto"/>
              <w:jc w:val="center"/>
              <w:textAlignment w:val="auto"/>
              <w:rPr>
                <w:color w:val="auto"/>
                <w:sz w:val="24"/>
                <w:highlight w:val="none"/>
              </w:rPr>
            </w:pPr>
          </w:p>
        </w:tc>
        <w:tc>
          <w:tcPr>
            <w:tcW w:w="773" w:type="pct"/>
            <w:shd w:val="clear" w:color="auto" w:fill="auto"/>
            <w:vAlign w:val="center"/>
          </w:tcPr>
          <w:p w14:paraId="05700AF6">
            <w:pPr>
              <w:bidi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污水站废气</w:t>
            </w:r>
          </w:p>
        </w:tc>
        <w:tc>
          <w:tcPr>
            <w:tcW w:w="951" w:type="pct"/>
            <w:shd w:val="clear" w:color="auto" w:fill="auto"/>
            <w:vAlign w:val="center"/>
          </w:tcPr>
          <w:p w14:paraId="398F42E8">
            <w:pPr>
              <w:bidi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氨、硫化氢、臭气浓度</w:t>
            </w:r>
          </w:p>
        </w:tc>
        <w:tc>
          <w:tcPr>
            <w:tcW w:w="1084" w:type="pct"/>
            <w:shd w:val="clear" w:color="auto" w:fill="auto"/>
            <w:vAlign w:val="center"/>
          </w:tcPr>
          <w:p w14:paraId="38BA4EBF">
            <w:pPr>
              <w:bidi w:val="0"/>
              <w:spacing w:line="240" w:lineRule="auto"/>
              <w:jc w:val="center"/>
              <w:rPr>
                <w:rFonts w:hint="default"/>
                <w:color w:val="auto"/>
                <w:lang w:val="en-US" w:eastAsia="zh-CN"/>
              </w:rPr>
            </w:pPr>
            <w:r>
              <w:rPr>
                <w:rFonts w:hint="eastAsia" w:cs="Times New Roman"/>
                <w:color w:val="auto"/>
                <w:szCs w:val="24"/>
                <w:highlight w:val="none"/>
                <w:lang w:val="en-US" w:eastAsia="zh-CN"/>
              </w:rPr>
              <w:t>“水喷淋+除雾+活性炭吸附”TA007+15m排气筒DA007</w:t>
            </w:r>
          </w:p>
        </w:tc>
        <w:tc>
          <w:tcPr>
            <w:tcW w:w="1383" w:type="pct"/>
            <w:vMerge w:val="continue"/>
            <w:vAlign w:val="center"/>
          </w:tcPr>
          <w:p w14:paraId="0505C978">
            <w:pPr>
              <w:keepNext w:val="0"/>
              <w:keepLines w:val="0"/>
              <w:pageBreakBefore w:val="0"/>
              <w:widowControl w:val="0"/>
              <w:kinsoku/>
              <w:wordWrap/>
              <w:overflowPunct/>
              <w:topLinePunct w:val="0"/>
              <w:bidi w:val="0"/>
              <w:snapToGrid w:val="0"/>
              <w:spacing w:line="240" w:lineRule="auto"/>
              <w:jc w:val="center"/>
              <w:textAlignment w:val="auto"/>
              <w:rPr>
                <w:rFonts w:hint="eastAsia" w:eastAsia="宋体"/>
                <w:color w:val="auto"/>
                <w:sz w:val="24"/>
                <w:highlight w:val="none"/>
                <w:lang w:eastAsia="zh-CN"/>
              </w:rPr>
            </w:pPr>
          </w:p>
        </w:tc>
      </w:tr>
      <w:tr w14:paraId="5699EC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vMerge w:val="continue"/>
            <w:vAlign w:val="center"/>
          </w:tcPr>
          <w:p w14:paraId="5AD36B2D">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p>
        </w:tc>
        <w:tc>
          <w:tcPr>
            <w:tcW w:w="421" w:type="pct"/>
            <w:vMerge w:val="restart"/>
            <w:vAlign w:val="center"/>
          </w:tcPr>
          <w:p w14:paraId="2AEB32A7">
            <w:pPr>
              <w:keepNext w:val="0"/>
              <w:keepLines w:val="0"/>
              <w:pageBreakBefore w:val="0"/>
              <w:widowControl w:val="0"/>
              <w:kinsoku/>
              <w:wordWrap/>
              <w:overflowPunct/>
              <w:topLinePunct w:val="0"/>
              <w:bidi w:val="0"/>
              <w:snapToGrid w:val="0"/>
              <w:spacing w:line="240" w:lineRule="auto"/>
              <w:jc w:val="center"/>
              <w:textAlignment w:val="auto"/>
              <w:rPr>
                <w:color w:val="auto"/>
                <w:sz w:val="24"/>
                <w:highlight w:val="none"/>
              </w:rPr>
            </w:pPr>
            <w:r>
              <w:rPr>
                <w:color w:val="auto"/>
                <w:sz w:val="24"/>
                <w:highlight w:val="none"/>
              </w:rPr>
              <w:t>无组织废气</w:t>
            </w:r>
          </w:p>
        </w:tc>
        <w:tc>
          <w:tcPr>
            <w:tcW w:w="773" w:type="pct"/>
            <w:shd w:val="clear" w:color="auto" w:fill="auto"/>
            <w:vAlign w:val="center"/>
          </w:tcPr>
          <w:p w14:paraId="7902E1C7">
            <w:pPr>
              <w:pStyle w:val="41"/>
              <w:bidi w:val="0"/>
              <w:spacing w:line="240" w:lineRule="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生物安全柜废气</w:t>
            </w:r>
          </w:p>
        </w:tc>
        <w:tc>
          <w:tcPr>
            <w:tcW w:w="951" w:type="pct"/>
            <w:shd w:val="clear" w:color="auto" w:fill="auto"/>
            <w:vAlign w:val="center"/>
          </w:tcPr>
          <w:p w14:paraId="0AEDF573">
            <w:pPr>
              <w:bidi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NH</w:t>
            </w:r>
            <w:r>
              <w:rPr>
                <w:rFonts w:hint="default"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lang w:val="en-US" w:eastAsia="zh-CN"/>
              </w:rPr>
              <w:t>、臭气浓度</w:t>
            </w:r>
            <w:r>
              <w:rPr>
                <w:rFonts w:hint="eastAsia" w:cs="Times New Roman"/>
                <w:color w:val="auto"/>
                <w:lang w:val="en-US" w:eastAsia="zh-CN"/>
              </w:rPr>
              <w:t>、气溶胶</w:t>
            </w:r>
          </w:p>
        </w:tc>
        <w:tc>
          <w:tcPr>
            <w:tcW w:w="1084" w:type="pct"/>
            <w:shd w:val="clear" w:color="auto" w:fill="auto"/>
            <w:vAlign w:val="center"/>
          </w:tcPr>
          <w:p w14:paraId="69443F18">
            <w:pPr>
              <w:bidi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生物安全柜</w:t>
            </w:r>
            <w:r>
              <w:rPr>
                <w:rFonts w:hint="eastAsia" w:cs="Times New Roman"/>
                <w:color w:val="auto"/>
                <w:lang w:val="en-US" w:eastAsia="zh-CN"/>
              </w:rPr>
              <w:t>自带的</w:t>
            </w:r>
            <w:r>
              <w:rPr>
                <w:rFonts w:hint="eastAsia" w:ascii="Times New Roman" w:hAnsi="Times New Roman" w:eastAsia="宋体" w:cs="Times New Roman"/>
                <w:color w:val="auto"/>
                <w:lang w:val="en-US" w:eastAsia="zh-CN"/>
              </w:rPr>
              <w:t>ULPA过滤器处理后无组织排放</w:t>
            </w:r>
          </w:p>
        </w:tc>
        <w:tc>
          <w:tcPr>
            <w:tcW w:w="1383" w:type="pct"/>
            <w:vMerge w:val="restart"/>
            <w:vAlign w:val="center"/>
          </w:tcPr>
          <w:p w14:paraId="1AE265A2">
            <w:pPr>
              <w:keepNext w:val="0"/>
              <w:keepLines w:val="0"/>
              <w:pageBreakBefore w:val="0"/>
              <w:widowControl w:val="0"/>
              <w:kinsoku/>
              <w:wordWrap/>
              <w:overflowPunct/>
              <w:topLinePunct w:val="0"/>
              <w:bidi w:val="0"/>
              <w:snapToGrid w:val="0"/>
              <w:spacing w:line="240" w:lineRule="auto"/>
              <w:jc w:val="center"/>
              <w:textAlignment w:val="auto"/>
              <w:rPr>
                <w:rFonts w:hint="eastAsia" w:eastAsia="宋体"/>
                <w:color w:val="auto"/>
                <w:sz w:val="24"/>
                <w:highlight w:val="none"/>
                <w:lang w:eastAsia="zh-CN"/>
              </w:rPr>
            </w:pPr>
            <w:r>
              <w:rPr>
                <w:rFonts w:hint="eastAsia" w:eastAsia="宋体"/>
                <w:color w:val="auto"/>
                <w:sz w:val="24"/>
                <w:highlight w:val="none"/>
                <w:lang w:eastAsia="zh-CN"/>
              </w:rPr>
              <w:t>《制药工业大气污染物排放标准》（DB32/4042-2021）表7</w:t>
            </w:r>
            <w:r>
              <w:rPr>
                <w:rFonts w:hint="eastAsia"/>
                <w:color w:val="auto"/>
                <w:sz w:val="24"/>
                <w:highlight w:val="none"/>
                <w:lang w:eastAsia="zh-CN"/>
              </w:rPr>
              <w:t>；</w:t>
            </w:r>
            <w:r>
              <w:rPr>
                <w:rFonts w:hint="eastAsia" w:eastAsia="宋体"/>
                <w:color w:val="auto"/>
                <w:sz w:val="24"/>
                <w:highlight w:val="none"/>
                <w:lang w:eastAsia="zh-CN"/>
              </w:rPr>
              <w:t>《恶臭污染物排放标准》（GB14554-93）表1</w:t>
            </w:r>
            <w:r>
              <w:rPr>
                <w:rFonts w:hint="eastAsia"/>
                <w:color w:val="auto"/>
                <w:sz w:val="24"/>
                <w:highlight w:val="none"/>
                <w:lang w:eastAsia="zh-CN"/>
              </w:rPr>
              <w:t>；</w:t>
            </w:r>
            <w:r>
              <w:rPr>
                <w:rFonts w:hint="eastAsia" w:eastAsia="宋体"/>
                <w:color w:val="auto"/>
                <w:sz w:val="24"/>
                <w:highlight w:val="none"/>
                <w:lang w:eastAsia="zh-CN"/>
              </w:rPr>
              <w:t>《大气污染物综合排放标准》（DB32/4041-2021）表3</w:t>
            </w:r>
          </w:p>
        </w:tc>
      </w:tr>
      <w:tr w14:paraId="147471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vMerge w:val="continue"/>
            <w:vAlign w:val="center"/>
          </w:tcPr>
          <w:p w14:paraId="23A166A2">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p>
        </w:tc>
        <w:tc>
          <w:tcPr>
            <w:tcW w:w="421" w:type="pct"/>
            <w:vMerge w:val="continue"/>
            <w:vAlign w:val="center"/>
          </w:tcPr>
          <w:p w14:paraId="22D9A58B">
            <w:pPr>
              <w:keepNext w:val="0"/>
              <w:keepLines w:val="0"/>
              <w:pageBreakBefore w:val="0"/>
              <w:widowControl w:val="0"/>
              <w:kinsoku/>
              <w:wordWrap/>
              <w:overflowPunct/>
              <w:topLinePunct w:val="0"/>
              <w:bidi w:val="0"/>
              <w:snapToGrid w:val="0"/>
              <w:spacing w:line="240" w:lineRule="auto"/>
              <w:jc w:val="center"/>
              <w:textAlignment w:val="auto"/>
              <w:rPr>
                <w:color w:val="auto"/>
                <w:sz w:val="24"/>
                <w:highlight w:val="none"/>
              </w:rPr>
            </w:pPr>
          </w:p>
        </w:tc>
        <w:tc>
          <w:tcPr>
            <w:tcW w:w="773" w:type="pct"/>
            <w:shd w:val="clear" w:color="auto" w:fill="auto"/>
            <w:vAlign w:val="center"/>
          </w:tcPr>
          <w:p w14:paraId="7496C138">
            <w:pPr>
              <w:bidi w:val="0"/>
              <w:spacing w:line="240" w:lineRule="auto"/>
              <w:jc w:val="center"/>
              <w:rPr>
                <w:rFonts w:hint="eastAsia"/>
                <w:lang w:val="en-US" w:eastAsia="zh-CN"/>
              </w:rPr>
            </w:pPr>
            <w:r>
              <w:rPr>
                <w:rFonts w:hint="eastAsia"/>
                <w:lang w:val="en-US" w:eastAsia="zh-CN"/>
              </w:rPr>
              <w:t>粉碎废气</w:t>
            </w:r>
          </w:p>
        </w:tc>
        <w:tc>
          <w:tcPr>
            <w:tcW w:w="951" w:type="pct"/>
            <w:shd w:val="clear" w:color="auto" w:fill="auto"/>
            <w:vAlign w:val="center"/>
          </w:tcPr>
          <w:p w14:paraId="03338670">
            <w:pPr>
              <w:bidi w:val="0"/>
              <w:spacing w:line="240" w:lineRule="auto"/>
              <w:jc w:val="center"/>
              <w:rPr>
                <w:rFonts w:hint="default"/>
                <w:lang w:val="en-US" w:eastAsia="zh-CN"/>
              </w:rPr>
            </w:pPr>
            <w:r>
              <w:rPr>
                <w:rFonts w:hint="eastAsia"/>
                <w:lang w:val="en-US" w:eastAsia="zh-CN"/>
              </w:rPr>
              <w:t>颗粒物</w:t>
            </w:r>
          </w:p>
        </w:tc>
        <w:tc>
          <w:tcPr>
            <w:tcW w:w="1084" w:type="pct"/>
            <w:shd w:val="clear" w:color="auto" w:fill="auto"/>
            <w:vAlign w:val="center"/>
          </w:tcPr>
          <w:p w14:paraId="4516383E">
            <w:pPr>
              <w:bidi w:val="0"/>
              <w:spacing w:line="240" w:lineRule="auto"/>
              <w:jc w:val="center"/>
              <w:rPr>
                <w:rFonts w:hint="eastAsia"/>
                <w:lang w:val="en-US" w:eastAsia="zh-CN"/>
              </w:rPr>
            </w:pPr>
            <w:r>
              <w:rPr>
                <w:rFonts w:hint="eastAsia"/>
                <w:lang w:val="en-US" w:eastAsia="zh-CN"/>
              </w:rPr>
              <w:t>无组织排放</w:t>
            </w:r>
          </w:p>
        </w:tc>
        <w:tc>
          <w:tcPr>
            <w:tcW w:w="1383" w:type="pct"/>
            <w:vMerge w:val="continue"/>
            <w:vAlign w:val="center"/>
          </w:tcPr>
          <w:p w14:paraId="6BEE2729">
            <w:pPr>
              <w:keepNext w:val="0"/>
              <w:keepLines w:val="0"/>
              <w:pageBreakBefore w:val="0"/>
              <w:widowControl w:val="0"/>
              <w:kinsoku/>
              <w:wordWrap/>
              <w:overflowPunct/>
              <w:topLinePunct w:val="0"/>
              <w:bidi w:val="0"/>
              <w:snapToGrid w:val="0"/>
              <w:spacing w:line="240" w:lineRule="auto"/>
              <w:jc w:val="center"/>
              <w:textAlignment w:val="auto"/>
              <w:rPr>
                <w:rFonts w:hint="eastAsia" w:eastAsia="宋体"/>
                <w:color w:val="auto"/>
                <w:sz w:val="24"/>
                <w:highlight w:val="none"/>
                <w:lang w:eastAsia="zh-CN"/>
              </w:rPr>
            </w:pPr>
          </w:p>
        </w:tc>
      </w:tr>
      <w:tr w14:paraId="305C5E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vMerge w:val="continue"/>
            <w:vAlign w:val="center"/>
          </w:tcPr>
          <w:p w14:paraId="3181CA32">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p>
        </w:tc>
        <w:tc>
          <w:tcPr>
            <w:tcW w:w="421" w:type="pct"/>
            <w:vMerge w:val="continue"/>
            <w:vAlign w:val="center"/>
          </w:tcPr>
          <w:p w14:paraId="28F9EA33">
            <w:pPr>
              <w:keepNext w:val="0"/>
              <w:keepLines w:val="0"/>
              <w:pageBreakBefore w:val="0"/>
              <w:widowControl w:val="0"/>
              <w:kinsoku/>
              <w:wordWrap/>
              <w:overflowPunct/>
              <w:topLinePunct w:val="0"/>
              <w:bidi w:val="0"/>
              <w:snapToGrid w:val="0"/>
              <w:spacing w:line="240" w:lineRule="auto"/>
              <w:jc w:val="center"/>
              <w:textAlignment w:val="auto"/>
              <w:rPr>
                <w:color w:val="auto"/>
                <w:sz w:val="24"/>
                <w:highlight w:val="none"/>
              </w:rPr>
            </w:pPr>
          </w:p>
        </w:tc>
        <w:tc>
          <w:tcPr>
            <w:tcW w:w="773" w:type="pct"/>
            <w:shd w:val="clear" w:color="auto" w:fill="auto"/>
            <w:vAlign w:val="center"/>
          </w:tcPr>
          <w:p w14:paraId="25F43596">
            <w:pPr>
              <w:bidi w:val="0"/>
              <w:spacing w:line="240" w:lineRule="auto"/>
              <w:jc w:val="center"/>
              <w:rPr>
                <w:rFonts w:hint="eastAsia"/>
                <w:lang w:val="en-US" w:eastAsia="zh-CN"/>
              </w:rPr>
            </w:pPr>
            <w:r>
              <w:rPr>
                <w:rFonts w:hint="eastAsia"/>
                <w:lang w:val="en-US" w:eastAsia="zh-CN"/>
              </w:rPr>
              <w:t>制粒废气</w:t>
            </w:r>
          </w:p>
        </w:tc>
        <w:tc>
          <w:tcPr>
            <w:tcW w:w="951" w:type="pct"/>
            <w:shd w:val="clear" w:color="auto" w:fill="auto"/>
            <w:vAlign w:val="center"/>
          </w:tcPr>
          <w:p w14:paraId="2D7379DA">
            <w:pPr>
              <w:bidi w:val="0"/>
              <w:spacing w:line="240" w:lineRule="auto"/>
              <w:jc w:val="center"/>
              <w:rPr>
                <w:rFonts w:hint="default"/>
                <w:lang w:val="en-US" w:eastAsia="zh-CN"/>
              </w:rPr>
            </w:pPr>
            <w:r>
              <w:rPr>
                <w:rFonts w:hint="eastAsia"/>
                <w:lang w:val="en-US" w:eastAsia="zh-CN"/>
              </w:rPr>
              <w:t>颗粒物</w:t>
            </w:r>
          </w:p>
        </w:tc>
        <w:tc>
          <w:tcPr>
            <w:tcW w:w="1084" w:type="pct"/>
            <w:shd w:val="clear" w:color="auto" w:fill="auto"/>
            <w:vAlign w:val="center"/>
          </w:tcPr>
          <w:p w14:paraId="15DB8D5E">
            <w:pPr>
              <w:bidi w:val="0"/>
              <w:spacing w:line="240" w:lineRule="auto"/>
              <w:jc w:val="center"/>
              <w:rPr>
                <w:rFonts w:hint="eastAsia"/>
                <w:lang w:val="en-US" w:eastAsia="zh-CN"/>
              </w:rPr>
            </w:pPr>
            <w:r>
              <w:rPr>
                <w:rFonts w:hint="eastAsia"/>
                <w:lang w:val="en-US" w:eastAsia="zh-CN"/>
              </w:rPr>
              <w:t>无组织排放</w:t>
            </w:r>
          </w:p>
        </w:tc>
        <w:tc>
          <w:tcPr>
            <w:tcW w:w="1383" w:type="pct"/>
            <w:vMerge w:val="continue"/>
            <w:vAlign w:val="center"/>
          </w:tcPr>
          <w:p w14:paraId="351B68F8">
            <w:pPr>
              <w:keepNext w:val="0"/>
              <w:keepLines w:val="0"/>
              <w:pageBreakBefore w:val="0"/>
              <w:widowControl w:val="0"/>
              <w:kinsoku/>
              <w:wordWrap/>
              <w:overflowPunct/>
              <w:topLinePunct w:val="0"/>
              <w:bidi w:val="0"/>
              <w:snapToGrid w:val="0"/>
              <w:spacing w:line="240" w:lineRule="auto"/>
              <w:jc w:val="center"/>
              <w:textAlignment w:val="auto"/>
              <w:rPr>
                <w:rFonts w:hint="eastAsia" w:eastAsia="宋体"/>
                <w:color w:val="auto"/>
                <w:sz w:val="24"/>
                <w:highlight w:val="none"/>
                <w:lang w:eastAsia="zh-CN"/>
              </w:rPr>
            </w:pPr>
          </w:p>
        </w:tc>
      </w:tr>
      <w:tr w14:paraId="198DF6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vMerge w:val="continue"/>
            <w:vAlign w:val="center"/>
          </w:tcPr>
          <w:p w14:paraId="7CAFF1B4">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p>
        </w:tc>
        <w:tc>
          <w:tcPr>
            <w:tcW w:w="421" w:type="pct"/>
            <w:vMerge w:val="continue"/>
            <w:vAlign w:val="center"/>
          </w:tcPr>
          <w:p w14:paraId="52F377D3">
            <w:pPr>
              <w:keepNext w:val="0"/>
              <w:keepLines w:val="0"/>
              <w:pageBreakBefore w:val="0"/>
              <w:widowControl w:val="0"/>
              <w:kinsoku/>
              <w:wordWrap/>
              <w:overflowPunct/>
              <w:topLinePunct w:val="0"/>
              <w:bidi w:val="0"/>
              <w:snapToGrid w:val="0"/>
              <w:spacing w:line="240" w:lineRule="auto"/>
              <w:jc w:val="center"/>
              <w:textAlignment w:val="auto"/>
              <w:rPr>
                <w:color w:val="auto"/>
                <w:sz w:val="24"/>
                <w:highlight w:val="none"/>
              </w:rPr>
            </w:pPr>
          </w:p>
        </w:tc>
        <w:tc>
          <w:tcPr>
            <w:tcW w:w="773" w:type="pct"/>
            <w:shd w:val="clear" w:color="auto" w:fill="auto"/>
            <w:vAlign w:val="center"/>
          </w:tcPr>
          <w:p w14:paraId="2BBCBAF5">
            <w:pPr>
              <w:bidi w:val="0"/>
              <w:spacing w:line="240" w:lineRule="auto"/>
              <w:jc w:val="center"/>
              <w:rPr>
                <w:rFonts w:hint="eastAsia"/>
                <w:lang w:val="en-US" w:eastAsia="zh-CN"/>
              </w:rPr>
            </w:pPr>
            <w:r>
              <w:rPr>
                <w:rFonts w:hint="eastAsia"/>
                <w:lang w:val="en-US" w:eastAsia="zh-CN"/>
              </w:rPr>
              <w:t>危废贮存废气</w:t>
            </w:r>
          </w:p>
        </w:tc>
        <w:tc>
          <w:tcPr>
            <w:tcW w:w="951" w:type="pct"/>
            <w:shd w:val="clear" w:color="auto" w:fill="auto"/>
            <w:vAlign w:val="center"/>
          </w:tcPr>
          <w:p w14:paraId="31EDF02A">
            <w:pPr>
              <w:bidi w:val="0"/>
              <w:spacing w:line="240" w:lineRule="auto"/>
              <w:jc w:val="center"/>
              <w:rPr>
                <w:rFonts w:hint="default"/>
                <w:lang w:val="en-US" w:eastAsia="zh-CN"/>
              </w:rPr>
            </w:pPr>
            <w:r>
              <w:rPr>
                <w:rFonts w:hint="eastAsia"/>
              </w:rPr>
              <w:t>NMHC</w:t>
            </w:r>
          </w:p>
        </w:tc>
        <w:tc>
          <w:tcPr>
            <w:tcW w:w="1084" w:type="pct"/>
            <w:shd w:val="clear" w:color="auto" w:fill="auto"/>
            <w:vAlign w:val="center"/>
          </w:tcPr>
          <w:p w14:paraId="1DFF2C3C">
            <w:pPr>
              <w:bidi w:val="0"/>
              <w:spacing w:line="240" w:lineRule="auto"/>
              <w:jc w:val="center"/>
              <w:rPr>
                <w:rFonts w:hint="eastAsia"/>
                <w:lang w:val="en-US" w:eastAsia="zh-CN"/>
              </w:rPr>
            </w:pPr>
            <w:r>
              <w:rPr>
                <w:rFonts w:hint="eastAsia"/>
                <w:lang w:val="en-US" w:eastAsia="zh-CN"/>
              </w:rPr>
              <w:t>无组织排放</w:t>
            </w:r>
          </w:p>
        </w:tc>
        <w:tc>
          <w:tcPr>
            <w:tcW w:w="1383" w:type="pct"/>
            <w:vMerge w:val="continue"/>
            <w:vAlign w:val="center"/>
          </w:tcPr>
          <w:p w14:paraId="0FF013AD">
            <w:pPr>
              <w:keepNext w:val="0"/>
              <w:keepLines w:val="0"/>
              <w:pageBreakBefore w:val="0"/>
              <w:widowControl w:val="0"/>
              <w:kinsoku/>
              <w:wordWrap/>
              <w:overflowPunct/>
              <w:topLinePunct w:val="0"/>
              <w:bidi w:val="0"/>
              <w:snapToGrid w:val="0"/>
              <w:spacing w:line="240" w:lineRule="auto"/>
              <w:jc w:val="center"/>
              <w:textAlignment w:val="auto"/>
              <w:rPr>
                <w:rFonts w:hint="eastAsia" w:eastAsia="宋体"/>
                <w:color w:val="auto"/>
                <w:sz w:val="24"/>
                <w:highlight w:val="none"/>
                <w:lang w:eastAsia="zh-CN"/>
              </w:rPr>
            </w:pPr>
          </w:p>
        </w:tc>
      </w:tr>
      <w:tr w14:paraId="6D0E6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vMerge w:val="restart"/>
            <w:vAlign w:val="center"/>
          </w:tcPr>
          <w:p w14:paraId="3E30A41D">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地表水环境</w:t>
            </w:r>
          </w:p>
        </w:tc>
        <w:tc>
          <w:tcPr>
            <w:tcW w:w="421" w:type="pct"/>
            <w:vMerge w:val="restart"/>
            <w:vAlign w:val="center"/>
          </w:tcPr>
          <w:p w14:paraId="407C8440">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4"/>
                <w:highlight w:val="none"/>
              </w:rPr>
            </w:pPr>
            <w:r>
              <w:rPr>
                <w:rFonts w:hint="eastAsia"/>
                <w:color w:val="auto"/>
                <w:sz w:val="24"/>
                <w:highlight w:val="none"/>
                <w:lang w:val="en-US" w:eastAsia="zh-CN"/>
              </w:rPr>
              <w:t>废水总排口</w:t>
            </w:r>
            <w:r>
              <w:rPr>
                <w:color w:val="auto"/>
                <w:sz w:val="24"/>
                <w:highlight w:val="none"/>
              </w:rPr>
              <w:t>DW001</w:t>
            </w:r>
          </w:p>
        </w:tc>
        <w:tc>
          <w:tcPr>
            <w:tcW w:w="773" w:type="pct"/>
            <w:shd w:val="clear" w:color="auto" w:fill="auto"/>
            <w:vAlign w:val="center"/>
          </w:tcPr>
          <w:p w14:paraId="5E91F35A">
            <w:pPr>
              <w:pStyle w:val="41"/>
              <w:bidi w:val="0"/>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仪器及器皿后续清洗废水</w:t>
            </w:r>
          </w:p>
        </w:tc>
        <w:tc>
          <w:tcPr>
            <w:tcW w:w="951" w:type="pct"/>
            <w:shd w:val="clear" w:color="auto" w:fill="auto"/>
            <w:vAlign w:val="center"/>
          </w:tcPr>
          <w:p w14:paraId="16D8443A">
            <w:pPr>
              <w:pStyle w:val="41"/>
              <w:bidi w:val="0"/>
              <w:rPr>
                <w:rFonts w:hint="default" w:ascii="Times New Roman" w:hAnsi="Times New Roman" w:eastAsia="宋体" w:cs="Times New Roman"/>
                <w:color w:val="auto"/>
                <w:kern w:val="0"/>
                <w:sz w:val="24"/>
                <w:szCs w:val="24"/>
                <w:highlight w:val="none"/>
                <w:lang w:val="en-US" w:eastAsia="zh-CN" w:bidi="ar-SA"/>
              </w:rPr>
            </w:pPr>
            <w:r>
              <w:rPr>
                <w:rFonts w:hint="eastAsia"/>
                <w:color w:val="auto"/>
                <w:sz w:val="24"/>
                <w:szCs w:val="24"/>
                <w:highlight w:val="none"/>
                <w:lang w:val="en-US" w:eastAsia="zh-CN"/>
              </w:rPr>
              <w:t>pH、</w:t>
            </w:r>
            <w:r>
              <w:rPr>
                <w:color w:val="auto"/>
                <w:sz w:val="24"/>
                <w:szCs w:val="24"/>
                <w:highlight w:val="none"/>
              </w:rPr>
              <w:t>COD、SS、NH</w:t>
            </w:r>
            <w:r>
              <w:rPr>
                <w:color w:val="auto"/>
                <w:sz w:val="24"/>
                <w:szCs w:val="24"/>
                <w:highlight w:val="none"/>
                <w:vertAlign w:val="subscript"/>
              </w:rPr>
              <w:t>3</w:t>
            </w:r>
            <w:r>
              <w:rPr>
                <w:color w:val="auto"/>
                <w:sz w:val="24"/>
                <w:szCs w:val="24"/>
                <w:highlight w:val="none"/>
              </w:rPr>
              <w:t>-N、</w:t>
            </w:r>
            <w:r>
              <w:rPr>
                <w:rFonts w:hint="eastAsia"/>
                <w:color w:val="auto"/>
                <w:sz w:val="24"/>
                <w:szCs w:val="24"/>
                <w:highlight w:val="none"/>
              </w:rPr>
              <w:t>TN</w:t>
            </w:r>
            <w:r>
              <w:rPr>
                <w:rFonts w:hint="eastAsia"/>
                <w:color w:val="auto"/>
                <w:sz w:val="24"/>
                <w:szCs w:val="24"/>
                <w:highlight w:val="none"/>
                <w:lang w:eastAsia="zh-CN"/>
              </w:rPr>
              <w:t>、</w:t>
            </w:r>
            <w:r>
              <w:rPr>
                <w:rFonts w:hint="eastAsia"/>
                <w:color w:val="auto"/>
                <w:sz w:val="24"/>
                <w:szCs w:val="24"/>
                <w:highlight w:val="none"/>
                <w:lang w:val="en-US" w:eastAsia="zh-CN"/>
              </w:rPr>
              <w:t>TP</w:t>
            </w:r>
          </w:p>
        </w:tc>
        <w:tc>
          <w:tcPr>
            <w:tcW w:w="1084" w:type="pct"/>
            <w:vMerge w:val="restart"/>
            <w:vAlign w:val="center"/>
          </w:tcPr>
          <w:p w14:paraId="7F33CEAA">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sz w:val="24"/>
                <w:highlight w:val="none"/>
                <w:lang w:val="en-US" w:eastAsia="zh-CN"/>
              </w:rPr>
            </w:pPr>
            <w:r>
              <w:rPr>
                <w:rFonts w:hint="eastAsia"/>
                <w:color w:val="auto"/>
                <w:highlight w:val="none"/>
                <w:lang w:val="en-US" w:eastAsia="zh-CN"/>
              </w:rPr>
              <w:t>25t/d污水处理站（1号楼）TW003，处理工艺：中和+混凝沉淀+水解酸化+AO</w:t>
            </w:r>
          </w:p>
        </w:tc>
        <w:tc>
          <w:tcPr>
            <w:tcW w:w="1383" w:type="pct"/>
            <w:vMerge w:val="restart"/>
            <w:vAlign w:val="center"/>
          </w:tcPr>
          <w:p w14:paraId="5F14826B">
            <w:pPr>
              <w:keepNext w:val="0"/>
              <w:keepLines w:val="0"/>
              <w:pageBreakBefore w:val="0"/>
              <w:widowControl w:val="0"/>
              <w:kinsoku/>
              <w:wordWrap/>
              <w:overflowPunct/>
              <w:topLinePunct w:val="0"/>
              <w:bidi w:val="0"/>
              <w:snapToGrid w:val="0"/>
              <w:spacing w:line="240" w:lineRule="auto"/>
              <w:jc w:val="center"/>
              <w:textAlignment w:val="auto"/>
              <w:rPr>
                <w:color w:val="auto"/>
                <w:sz w:val="24"/>
                <w:highlight w:val="none"/>
              </w:rPr>
            </w:pPr>
            <w:r>
              <w:rPr>
                <w:rFonts w:hint="eastAsia"/>
                <w:color w:val="auto"/>
                <w:sz w:val="24"/>
                <w:highlight w:val="none"/>
                <w:lang w:eastAsia="zh-CN"/>
              </w:rPr>
              <w:t>高新区污水处理厂</w:t>
            </w:r>
            <w:r>
              <w:rPr>
                <w:color w:val="auto"/>
                <w:sz w:val="24"/>
                <w:highlight w:val="none"/>
              </w:rPr>
              <w:t>接管标准</w:t>
            </w:r>
          </w:p>
        </w:tc>
      </w:tr>
      <w:tr w14:paraId="5FEB2F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vMerge w:val="continue"/>
            <w:vAlign w:val="center"/>
          </w:tcPr>
          <w:p w14:paraId="179BBFDF">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p>
        </w:tc>
        <w:tc>
          <w:tcPr>
            <w:tcW w:w="421" w:type="pct"/>
            <w:vMerge w:val="continue"/>
            <w:vAlign w:val="center"/>
          </w:tcPr>
          <w:p w14:paraId="3E694AB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auto"/>
                <w:sz w:val="24"/>
                <w:highlight w:val="none"/>
                <w:lang w:val="en-US" w:eastAsia="zh-CN"/>
              </w:rPr>
            </w:pPr>
          </w:p>
        </w:tc>
        <w:tc>
          <w:tcPr>
            <w:tcW w:w="773" w:type="pct"/>
            <w:shd w:val="clear" w:color="auto" w:fill="auto"/>
            <w:vAlign w:val="center"/>
          </w:tcPr>
          <w:p w14:paraId="0D79A532">
            <w:pPr>
              <w:pStyle w:val="41"/>
              <w:bidi w:val="0"/>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实验设备废水</w:t>
            </w:r>
          </w:p>
        </w:tc>
        <w:tc>
          <w:tcPr>
            <w:tcW w:w="951" w:type="pct"/>
            <w:shd w:val="clear" w:color="auto" w:fill="auto"/>
            <w:vAlign w:val="center"/>
          </w:tcPr>
          <w:p w14:paraId="05FF17FE">
            <w:pPr>
              <w:pStyle w:val="41"/>
              <w:bidi w:val="0"/>
              <w:jc w:val="center"/>
              <w:rPr>
                <w:rFonts w:hint="eastAsia" w:ascii="Times New Roman" w:hAnsi="Times New Roman" w:eastAsia="宋体" w:cs="Times New Roman"/>
                <w:color w:val="auto"/>
                <w:kern w:val="0"/>
                <w:sz w:val="24"/>
                <w:szCs w:val="24"/>
                <w:highlight w:val="none"/>
                <w:lang w:val="en-US" w:eastAsia="zh-CN" w:bidi="ar-SA"/>
              </w:rPr>
            </w:pPr>
            <w:r>
              <w:rPr>
                <w:color w:val="auto"/>
                <w:sz w:val="24"/>
                <w:szCs w:val="24"/>
                <w:highlight w:val="none"/>
              </w:rPr>
              <w:t>COD、SS</w:t>
            </w:r>
          </w:p>
        </w:tc>
        <w:tc>
          <w:tcPr>
            <w:tcW w:w="1084" w:type="pct"/>
            <w:vMerge w:val="continue"/>
            <w:vAlign w:val="center"/>
          </w:tcPr>
          <w:p w14:paraId="7DBC81E1">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sz w:val="24"/>
                <w:highlight w:val="none"/>
                <w:lang w:val="en-US" w:eastAsia="zh-CN"/>
              </w:rPr>
            </w:pPr>
          </w:p>
        </w:tc>
        <w:tc>
          <w:tcPr>
            <w:tcW w:w="1383" w:type="pct"/>
            <w:vMerge w:val="continue"/>
            <w:vAlign w:val="center"/>
          </w:tcPr>
          <w:p w14:paraId="2BFD71B6">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sz w:val="24"/>
                <w:highlight w:val="none"/>
                <w:lang w:eastAsia="zh-CN"/>
              </w:rPr>
            </w:pPr>
          </w:p>
        </w:tc>
      </w:tr>
      <w:tr w14:paraId="023E20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vMerge w:val="continue"/>
            <w:vAlign w:val="center"/>
          </w:tcPr>
          <w:p w14:paraId="5FF9A546">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p>
        </w:tc>
        <w:tc>
          <w:tcPr>
            <w:tcW w:w="421" w:type="pct"/>
            <w:vMerge w:val="continue"/>
            <w:vAlign w:val="center"/>
          </w:tcPr>
          <w:p w14:paraId="0ECBC59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auto"/>
                <w:sz w:val="24"/>
                <w:highlight w:val="none"/>
                <w:lang w:val="en-US" w:eastAsia="zh-CN"/>
              </w:rPr>
            </w:pPr>
          </w:p>
        </w:tc>
        <w:tc>
          <w:tcPr>
            <w:tcW w:w="773" w:type="pct"/>
            <w:shd w:val="clear" w:color="auto" w:fill="auto"/>
            <w:vAlign w:val="center"/>
          </w:tcPr>
          <w:p w14:paraId="5D825B0D">
            <w:pPr>
              <w:pStyle w:val="41"/>
              <w:bidi w:val="0"/>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喷淋塔废水</w:t>
            </w:r>
          </w:p>
        </w:tc>
        <w:tc>
          <w:tcPr>
            <w:tcW w:w="951" w:type="pct"/>
            <w:shd w:val="clear" w:color="auto" w:fill="auto"/>
            <w:vAlign w:val="center"/>
          </w:tcPr>
          <w:p w14:paraId="75637A8B">
            <w:pPr>
              <w:pStyle w:val="41"/>
              <w:bidi w:val="0"/>
              <w:rPr>
                <w:rFonts w:hint="eastAsia" w:ascii="Times New Roman" w:hAnsi="Times New Roman" w:eastAsia="宋体" w:cs="Times New Roman"/>
                <w:color w:val="auto"/>
                <w:kern w:val="0"/>
                <w:sz w:val="24"/>
                <w:szCs w:val="24"/>
                <w:highlight w:val="none"/>
                <w:lang w:val="en-US" w:eastAsia="zh-CN" w:bidi="ar-SA"/>
              </w:rPr>
            </w:pPr>
            <w:r>
              <w:rPr>
                <w:rFonts w:hint="eastAsia"/>
                <w:color w:val="auto"/>
                <w:sz w:val="24"/>
                <w:szCs w:val="24"/>
                <w:highlight w:val="none"/>
                <w:lang w:val="en-US" w:eastAsia="zh-CN"/>
              </w:rPr>
              <w:t>pH、</w:t>
            </w:r>
            <w:r>
              <w:rPr>
                <w:color w:val="auto"/>
                <w:sz w:val="24"/>
                <w:szCs w:val="24"/>
                <w:highlight w:val="none"/>
              </w:rPr>
              <w:t>COD、SS、NH</w:t>
            </w:r>
            <w:r>
              <w:rPr>
                <w:color w:val="auto"/>
                <w:sz w:val="24"/>
                <w:szCs w:val="24"/>
                <w:highlight w:val="none"/>
                <w:vertAlign w:val="subscript"/>
              </w:rPr>
              <w:t>3</w:t>
            </w:r>
            <w:r>
              <w:rPr>
                <w:color w:val="auto"/>
                <w:sz w:val="24"/>
                <w:szCs w:val="24"/>
                <w:highlight w:val="none"/>
              </w:rPr>
              <w:t>-N、</w:t>
            </w:r>
            <w:r>
              <w:rPr>
                <w:rFonts w:hint="eastAsia"/>
                <w:color w:val="auto"/>
                <w:sz w:val="24"/>
                <w:szCs w:val="24"/>
                <w:highlight w:val="none"/>
              </w:rPr>
              <w:t>TN</w:t>
            </w:r>
            <w:r>
              <w:rPr>
                <w:rFonts w:hint="eastAsia"/>
                <w:color w:val="auto"/>
                <w:sz w:val="24"/>
                <w:szCs w:val="24"/>
                <w:highlight w:val="none"/>
                <w:lang w:eastAsia="zh-CN"/>
              </w:rPr>
              <w:t>、</w:t>
            </w:r>
            <w:r>
              <w:rPr>
                <w:rFonts w:hint="eastAsia"/>
                <w:color w:val="auto"/>
                <w:sz w:val="24"/>
                <w:szCs w:val="24"/>
                <w:highlight w:val="none"/>
                <w:lang w:val="en-US" w:eastAsia="zh-CN"/>
              </w:rPr>
              <w:t>TP</w:t>
            </w:r>
          </w:p>
        </w:tc>
        <w:tc>
          <w:tcPr>
            <w:tcW w:w="1084" w:type="pct"/>
            <w:vMerge w:val="continue"/>
            <w:vAlign w:val="center"/>
          </w:tcPr>
          <w:p w14:paraId="150F2FC9">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sz w:val="24"/>
                <w:highlight w:val="none"/>
                <w:lang w:val="en-US" w:eastAsia="zh-CN"/>
              </w:rPr>
            </w:pPr>
          </w:p>
        </w:tc>
        <w:tc>
          <w:tcPr>
            <w:tcW w:w="1383" w:type="pct"/>
            <w:vMerge w:val="continue"/>
            <w:vAlign w:val="center"/>
          </w:tcPr>
          <w:p w14:paraId="171805A7">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sz w:val="24"/>
                <w:highlight w:val="none"/>
                <w:lang w:eastAsia="zh-CN"/>
              </w:rPr>
            </w:pPr>
          </w:p>
        </w:tc>
      </w:tr>
      <w:tr w14:paraId="589652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vMerge w:val="continue"/>
            <w:vAlign w:val="center"/>
          </w:tcPr>
          <w:p w14:paraId="52857524">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p>
        </w:tc>
        <w:tc>
          <w:tcPr>
            <w:tcW w:w="421" w:type="pct"/>
            <w:vMerge w:val="continue"/>
            <w:vAlign w:val="center"/>
          </w:tcPr>
          <w:p w14:paraId="7EAA77C2">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auto"/>
                <w:sz w:val="24"/>
                <w:highlight w:val="none"/>
                <w:lang w:val="en-US" w:eastAsia="zh-CN"/>
              </w:rPr>
            </w:pPr>
          </w:p>
        </w:tc>
        <w:tc>
          <w:tcPr>
            <w:tcW w:w="773" w:type="pct"/>
            <w:shd w:val="clear" w:color="auto" w:fill="auto"/>
            <w:vAlign w:val="center"/>
          </w:tcPr>
          <w:p w14:paraId="2B202F68">
            <w:pPr>
              <w:pStyle w:val="41"/>
              <w:bidi w:val="0"/>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地面清洁废水</w:t>
            </w:r>
          </w:p>
        </w:tc>
        <w:tc>
          <w:tcPr>
            <w:tcW w:w="951" w:type="pct"/>
            <w:shd w:val="clear" w:color="auto" w:fill="auto"/>
            <w:vAlign w:val="center"/>
          </w:tcPr>
          <w:p w14:paraId="6CB41141">
            <w:pPr>
              <w:pStyle w:val="41"/>
              <w:bidi w:val="0"/>
              <w:rPr>
                <w:rFonts w:hint="eastAsia" w:ascii="Times New Roman" w:hAnsi="Times New Roman" w:eastAsia="宋体" w:cs="Times New Roman"/>
                <w:color w:val="auto"/>
                <w:kern w:val="0"/>
                <w:sz w:val="24"/>
                <w:szCs w:val="24"/>
                <w:highlight w:val="none"/>
                <w:lang w:val="en-US" w:eastAsia="zh-CN" w:bidi="ar-SA"/>
              </w:rPr>
            </w:pPr>
            <w:r>
              <w:rPr>
                <w:rFonts w:hint="eastAsia"/>
                <w:color w:val="auto"/>
                <w:sz w:val="24"/>
                <w:szCs w:val="24"/>
                <w:highlight w:val="none"/>
                <w:lang w:val="en-US" w:eastAsia="zh-CN"/>
              </w:rPr>
              <w:t>pH、</w:t>
            </w:r>
            <w:r>
              <w:rPr>
                <w:color w:val="auto"/>
                <w:sz w:val="24"/>
                <w:szCs w:val="24"/>
                <w:highlight w:val="none"/>
              </w:rPr>
              <w:t>COD、SS、NH</w:t>
            </w:r>
            <w:r>
              <w:rPr>
                <w:color w:val="auto"/>
                <w:sz w:val="24"/>
                <w:szCs w:val="24"/>
                <w:highlight w:val="none"/>
                <w:vertAlign w:val="subscript"/>
              </w:rPr>
              <w:t>3</w:t>
            </w:r>
            <w:r>
              <w:rPr>
                <w:color w:val="auto"/>
                <w:sz w:val="24"/>
                <w:szCs w:val="24"/>
                <w:highlight w:val="none"/>
              </w:rPr>
              <w:t>-N、</w:t>
            </w:r>
            <w:r>
              <w:rPr>
                <w:rFonts w:hint="eastAsia"/>
                <w:color w:val="auto"/>
                <w:sz w:val="24"/>
                <w:szCs w:val="24"/>
                <w:highlight w:val="none"/>
              </w:rPr>
              <w:t>TN</w:t>
            </w:r>
            <w:r>
              <w:rPr>
                <w:rFonts w:hint="eastAsia"/>
                <w:color w:val="auto"/>
                <w:sz w:val="24"/>
                <w:szCs w:val="24"/>
                <w:highlight w:val="none"/>
                <w:lang w:eastAsia="zh-CN"/>
              </w:rPr>
              <w:t>、</w:t>
            </w:r>
            <w:r>
              <w:rPr>
                <w:rFonts w:hint="eastAsia"/>
                <w:color w:val="auto"/>
                <w:sz w:val="24"/>
                <w:szCs w:val="24"/>
                <w:highlight w:val="none"/>
                <w:lang w:val="en-US" w:eastAsia="zh-CN"/>
              </w:rPr>
              <w:t>TP</w:t>
            </w:r>
          </w:p>
        </w:tc>
        <w:tc>
          <w:tcPr>
            <w:tcW w:w="1084" w:type="pct"/>
            <w:vMerge w:val="continue"/>
            <w:vAlign w:val="center"/>
          </w:tcPr>
          <w:p w14:paraId="15076044">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sz w:val="24"/>
                <w:highlight w:val="none"/>
                <w:lang w:val="en-US" w:eastAsia="zh-CN"/>
              </w:rPr>
            </w:pPr>
          </w:p>
        </w:tc>
        <w:tc>
          <w:tcPr>
            <w:tcW w:w="1383" w:type="pct"/>
            <w:vMerge w:val="continue"/>
            <w:vAlign w:val="center"/>
          </w:tcPr>
          <w:p w14:paraId="066E992B">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sz w:val="24"/>
                <w:highlight w:val="none"/>
                <w:lang w:eastAsia="zh-CN"/>
              </w:rPr>
            </w:pPr>
          </w:p>
        </w:tc>
      </w:tr>
      <w:tr w14:paraId="32238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vMerge w:val="continue"/>
            <w:vAlign w:val="center"/>
          </w:tcPr>
          <w:p w14:paraId="4615EC18">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p>
        </w:tc>
        <w:tc>
          <w:tcPr>
            <w:tcW w:w="421" w:type="pct"/>
            <w:vMerge w:val="continue"/>
            <w:vAlign w:val="center"/>
          </w:tcPr>
          <w:p w14:paraId="2270C61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auto"/>
                <w:sz w:val="24"/>
                <w:highlight w:val="none"/>
                <w:lang w:val="en-US" w:eastAsia="zh-CN"/>
              </w:rPr>
            </w:pPr>
          </w:p>
        </w:tc>
        <w:tc>
          <w:tcPr>
            <w:tcW w:w="773" w:type="pct"/>
            <w:shd w:val="clear" w:color="auto" w:fill="auto"/>
            <w:vAlign w:val="center"/>
          </w:tcPr>
          <w:p w14:paraId="099DA136">
            <w:pPr>
              <w:pStyle w:val="41"/>
              <w:bidi w:val="0"/>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纯水制备浓水</w:t>
            </w:r>
          </w:p>
        </w:tc>
        <w:tc>
          <w:tcPr>
            <w:tcW w:w="951" w:type="pct"/>
            <w:shd w:val="clear" w:color="auto" w:fill="auto"/>
            <w:vAlign w:val="center"/>
          </w:tcPr>
          <w:p w14:paraId="2EB5E99B">
            <w:pPr>
              <w:pStyle w:val="41"/>
              <w:bidi w:val="0"/>
              <w:rPr>
                <w:rFonts w:hint="eastAsia" w:ascii="Times New Roman" w:hAnsi="Times New Roman" w:eastAsia="宋体" w:cs="Times New Roman"/>
                <w:color w:val="auto"/>
                <w:kern w:val="0"/>
                <w:sz w:val="24"/>
                <w:szCs w:val="24"/>
                <w:highlight w:val="none"/>
                <w:lang w:val="en-US" w:eastAsia="zh-CN" w:bidi="ar-SA"/>
              </w:rPr>
            </w:pPr>
            <w:r>
              <w:rPr>
                <w:color w:val="auto"/>
                <w:sz w:val="24"/>
                <w:szCs w:val="24"/>
                <w:highlight w:val="none"/>
              </w:rPr>
              <w:t>COD、SS</w:t>
            </w:r>
          </w:p>
        </w:tc>
        <w:tc>
          <w:tcPr>
            <w:tcW w:w="1084" w:type="pct"/>
            <w:vMerge w:val="continue"/>
            <w:vAlign w:val="center"/>
          </w:tcPr>
          <w:p w14:paraId="3182FB35">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sz w:val="24"/>
                <w:highlight w:val="none"/>
                <w:lang w:val="en-US" w:eastAsia="zh-CN"/>
              </w:rPr>
            </w:pPr>
          </w:p>
        </w:tc>
        <w:tc>
          <w:tcPr>
            <w:tcW w:w="1383" w:type="pct"/>
            <w:vMerge w:val="continue"/>
            <w:vAlign w:val="center"/>
          </w:tcPr>
          <w:p w14:paraId="39B2D4C9">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sz w:val="24"/>
                <w:highlight w:val="none"/>
                <w:lang w:eastAsia="zh-CN"/>
              </w:rPr>
            </w:pPr>
          </w:p>
        </w:tc>
      </w:tr>
      <w:tr w14:paraId="1B5FEA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vMerge w:val="continue"/>
            <w:vAlign w:val="center"/>
          </w:tcPr>
          <w:p w14:paraId="74DE0048">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p>
        </w:tc>
        <w:tc>
          <w:tcPr>
            <w:tcW w:w="421" w:type="pct"/>
            <w:vMerge w:val="continue"/>
            <w:vAlign w:val="center"/>
          </w:tcPr>
          <w:p w14:paraId="684CE81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auto"/>
                <w:sz w:val="24"/>
                <w:highlight w:val="none"/>
                <w:lang w:val="en-US" w:eastAsia="zh-CN"/>
              </w:rPr>
            </w:pPr>
          </w:p>
        </w:tc>
        <w:tc>
          <w:tcPr>
            <w:tcW w:w="773" w:type="pct"/>
            <w:shd w:val="clear" w:color="auto" w:fill="auto"/>
            <w:vAlign w:val="center"/>
          </w:tcPr>
          <w:p w14:paraId="46AD8043">
            <w:pPr>
              <w:pStyle w:val="41"/>
              <w:bidi w:val="0"/>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生活污水</w:t>
            </w:r>
          </w:p>
        </w:tc>
        <w:tc>
          <w:tcPr>
            <w:tcW w:w="951" w:type="pct"/>
            <w:shd w:val="clear" w:color="auto" w:fill="auto"/>
            <w:vAlign w:val="center"/>
          </w:tcPr>
          <w:p w14:paraId="35795D18">
            <w:pPr>
              <w:pStyle w:val="41"/>
              <w:bidi w:val="0"/>
              <w:rPr>
                <w:rFonts w:hint="eastAsia" w:ascii="Times New Roman" w:hAnsi="Times New Roman" w:eastAsia="宋体" w:cs="Times New Roman"/>
                <w:color w:val="auto"/>
                <w:kern w:val="0"/>
                <w:sz w:val="24"/>
                <w:szCs w:val="24"/>
                <w:highlight w:val="none"/>
                <w:lang w:val="en-US" w:eastAsia="zh-CN" w:bidi="ar-SA"/>
              </w:rPr>
            </w:pPr>
            <w:r>
              <w:rPr>
                <w:rFonts w:hint="eastAsia"/>
                <w:color w:val="auto"/>
                <w:sz w:val="24"/>
                <w:szCs w:val="24"/>
                <w:highlight w:val="none"/>
                <w:lang w:val="en-US" w:eastAsia="zh-CN"/>
              </w:rPr>
              <w:t>pH、</w:t>
            </w:r>
            <w:r>
              <w:rPr>
                <w:color w:val="auto"/>
                <w:sz w:val="24"/>
                <w:szCs w:val="24"/>
                <w:highlight w:val="none"/>
              </w:rPr>
              <w:t>COD、SS、NH</w:t>
            </w:r>
            <w:r>
              <w:rPr>
                <w:color w:val="auto"/>
                <w:sz w:val="24"/>
                <w:szCs w:val="24"/>
                <w:highlight w:val="none"/>
                <w:vertAlign w:val="subscript"/>
              </w:rPr>
              <w:t>3</w:t>
            </w:r>
            <w:r>
              <w:rPr>
                <w:color w:val="auto"/>
                <w:sz w:val="24"/>
                <w:szCs w:val="24"/>
                <w:highlight w:val="none"/>
              </w:rPr>
              <w:t>-N、</w:t>
            </w:r>
            <w:r>
              <w:rPr>
                <w:rFonts w:hint="eastAsia"/>
                <w:color w:val="auto"/>
                <w:sz w:val="24"/>
                <w:szCs w:val="24"/>
                <w:highlight w:val="none"/>
              </w:rPr>
              <w:t>TN</w:t>
            </w:r>
            <w:r>
              <w:rPr>
                <w:rFonts w:hint="eastAsia"/>
                <w:color w:val="auto"/>
                <w:sz w:val="24"/>
                <w:szCs w:val="24"/>
                <w:highlight w:val="none"/>
                <w:lang w:eastAsia="zh-CN"/>
              </w:rPr>
              <w:t>、</w:t>
            </w:r>
            <w:r>
              <w:rPr>
                <w:rFonts w:hint="eastAsia"/>
                <w:color w:val="auto"/>
                <w:sz w:val="24"/>
                <w:szCs w:val="24"/>
                <w:highlight w:val="none"/>
                <w:lang w:val="en-US" w:eastAsia="zh-CN"/>
              </w:rPr>
              <w:t>TP</w:t>
            </w:r>
          </w:p>
        </w:tc>
        <w:tc>
          <w:tcPr>
            <w:tcW w:w="1084" w:type="pct"/>
            <w:vAlign w:val="center"/>
          </w:tcPr>
          <w:p w14:paraId="13445287">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sz w:val="24"/>
                <w:highlight w:val="none"/>
                <w:lang w:val="en-US" w:eastAsia="zh-CN"/>
              </w:rPr>
            </w:pPr>
            <w:r>
              <w:rPr>
                <w:rFonts w:hint="eastAsia"/>
                <w:color w:val="auto"/>
                <w:highlight w:val="none"/>
                <w:lang w:val="en-US" w:eastAsia="zh-CN"/>
              </w:rPr>
              <w:t>30m</w:t>
            </w:r>
            <w:r>
              <w:rPr>
                <w:rFonts w:hint="eastAsia"/>
                <w:color w:val="auto"/>
                <w:highlight w:val="none"/>
                <w:vertAlign w:val="superscript"/>
                <w:lang w:val="en-US" w:eastAsia="zh-CN"/>
              </w:rPr>
              <w:t>3</w:t>
            </w:r>
            <w:r>
              <w:rPr>
                <w:rFonts w:hint="eastAsia"/>
                <w:color w:val="auto"/>
                <w:highlight w:val="none"/>
                <w:lang w:val="en-US" w:eastAsia="zh-CN"/>
              </w:rPr>
              <w:t>化粪池TW001</w:t>
            </w:r>
          </w:p>
        </w:tc>
        <w:tc>
          <w:tcPr>
            <w:tcW w:w="1383" w:type="pct"/>
            <w:vMerge w:val="continue"/>
            <w:vAlign w:val="center"/>
          </w:tcPr>
          <w:p w14:paraId="14666846">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sz w:val="24"/>
                <w:highlight w:val="none"/>
                <w:lang w:eastAsia="zh-CN"/>
              </w:rPr>
            </w:pPr>
          </w:p>
        </w:tc>
      </w:tr>
      <w:tr w14:paraId="19C219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87" w:type="pct"/>
            <w:vAlign w:val="center"/>
          </w:tcPr>
          <w:p w14:paraId="44EE9405">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声环境</w:t>
            </w:r>
          </w:p>
        </w:tc>
        <w:tc>
          <w:tcPr>
            <w:tcW w:w="1194" w:type="pct"/>
            <w:gridSpan w:val="2"/>
            <w:vAlign w:val="center"/>
          </w:tcPr>
          <w:p w14:paraId="436FB9AB">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4"/>
                <w:highlight w:val="none"/>
              </w:rPr>
            </w:pPr>
            <w:r>
              <w:rPr>
                <w:rFonts w:hint="eastAsia"/>
                <w:color w:val="auto"/>
                <w:sz w:val="24"/>
                <w:highlight w:val="none"/>
                <w:lang w:val="en-US" w:eastAsia="zh-CN"/>
              </w:rPr>
              <w:t>厂界</w:t>
            </w:r>
          </w:p>
        </w:tc>
        <w:tc>
          <w:tcPr>
            <w:tcW w:w="951" w:type="pct"/>
            <w:vAlign w:val="center"/>
          </w:tcPr>
          <w:p w14:paraId="2140FFC9">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4"/>
                <w:highlight w:val="none"/>
              </w:rPr>
            </w:pPr>
            <w:r>
              <w:rPr>
                <w:rFonts w:hint="eastAsia"/>
                <w:color w:val="auto"/>
                <w:sz w:val="24"/>
                <w:highlight w:val="none"/>
                <w:lang w:val="en-US" w:eastAsia="zh-CN"/>
              </w:rPr>
              <w:t>生产</w:t>
            </w:r>
            <w:r>
              <w:rPr>
                <w:color w:val="auto"/>
                <w:sz w:val="24"/>
                <w:highlight w:val="none"/>
              </w:rPr>
              <w:t>设备噪声</w:t>
            </w:r>
          </w:p>
        </w:tc>
        <w:tc>
          <w:tcPr>
            <w:tcW w:w="1084" w:type="pct"/>
            <w:vAlign w:val="center"/>
          </w:tcPr>
          <w:p w14:paraId="5ADA9B9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auto"/>
                <w:sz w:val="24"/>
                <w:highlight w:val="none"/>
                <w:lang w:val="en-US" w:eastAsia="zh-CN"/>
              </w:rPr>
            </w:pPr>
            <w:r>
              <w:rPr>
                <w:color w:val="auto"/>
                <w:sz w:val="24"/>
                <w:highlight w:val="none"/>
              </w:rPr>
              <w:t>选用低噪声设备</w:t>
            </w:r>
            <w:r>
              <w:rPr>
                <w:rFonts w:hint="eastAsia"/>
                <w:color w:val="auto"/>
                <w:sz w:val="24"/>
                <w:highlight w:val="none"/>
              </w:rPr>
              <w:t>，合理布局，</w:t>
            </w:r>
            <w:r>
              <w:rPr>
                <w:color w:val="auto"/>
                <w:sz w:val="24"/>
                <w:highlight w:val="none"/>
              </w:rPr>
              <w:t>增强建筑隔声等措施</w:t>
            </w:r>
            <w:r>
              <w:rPr>
                <w:rFonts w:hint="eastAsia"/>
                <w:color w:val="auto"/>
                <w:sz w:val="24"/>
                <w:highlight w:val="none"/>
                <w:lang w:val="en-US" w:eastAsia="zh-CN"/>
              </w:rPr>
              <w:t>等</w:t>
            </w:r>
          </w:p>
        </w:tc>
        <w:tc>
          <w:tcPr>
            <w:tcW w:w="1383" w:type="pct"/>
            <w:vAlign w:val="center"/>
          </w:tcPr>
          <w:p w14:paraId="6FAC747F">
            <w:pPr>
              <w:keepNext w:val="0"/>
              <w:keepLines w:val="0"/>
              <w:pageBreakBefore w:val="0"/>
              <w:widowControl w:val="0"/>
              <w:kinsoku/>
              <w:wordWrap/>
              <w:overflowPunct/>
              <w:topLinePunct w:val="0"/>
              <w:bidi w:val="0"/>
              <w:snapToGrid w:val="0"/>
              <w:spacing w:line="240" w:lineRule="auto"/>
              <w:jc w:val="center"/>
              <w:textAlignment w:val="auto"/>
              <w:rPr>
                <w:color w:val="auto"/>
                <w:sz w:val="24"/>
                <w:highlight w:val="none"/>
              </w:rPr>
            </w:pPr>
            <w:r>
              <w:rPr>
                <w:color w:val="auto"/>
                <w:sz w:val="24"/>
                <w:highlight w:val="none"/>
              </w:rPr>
              <w:t>《工业企业厂界环境噪声排放标准》（GB12348-2008）中的</w:t>
            </w:r>
            <w:r>
              <w:rPr>
                <w:rFonts w:hint="eastAsia"/>
                <w:color w:val="auto"/>
                <w:sz w:val="24"/>
                <w:highlight w:val="none"/>
                <w:lang w:val="en-US" w:eastAsia="zh-CN"/>
              </w:rPr>
              <w:t>2</w:t>
            </w:r>
            <w:r>
              <w:rPr>
                <w:rFonts w:hint="eastAsia"/>
                <w:color w:val="auto"/>
                <w:sz w:val="24"/>
                <w:highlight w:val="none"/>
                <w:lang w:eastAsia="zh-CN"/>
              </w:rPr>
              <w:t>类</w:t>
            </w:r>
            <w:r>
              <w:rPr>
                <w:color w:val="auto"/>
                <w:sz w:val="24"/>
                <w:highlight w:val="none"/>
              </w:rPr>
              <w:t>标准</w:t>
            </w:r>
          </w:p>
        </w:tc>
      </w:tr>
      <w:tr w14:paraId="2C0222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vAlign w:val="center"/>
          </w:tcPr>
          <w:p w14:paraId="1C1C19C6">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电磁</w:t>
            </w:r>
          </w:p>
          <w:p w14:paraId="5884B198">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辐射</w:t>
            </w:r>
          </w:p>
        </w:tc>
        <w:tc>
          <w:tcPr>
            <w:tcW w:w="1194" w:type="pct"/>
            <w:gridSpan w:val="2"/>
            <w:vAlign w:val="center"/>
          </w:tcPr>
          <w:p w14:paraId="2494F98C">
            <w:pPr>
              <w:keepNext w:val="0"/>
              <w:keepLines w:val="0"/>
              <w:pageBreakBefore w:val="0"/>
              <w:widowControl w:val="0"/>
              <w:kinsoku/>
              <w:wordWrap/>
              <w:overflowPunct/>
              <w:topLinePunct w:val="0"/>
              <w:bidi w:val="0"/>
              <w:snapToGrid w:val="0"/>
              <w:spacing w:line="240" w:lineRule="auto"/>
              <w:jc w:val="center"/>
              <w:textAlignment w:val="auto"/>
              <w:rPr>
                <w:color w:val="auto"/>
                <w:sz w:val="24"/>
                <w:highlight w:val="none"/>
              </w:rPr>
            </w:pPr>
            <w:r>
              <w:rPr>
                <w:color w:val="auto"/>
                <w:sz w:val="24"/>
                <w:highlight w:val="none"/>
              </w:rPr>
              <w:t>/</w:t>
            </w:r>
          </w:p>
        </w:tc>
        <w:tc>
          <w:tcPr>
            <w:tcW w:w="951" w:type="pct"/>
            <w:vAlign w:val="center"/>
          </w:tcPr>
          <w:p w14:paraId="0941699E">
            <w:pPr>
              <w:keepNext w:val="0"/>
              <w:keepLines w:val="0"/>
              <w:pageBreakBefore w:val="0"/>
              <w:widowControl w:val="0"/>
              <w:kinsoku/>
              <w:wordWrap/>
              <w:overflowPunct/>
              <w:topLinePunct w:val="0"/>
              <w:bidi w:val="0"/>
              <w:snapToGrid w:val="0"/>
              <w:spacing w:line="240" w:lineRule="auto"/>
              <w:jc w:val="center"/>
              <w:textAlignment w:val="auto"/>
              <w:rPr>
                <w:color w:val="auto"/>
                <w:sz w:val="24"/>
                <w:highlight w:val="none"/>
              </w:rPr>
            </w:pPr>
            <w:r>
              <w:rPr>
                <w:color w:val="auto"/>
                <w:sz w:val="24"/>
                <w:highlight w:val="none"/>
              </w:rPr>
              <w:t>/</w:t>
            </w:r>
          </w:p>
        </w:tc>
        <w:tc>
          <w:tcPr>
            <w:tcW w:w="1084" w:type="pct"/>
            <w:vAlign w:val="center"/>
          </w:tcPr>
          <w:p w14:paraId="653CF361">
            <w:pPr>
              <w:keepNext w:val="0"/>
              <w:keepLines w:val="0"/>
              <w:pageBreakBefore w:val="0"/>
              <w:widowControl w:val="0"/>
              <w:kinsoku/>
              <w:wordWrap/>
              <w:overflowPunct/>
              <w:topLinePunct w:val="0"/>
              <w:bidi w:val="0"/>
              <w:snapToGrid w:val="0"/>
              <w:spacing w:line="240" w:lineRule="auto"/>
              <w:jc w:val="center"/>
              <w:textAlignment w:val="auto"/>
              <w:rPr>
                <w:color w:val="auto"/>
                <w:sz w:val="24"/>
                <w:highlight w:val="none"/>
              </w:rPr>
            </w:pPr>
            <w:r>
              <w:rPr>
                <w:color w:val="auto"/>
                <w:sz w:val="24"/>
                <w:highlight w:val="none"/>
              </w:rPr>
              <w:t>/</w:t>
            </w:r>
          </w:p>
        </w:tc>
        <w:tc>
          <w:tcPr>
            <w:tcW w:w="1383" w:type="pct"/>
            <w:vAlign w:val="center"/>
          </w:tcPr>
          <w:p w14:paraId="5180F3C1">
            <w:pPr>
              <w:keepNext w:val="0"/>
              <w:keepLines w:val="0"/>
              <w:pageBreakBefore w:val="0"/>
              <w:widowControl w:val="0"/>
              <w:kinsoku/>
              <w:wordWrap/>
              <w:overflowPunct/>
              <w:topLinePunct w:val="0"/>
              <w:bidi w:val="0"/>
              <w:snapToGrid w:val="0"/>
              <w:spacing w:line="240" w:lineRule="auto"/>
              <w:jc w:val="center"/>
              <w:textAlignment w:val="auto"/>
              <w:rPr>
                <w:color w:val="auto"/>
                <w:sz w:val="24"/>
                <w:highlight w:val="none"/>
              </w:rPr>
            </w:pPr>
            <w:r>
              <w:rPr>
                <w:color w:val="auto"/>
                <w:sz w:val="24"/>
                <w:highlight w:val="none"/>
              </w:rPr>
              <w:t>/</w:t>
            </w:r>
          </w:p>
        </w:tc>
      </w:tr>
      <w:tr w14:paraId="7269B0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87" w:type="pct"/>
            <w:vAlign w:val="center"/>
          </w:tcPr>
          <w:p w14:paraId="563A436F">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固体</w:t>
            </w:r>
          </w:p>
          <w:p w14:paraId="07531ADF">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废物</w:t>
            </w:r>
          </w:p>
        </w:tc>
        <w:tc>
          <w:tcPr>
            <w:tcW w:w="4612" w:type="pct"/>
            <w:gridSpan w:val="5"/>
            <w:vAlign w:val="center"/>
          </w:tcPr>
          <w:p w14:paraId="5D5C39C5">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jc w:val="left"/>
              <w:textAlignment w:val="auto"/>
              <w:rPr>
                <w:color w:val="auto"/>
                <w:sz w:val="24"/>
                <w:highlight w:val="none"/>
              </w:rPr>
            </w:pPr>
            <w:r>
              <w:rPr>
                <w:rFonts w:ascii="Times New Roman" w:hAnsi="Times New Roman" w:eastAsia="宋体"/>
                <w:color w:val="auto"/>
                <w:sz w:val="24"/>
                <w:highlight w:val="none"/>
              </w:rPr>
              <w:t>本项目产生的</w:t>
            </w:r>
            <w:r>
              <w:rPr>
                <w:rFonts w:hint="eastAsia" w:ascii="Times New Roman" w:hAnsi="Times New Roman" w:eastAsia="宋体"/>
                <w:color w:val="auto"/>
                <w:sz w:val="24"/>
                <w:highlight w:val="none"/>
              </w:rPr>
              <w:t>固体废物</w:t>
            </w:r>
            <w:r>
              <w:rPr>
                <w:rFonts w:ascii="Times New Roman" w:hAnsi="Times New Roman" w:eastAsia="宋体"/>
                <w:color w:val="auto"/>
                <w:sz w:val="24"/>
                <w:highlight w:val="none"/>
              </w:rPr>
              <w:t>包括</w:t>
            </w:r>
            <w:r>
              <w:rPr>
                <w:rFonts w:hint="eastAsia" w:ascii="Times New Roman" w:hAnsi="Times New Roman" w:eastAsia="宋体"/>
                <w:color w:val="auto"/>
                <w:sz w:val="24"/>
                <w:highlight w:val="none"/>
              </w:rPr>
              <w:t>一般固体废物、危险废物和职工办公生活产生的生活垃圾。一般固体废物包括</w:t>
            </w:r>
            <w:r>
              <w:rPr>
                <w:rFonts w:hint="eastAsia" w:ascii="Times New Roman" w:hAnsi="Times New Roman"/>
                <w:color w:val="auto"/>
                <w:sz w:val="24"/>
                <w:highlight w:val="none"/>
                <w:lang w:val="en-US" w:eastAsia="zh-CN"/>
              </w:rPr>
              <w:t>化粪池污泥</w:t>
            </w:r>
            <w:r>
              <w:rPr>
                <w:rFonts w:hint="eastAsia"/>
                <w:color w:val="auto"/>
                <w:sz w:val="24"/>
                <w:highlight w:val="none"/>
                <w:lang w:val="en-US" w:eastAsia="zh-CN"/>
              </w:rPr>
              <w:t>、</w:t>
            </w:r>
            <w:r>
              <w:rPr>
                <w:rFonts w:hint="eastAsia" w:ascii="Times New Roman" w:hAnsi="Times New Roman"/>
                <w:color w:val="auto"/>
                <w:sz w:val="24"/>
                <w:highlight w:val="none"/>
                <w:lang w:val="en-US" w:eastAsia="zh-CN"/>
              </w:rPr>
              <w:t>纯水制备滤芯</w:t>
            </w:r>
            <w:r>
              <w:rPr>
                <w:rFonts w:hint="eastAsia"/>
                <w:color w:val="auto"/>
                <w:sz w:val="24"/>
                <w:highlight w:val="none"/>
                <w:lang w:val="en-US" w:eastAsia="zh-CN"/>
              </w:rPr>
              <w:t>、</w:t>
            </w:r>
            <w:r>
              <w:rPr>
                <w:rFonts w:hint="eastAsia" w:ascii="Times New Roman" w:hAnsi="Times New Roman"/>
                <w:color w:val="auto"/>
                <w:sz w:val="24"/>
                <w:highlight w:val="none"/>
                <w:lang w:val="en-US" w:eastAsia="zh-CN"/>
              </w:rPr>
              <w:t>废外包装材料</w:t>
            </w:r>
            <w:r>
              <w:rPr>
                <w:rFonts w:hint="eastAsia"/>
                <w:color w:val="auto"/>
                <w:sz w:val="24"/>
                <w:highlight w:val="none"/>
                <w:lang w:val="en-US" w:eastAsia="zh-CN"/>
              </w:rPr>
              <w:t>，化粪池污泥委托专业单位处理，纯水制备滤芯、废外包装材料收集后外售</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危险废物包括</w:t>
            </w:r>
            <w:r>
              <w:rPr>
                <w:rFonts w:hint="eastAsia" w:ascii="Times New Roman" w:hAnsi="Times New Roman"/>
                <w:color w:val="auto"/>
                <w:sz w:val="24"/>
                <w:highlight w:val="none"/>
                <w:lang w:eastAsia="zh-CN"/>
              </w:rPr>
              <w:t>废液及废料、废实验用品、</w:t>
            </w:r>
            <w:r>
              <w:rPr>
                <w:rFonts w:hint="eastAsia" w:ascii="Times New Roman" w:hAnsi="Times New Roman"/>
                <w:color w:val="auto"/>
                <w:sz w:val="24"/>
                <w:highlight w:val="none"/>
                <w:lang w:val="en-US" w:eastAsia="zh-CN"/>
              </w:rPr>
              <w:t>废过滤器</w:t>
            </w:r>
            <w:r>
              <w:rPr>
                <w:rFonts w:hint="eastAsia"/>
                <w:color w:val="auto"/>
                <w:sz w:val="24"/>
                <w:highlight w:val="none"/>
                <w:lang w:val="en-US" w:eastAsia="zh-CN"/>
              </w:rPr>
              <w:t>、废活性炭、废试剂包装、污水站污泥，危险废物收集后于危废暂存点，定期委托有资质单位处置</w:t>
            </w:r>
            <w:r>
              <w:rPr>
                <w:rFonts w:hint="eastAsia" w:ascii="Times New Roman" w:hAnsi="Times New Roman" w:eastAsia="宋体"/>
                <w:color w:val="auto"/>
                <w:sz w:val="24"/>
                <w:highlight w:val="none"/>
                <w:lang w:eastAsia="zh-CN"/>
              </w:rPr>
              <w:t>。</w:t>
            </w:r>
          </w:p>
        </w:tc>
      </w:tr>
      <w:tr w14:paraId="61D29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4" w:hRule="atLeast"/>
          <w:jc w:val="center"/>
        </w:trPr>
        <w:tc>
          <w:tcPr>
            <w:tcW w:w="387" w:type="pct"/>
            <w:vAlign w:val="center"/>
          </w:tcPr>
          <w:p w14:paraId="3A39E2D0">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土壤及地下水</w:t>
            </w:r>
          </w:p>
          <w:p w14:paraId="3FBF853B">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污染防治措施</w:t>
            </w:r>
          </w:p>
        </w:tc>
        <w:tc>
          <w:tcPr>
            <w:tcW w:w="4612" w:type="pct"/>
            <w:gridSpan w:val="5"/>
            <w:vAlign w:val="center"/>
          </w:tcPr>
          <w:p w14:paraId="0F88DCF9">
            <w:pPr>
              <w:keepNext w:val="0"/>
              <w:keepLines w:val="0"/>
              <w:pageBreakBefore w:val="0"/>
              <w:widowControl w:val="0"/>
              <w:kinsoku/>
              <w:wordWrap/>
              <w:overflowPunct/>
              <w:topLinePunct w:val="0"/>
              <w:autoSpaceDE/>
              <w:autoSpaceDN/>
              <w:bidi w:val="0"/>
              <w:adjustRightInd/>
              <w:spacing w:line="460" w:lineRule="exact"/>
              <w:ind w:firstLine="480" w:firstLineChars="200"/>
              <w:textAlignment w:val="auto"/>
              <w:rPr>
                <w:color w:val="auto"/>
                <w:highlight w:val="none"/>
              </w:rPr>
            </w:pPr>
            <w:r>
              <w:rPr>
                <w:rFonts w:hint="eastAsia"/>
                <w:color w:val="auto"/>
                <w:highlight w:val="none"/>
                <w:lang w:val="en-US" w:eastAsia="zh-CN"/>
              </w:rPr>
              <w:t>①</w:t>
            </w:r>
            <w:r>
              <w:rPr>
                <w:color w:val="auto"/>
                <w:highlight w:val="none"/>
              </w:rPr>
              <w:t>源头控制</w:t>
            </w:r>
          </w:p>
          <w:p w14:paraId="12AFABD3">
            <w:pPr>
              <w:keepNext w:val="0"/>
              <w:keepLines w:val="0"/>
              <w:pageBreakBefore w:val="0"/>
              <w:widowControl w:val="0"/>
              <w:kinsoku/>
              <w:wordWrap/>
              <w:overflowPunct/>
              <w:topLinePunct w:val="0"/>
              <w:autoSpaceDE/>
              <w:autoSpaceDN/>
              <w:bidi w:val="0"/>
              <w:adjustRightInd/>
              <w:spacing w:line="460" w:lineRule="exact"/>
              <w:ind w:firstLine="480" w:firstLineChars="200"/>
              <w:textAlignment w:val="auto"/>
              <w:rPr>
                <w:color w:val="auto"/>
                <w:highlight w:val="none"/>
              </w:rPr>
            </w:pPr>
            <w:bookmarkStart w:id="67" w:name="sys7165060"/>
            <w:r>
              <w:rPr>
                <w:color w:val="auto"/>
                <w:highlight w:val="none"/>
              </w:rPr>
              <w:t>加强</w:t>
            </w:r>
            <w:r>
              <w:rPr>
                <w:rFonts w:hint="eastAsia"/>
                <w:color w:val="auto"/>
                <w:highlight w:val="none"/>
              </w:rPr>
              <w:t>生产</w:t>
            </w:r>
            <w:r>
              <w:rPr>
                <w:color w:val="auto"/>
                <w:highlight w:val="none"/>
              </w:rPr>
              <w:t>管理，严格</w:t>
            </w:r>
            <w:r>
              <w:rPr>
                <w:rFonts w:hint="eastAsia"/>
                <w:color w:val="auto"/>
                <w:highlight w:val="none"/>
              </w:rPr>
              <w:t>原料取用、危险废物管理工作，制定原料取用制度、危险废物管理制度，避免原料、危险废物在厂内发生泄漏事故</w:t>
            </w:r>
            <w:r>
              <w:rPr>
                <w:color w:val="auto"/>
                <w:highlight w:val="none"/>
              </w:rPr>
              <w:t>。</w:t>
            </w:r>
            <w:bookmarkEnd w:id="67"/>
          </w:p>
          <w:p w14:paraId="000DF74D">
            <w:pPr>
              <w:keepNext w:val="0"/>
              <w:keepLines w:val="0"/>
              <w:pageBreakBefore w:val="0"/>
              <w:widowControl w:val="0"/>
              <w:kinsoku/>
              <w:wordWrap/>
              <w:overflowPunct/>
              <w:topLinePunct w:val="0"/>
              <w:autoSpaceDE/>
              <w:autoSpaceDN/>
              <w:bidi w:val="0"/>
              <w:adjustRightInd/>
              <w:spacing w:line="460" w:lineRule="exact"/>
              <w:ind w:firstLine="480" w:firstLineChars="200"/>
              <w:textAlignment w:val="auto"/>
              <w:rPr>
                <w:color w:val="auto"/>
                <w:highlight w:val="none"/>
              </w:rPr>
            </w:pPr>
            <w:r>
              <w:rPr>
                <w:rFonts w:hint="eastAsia"/>
                <w:color w:val="auto"/>
                <w:highlight w:val="none"/>
                <w:lang w:val="en-US" w:eastAsia="zh-CN"/>
              </w:rPr>
              <w:t>②</w:t>
            </w:r>
            <w:r>
              <w:rPr>
                <w:color w:val="auto"/>
                <w:highlight w:val="none"/>
              </w:rPr>
              <w:t>分区防渗</w:t>
            </w:r>
          </w:p>
          <w:p w14:paraId="42261DFA">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jc w:val="left"/>
              <w:textAlignment w:val="auto"/>
              <w:rPr>
                <w:rFonts w:hint="default" w:eastAsia="宋体"/>
                <w:color w:val="auto"/>
                <w:sz w:val="24"/>
                <w:highlight w:val="none"/>
                <w:lang w:val="en-US" w:eastAsia="zh-CN"/>
              </w:rPr>
            </w:pPr>
            <w:bookmarkStart w:id="68" w:name="sys7167038"/>
            <w:r>
              <w:rPr>
                <w:color w:val="auto"/>
                <w:highlight w:val="none"/>
              </w:rPr>
              <w:t>根据场地防污性能、污染控制难易程度和污染物特性对</w:t>
            </w:r>
            <w:r>
              <w:rPr>
                <w:rFonts w:hint="eastAsia"/>
                <w:color w:val="auto"/>
                <w:highlight w:val="none"/>
              </w:rPr>
              <w:t>本项目所在场地</w:t>
            </w:r>
            <w:r>
              <w:rPr>
                <w:color w:val="auto"/>
                <w:highlight w:val="none"/>
              </w:rPr>
              <w:t>进行分区防渗。</w:t>
            </w:r>
            <w:bookmarkEnd w:id="68"/>
          </w:p>
        </w:tc>
      </w:tr>
      <w:tr w14:paraId="17F66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387" w:type="pct"/>
            <w:vAlign w:val="center"/>
          </w:tcPr>
          <w:p w14:paraId="03D0B6F3">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生态保护措施</w:t>
            </w:r>
          </w:p>
        </w:tc>
        <w:tc>
          <w:tcPr>
            <w:tcW w:w="4612" w:type="pct"/>
            <w:gridSpan w:val="5"/>
            <w:vAlign w:val="center"/>
          </w:tcPr>
          <w:p w14:paraId="0720B295">
            <w:pPr>
              <w:keepNext w:val="0"/>
              <w:keepLines w:val="0"/>
              <w:pageBreakBefore w:val="0"/>
              <w:widowControl w:val="0"/>
              <w:kinsoku/>
              <w:wordWrap/>
              <w:overflowPunct/>
              <w:topLinePunct w:val="0"/>
              <w:bidi w:val="0"/>
              <w:adjustRightInd w:val="0"/>
              <w:snapToGrid w:val="0"/>
              <w:spacing w:line="460" w:lineRule="exact"/>
              <w:jc w:val="center"/>
              <w:textAlignment w:val="auto"/>
              <w:rPr>
                <w:color w:val="auto"/>
                <w:sz w:val="24"/>
                <w:highlight w:val="none"/>
              </w:rPr>
            </w:pPr>
            <w:r>
              <w:rPr>
                <w:color w:val="auto"/>
                <w:sz w:val="24"/>
                <w:highlight w:val="none"/>
              </w:rPr>
              <w:t>/</w:t>
            </w:r>
          </w:p>
        </w:tc>
      </w:tr>
      <w:tr w14:paraId="30FEA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2" w:hRule="atLeast"/>
          <w:jc w:val="center"/>
        </w:trPr>
        <w:tc>
          <w:tcPr>
            <w:tcW w:w="387" w:type="pct"/>
            <w:vAlign w:val="center"/>
          </w:tcPr>
          <w:p w14:paraId="2C462E2A">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环境风险防范措施</w:t>
            </w:r>
          </w:p>
        </w:tc>
        <w:tc>
          <w:tcPr>
            <w:tcW w:w="4612" w:type="pct"/>
            <w:gridSpan w:val="5"/>
            <w:vAlign w:val="center"/>
          </w:tcPr>
          <w:p w14:paraId="412EBD13">
            <w:pPr>
              <w:keepNext w:val="0"/>
              <w:keepLines w:val="0"/>
              <w:pageBreakBefore w:val="0"/>
              <w:widowControl w:val="0"/>
              <w:kinsoku/>
              <w:wordWrap/>
              <w:overflowPunct/>
              <w:topLinePunct w:val="0"/>
              <w:bidi w:val="0"/>
              <w:spacing w:line="460" w:lineRule="exact"/>
              <w:ind w:firstLine="480" w:firstLineChars="200"/>
              <w:textAlignment w:val="auto"/>
              <w:rPr>
                <w:rFonts w:hint="default"/>
                <w:color w:val="auto"/>
                <w:highlight w:val="none"/>
                <w:lang w:val="zh-CN"/>
              </w:rPr>
            </w:pPr>
            <w:r>
              <w:rPr>
                <w:rFonts w:hint="eastAsia"/>
                <w:color w:val="auto"/>
                <w:highlight w:val="none"/>
                <w:lang w:val="en-US" w:eastAsia="zh-CN"/>
              </w:rPr>
              <w:t>①</w:t>
            </w:r>
            <w:r>
              <w:rPr>
                <w:rFonts w:hint="default"/>
                <w:color w:val="auto"/>
                <w:highlight w:val="none"/>
                <w:lang w:val="zh-CN"/>
              </w:rPr>
              <w:t>技术、工艺及装备、设备、设施方面</w:t>
            </w:r>
            <w:r>
              <w:rPr>
                <w:rFonts w:hint="eastAsia"/>
                <w:color w:val="auto"/>
                <w:highlight w:val="none"/>
                <w:lang w:val="zh-CN"/>
              </w:rPr>
              <w:t>：</w:t>
            </w:r>
            <w:r>
              <w:rPr>
                <w:rFonts w:hint="eastAsia"/>
                <w:color w:val="auto"/>
                <w:highlight w:val="none"/>
                <w:lang w:val="en-US" w:eastAsia="zh-CN"/>
              </w:rPr>
              <w:t>实验室</w:t>
            </w:r>
            <w:r>
              <w:rPr>
                <w:rFonts w:hint="default"/>
                <w:color w:val="auto"/>
                <w:highlight w:val="none"/>
                <w:lang w:val="zh-CN"/>
              </w:rPr>
              <w:t>及</w:t>
            </w:r>
            <w:r>
              <w:rPr>
                <w:rFonts w:hint="eastAsia"/>
                <w:color w:val="auto"/>
                <w:highlight w:val="none"/>
                <w:lang w:val="en-US" w:eastAsia="zh-CN"/>
              </w:rPr>
              <w:t>危化品库</w:t>
            </w:r>
            <w:r>
              <w:rPr>
                <w:rFonts w:hint="default"/>
                <w:color w:val="auto"/>
                <w:highlight w:val="none"/>
                <w:lang w:val="zh-CN"/>
              </w:rPr>
              <w:t>需要配备必要的通排风装置，各类设备、泵机、管线、阀门、电气控制部位均应按规范设置位号、色标、输送介质、流向、开关等标志标识及安全警示标识。</w:t>
            </w:r>
          </w:p>
          <w:p w14:paraId="5E6D99C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color w:val="auto"/>
                <w:highlight w:val="none"/>
                <w:lang w:val="zh-CN"/>
              </w:rPr>
            </w:pPr>
            <w:r>
              <w:rPr>
                <w:rFonts w:hint="eastAsia"/>
                <w:color w:val="auto"/>
                <w:highlight w:val="none"/>
                <w:lang w:val="en-US" w:eastAsia="zh-CN"/>
              </w:rPr>
              <w:t>②</w:t>
            </w:r>
            <w:r>
              <w:rPr>
                <w:rFonts w:hint="default"/>
                <w:color w:val="auto"/>
                <w:highlight w:val="none"/>
                <w:lang w:val="zh-CN"/>
              </w:rPr>
              <w:t>物料泄漏事故防范措施</w:t>
            </w:r>
            <w:r>
              <w:rPr>
                <w:rFonts w:hint="eastAsia"/>
                <w:color w:val="auto"/>
                <w:highlight w:val="none"/>
                <w:lang w:val="zh-CN"/>
              </w:rPr>
              <w:t>：</w:t>
            </w:r>
            <w:r>
              <w:rPr>
                <w:rFonts w:hint="default"/>
                <w:color w:val="auto"/>
                <w:highlight w:val="none"/>
                <w:lang w:val="zh-CN"/>
              </w:rPr>
              <w:t>经常检查管道，并控制管道支撑的磨损。定期系统试压、定期检漏。</w:t>
            </w:r>
            <w:bookmarkStart w:id="69" w:name="sys71724232"/>
            <w:r>
              <w:rPr>
                <w:rFonts w:hint="eastAsia"/>
                <w:color w:val="auto"/>
                <w:highlight w:val="none"/>
                <w:lang w:val="en-US" w:eastAsia="zh-CN"/>
              </w:rPr>
              <w:t>制定严格的原料管理制度，在原料运输、使用过程中严格遵守规章制度。</w:t>
            </w:r>
            <w:bookmarkEnd w:id="69"/>
          </w:p>
          <w:p w14:paraId="43FEA800">
            <w:pPr>
              <w:keepNext w:val="0"/>
              <w:keepLines w:val="0"/>
              <w:pageBreakBefore w:val="0"/>
              <w:widowControl w:val="0"/>
              <w:kinsoku/>
              <w:wordWrap/>
              <w:overflowPunct/>
              <w:topLinePunct w:val="0"/>
              <w:bidi w:val="0"/>
              <w:spacing w:line="460" w:lineRule="exact"/>
              <w:ind w:firstLine="480" w:firstLineChars="200"/>
              <w:textAlignment w:val="auto"/>
              <w:rPr>
                <w:rFonts w:hint="eastAsia" w:eastAsia="宋体"/>
                <w:color w:val="auto"/>
                <w:highlight w:val="none"/>
                <w:lang w:eastAsia="zh-CN"/>
              </w:rPr>
            </w:pPr>
            <w:bookmarkStart w:id="70" w:name="sys7173092"/>
            <w:r>
              <w:rPr>
                <w:rFonts w:hint="eastAsia"/>
                <w:color w:val="auto"/>
                <w:highlight w:val="none"/>
                <w:lang w:val="en-US" w:eastAsia="zh-CN"/>
              </w:rPr>
              <w:t>③</w:t>
            </w:r>
            <w:r>
              <w:rPr>
                <w:rFonts w:hint="default"/>
                <w:color w:val="auto"/>
                <w:highlight w:val="none"/>
                <w:lang w:val="zh-CN"/>
              </w:rPr>
              <w:t>废</w:t>
            </w:r>
            <w:r>
              <w:rPr>
                <w:rFonts w:hint="default"/>
                <w:color w:val="auto"/>
                <w:highlight w:val="none"/>
              </w:rPr>
              <w:t>气</w:t>
            </w:r>
            <w:r>
              <w:rPr>
                <w:rFonts w:hint="default"/>
                <w:color w:val="auto"/>
                <w:highlight w:val="none"/>
                <w:lang w:val="zh-CN"/>
              </w:rPr>
              <w:t>处理设施故障应急处置措施</w:t>
            </w:r>
            <w:r>
              <w:rPr>
                <w:rFonts w:hint="eastAsia"/>
                <w:color w:val="auto"/>
                <w:highlight w:val="none"/>
                <w:lang w:val="zh-CN"/>
              </w:rPr>
              <w:t>：</w:t>
            </w:r>
            <w:bookmarkEnd w:id="70"/>
            <w:r>
              <w:rPr>
                <w:rFonts w:hint="default"/>
                <w:color w:val="auto"/>
                <w:highlight w:val="none"/>
              </w:rPr>
              <w:t>加强对废气处理系统的维护和检修，使其处于良好的运行状态，并且需加强管理，一旦出现异常现象应停止生产，从根源上切断污染，</w:t>
            </w:r>
            <w:r>
              <w:rPr>
                <w:rFonts w:hint="default"/>
                <w:color w:val="auto"/>
                <w:highlight w:val="none"/>
                <w:lang w:eastAsia="zh-CN"/>
              </w:rPr>
              <w:t>查出</w:t>
            </w:r>
            <w:r>
              <w:rPr>
                <w:rFonts w:hint="default"/>
                <w:color w:val="auto"/>
                <w:highlight w:val="none"/>
              </w:rPr>
              <w:t>异常原因，事故发生后应在最短的时间内排除故障，确保对周围环境的影响降到最低。</w:t>
            </w:r>
          </w:p>
          <w:p w14:paraId="67DDB390">
            <w:pPr>
              <w:keepNext w:val="0"/>
              <w:keepLines w:val="0"/>
              <w:pageBreakBefore w:val="0"/>
              <w:widowControl w:val="0"/>
              <w:kinsoku/>
              <w:wordWrap/>
              <w:overflowPunct/>
              <w:topLinePunct w:val="0"/>
              <w:bidi w:val="0"/>
              <w:spacing w:line="460" w:lineRule="exact"/>
              <w:ind w:firstLine="480" w:firstLineChars="200"/>
              <w:textAlignment w:val="auto"/>
              <w:rPr>
                <w:rFonts w:hint="default"/>
                <w:color w:val="auto"/>
                <w:highlight w:val="none"/>
                <w:lang w:val="zh-CN"/>
              </w:rPr>
            </w:pPr>
            <w:r>
              <w:rPr>
                <w:rFonts w:hint="eastAsia"/>
                <w:color w:val="auto"/>
                <w:highlight w:val="none"/>
                <w:lang w:val="en-US" w:eastAsia="zh-CN"/>
              </w:rPr>
              <w:t>④</w:t>
            </w:r>
            <w:r>
              <w:rPr>
                <w:rFonts w:hint="default"/>
                <w:color w:val="auto"/>
                <w:highlight w:val="none"/>
                <w:lang w:val="zh-CN"/>
              </w:rPr>
              <w:t>危废贮存、运输过程风险防范</w:t>
            </w:r>
            <w:r>
              <w:rPr>
                <w:rFonts w:hint="default"/>
                <w:color w:val="auto"/>
                <w:highlight w:val="none"/>
              </w:rPr>
              <w:t>措施</w:t>
            </w:r>
            <w:r>
              <w:rPr>
                <w:rFonts w:hint="eastAsia"/>
                <w:color w:val="auto"/>
                <w:highlight w:val="none"/>
                <w:lang w:eastAsia="zh-CN"/>
              </w:rPr>
              <w:t>：</w:t>
            </w:r>
            <w:r>
              <w:rPr>
                <w:rFonts w:hint="default"/>
                <w:color w:val="auto"/>
                <w:highlight w:val="none"/>
                <w:lang w:val="zh-CN"/>
              </w:rPr>
              <w:t>本次环评要求</w:t>
            </w:r>
            <w:r>
              <w:rPr>
                <w:rFonts w:hint="default"/>
                <w:color w:val="auto"/>
                <w:highlight w:val="none"/>
                <w:lang w:val="en-US" w:eastAsia="zh-CN"/>
              </w:rPr>
              <w:t>危废暂存库</w:t>
            </w:r>
            <w:r>
              <w:rPr>
                <w:rFonts w:hint="default"/>
                <w:color w:val="auto"/>
                <w:highlight w:val="none"/>
                <w:lang w:val="zh-CN"/>
              </w:rPr>
              <w:t>须满足</w:t>
            </w:r>
            <w:r>
              <w:rPr>
                <w:rFonts w:hint="default"/>
                <w:color w:val="auto"/>
                <w:highlight w:val="none"/>
                <w:lang w:eastAsia="zh-CN"/>
              </w:rPr>
              <w:t>《</w:t>
            </w:r>
            <w:r>
              <w:rPr>
                <w:rFonts w:hint="default"/>
                <w:color w:val="auto"/>
                <w:highlight w:val="none"/>
                <w:lang w:val="en-US" w:eastAsia="zh-CN"/>
              </w:rPr>
              <w:t>危险废物贮存污染控制标准》（GB18597-2023）</w:t>
            </w:r>
            <w:r>
              <w:rPr>
                <w:rFonts w:hint="default"/>
                <w:color w:val="auto"/>
                <w:highlight w:val="none"/>
                <w:lang w:val="zh-CN"/>
              </w:rPr>
              <w:t>要求。</w:t>
            </w:r>
          </w:p>
          <w:p w14:paraId="029EE196">
            <w:pPr>
              <w:keepNext w:val="0"/>
              <w:keepLines w:val="0"/>
              <w:pageBreakBefore w:val="0"/>
              <w:widowControl w:val="0"/>
              <w:kinsoku/>
              <w:wordWrap/>
              <w:overflowPunct/>
              <w:topLinePunct w:val="0"/>
              <w:bidi w:val="0"/>
              <w:spacing w:line="460" w:lineRule="exact"/>
              <w:ind w:firstLine="480" w:firstLineChars="200"/>
              <w:textAlignment w:val="auto"/>
              <w:rPr>
                <w:rFonts w:hint="default"/>
                <w:color w:val="auto"/>
                <w:highlight w:val="none"/>
                <w:lang w:val="en-US" w:eastAsia="zh-CN"/>
              </w:rPr>
            </w:pPr>
            <w:r>
              <w:rPr>
                <w:rFonts w:hint="eastAsia"/>
                <w:color w:val="auto"/>
                <w:highlight w:val="none"/>
                <w:lang w:val="en-US" w:eastAsia="zh-CN"/>
              </w:rPr>
              <w:t>⑤项目建成后配备必要的应急设施，如灭火器、消防沙、防毒面具等</w:t>
            </w:r>
            <w:r>
              <w:rPr>
                <w:rFonts w:hint="default"/>
                <w:color w:val="auto"/>
                <w:highlight w:val="none"/>
                <w:lang w:val="zh-CN"/>
              </w:rPr>
              <w:t>。</w:t>
            </w:r>
          </w:p>
          <w:p w14:paraId="3595B2B8">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default" w:eastAsia="宋体"/>
                <w:color w:val="auto"/>
                <w:sz w:val="24"/>
                <w:highlight w:val="none"/>
                <w:lang w:val="en-US" w:eastAsia="zh-CN"/>
              </w:rPr>
            </w:pPr>
            <w:r>
              <w:rPr>
                <w:rFonts w:hint="eastAsia"/>
                <w:color w:val="auto"/>
                <w:highlight w:val="none"/>
                <w:lang w:val="en-US" w:eastAsia="zh-CN"/>
              </w:rPr>
              <w:t>⑥</w:t>
            </w:r>
            <w:r>
              <w:rPr>
                <w:rFonts w:hint="default"/>
                <w:color w:val="auto"/>
                <w:highlight w:val="none"/>
                <w:lang w:val="en-US" w:eastAsia="zh-CN"/>
              </w:rPr>
              <w:t>建设单位应依据相关法律法规履行安全生</w:t>
            </w:r>
            <w:r>
              <w:rPr>
                <w:rFonts w:hint="eastAsia"/>
                <w:color w:val="auto"/>
                <w:highlight w:val="none"/>
                <w:lang w:val="en-US" w:eastAsia="zh-CN"/>
              </w:rPr>
              <w:t>产“三同时”手</w:t>
            </w:r>
            <w:r>
              <w:rPr>
                <w:rFonts w:hint="default"/>
                <w:color w:val="auto"/>
                <w:highlight w:val="none"/>
                <w:lang w:val="en-US" w:eastAsia="zh-CN"/>
              </w:rPr>
              <w:t>续。</w:t>
            </w:r>
          </w:p>
        </w:tc>
      </w:tr>
      <w:tr w14:paraId="2B931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Align w:val="center"/>
          </w:tcPr>
          <w:p w14:paraId="18B5F64A">
            <w:pPr>
              <w:keepNext w:val="0"/>
              <w:keepLines w:val="0"/>
              <w:pageBreakBefore w:val="0"/>
              <w:widowControl w:val="0"/>
              <w:kinsoku/>
              <w:wordWrap/>
              <w:overflowPunct/>
              <w:topLinePunct w:val="0"/>
              <w:bidi w:val="0"/>
              <w:adjustRightInd w:val="0"/>
              <w:snapToGrid w:val="0"/>
              <w:spacing w:line="240" w:lineRule="auto"/>
              <w:jc w:val="center"/>
              <w:textAlignment w:val="auto"/>
              <w:rPr>
                <w:b/>
                <w:color w:val="auto"/>
                <w:sz w:val="24"/>
                <w:highlight w:val="none"/>
              </w:rPr>
            </w:pPr>
            <w:r>
              <w:rPr>
                <w:b/>
                <w:color w:val="auto"/>
                <w:sz w:val="24"/>
                <w:highlight w:val="none"/>
              </w:rPr>
              <w:t>其他环境管理要求</w:t>
            </w:r>
          </w:p>
        </w:tc>
        <w:tc>
          <w:tcPr>
            <w:tcW w:w="4612" w:type="pct"/>
            <w:gridSpan w:val="5"/>
            <w:vAlign w:val="center"/>
          </w:tcPr>
          <w:p w14:paraId="61864117">
            <w:pPr>
              <w:keepNext w:val="0"/>
              <w:keepLines w:val="0"/>
              <w:pageBreakBefore w:val="0"/>
              <w:widowControl w:val="0"/>
              <w:kinsoku/>
              <w:wordWrap/>
              <w:overflowPunct/>
              <w:topLinePunct w:val="0"/>
              <w:bidi w:val="0"/>
              <w:spacing w:line="460" w:lineRule="exact"/>
              <w:ind w:firstLine="480" w:firstLineChars="200"/>
              <w:textAlignment w:val="auto"/>
              <w:rPr>
                <w:color w:val="auto"/>
                <w:highlight w:val="none"/>
              </w:rPr>
            </w:pPr>
            <w:r>
              <w:rPr>
                <w:rFonts w:hint="eastAsia"/>
                <w:color w:val="auto"/>
                <w:highlight w:val="none"/>
                <w:lang w:val="en-US" w:eastAsia="zh-CN"/>
              </w:rPr>
              <w:t>①根据《省生态环境厅关于深入开展涉VOCs治理重点工作核查的通知》（苏环办〔</w:t>
            </w:r>
            <w:sdt>
              <w:sdtPr>
                <w:rPr>
                  <w:color w:val="auto"/>
                  <w:highlight w:val="none"/>
                </w:rPr>
                <w:alias w:val="易错词检查"/>
                <w:tag w:val="auto"/>
                <w:id w:val="2101625"/>
              </w:sdtPr>
              <w:sdtEndPr>
                <w:rPr>
                  <w:color w:val="auto"/>
                  <w:highlight w:val="none"/>
                </w:rPr>
              </w:sdtEndPr>
              <w:sdtContent>
                <w:bookmarkStart w:id="71" w:name="bkReivew2101625"/>
                <w:r>
                  <w:rPr>
                    <w:rFonts w:hint="eastAsia"/>
                    <w:color w:val="auto"/>
                    <w:highlight w:val="none"/>
                    <w:lang w:val="en-US" w:eastAsia="zh-CN"/>
                  </w:rPr>
                  <w:t>2022〕218号</w:t>
                </w:r>
                <w:bookmarkEnd w:id="71"/>
              </w:sdtContent>
            </w:sdt>
            <w:r>
              <w:rPr>
                <w:rFonts w:hint="eastAsia"/>
                <w:color w:val="auto"/>
                <w:highlight w:val="none"/>
                <w:lang w:val="en-US" w:eastAsia="zh-CN"/>
              </w:rPr>
              <w:t>）要求，健全活性炭吸附装置使用制度，做好活性炭吸附装置日常运行维护台账。</w:t>
            </w:r>
          </w:p>
          <w:p w14:paraId="4FCB3374">
            <w:pPr>
              <w:keepNext w:val="0"/>
              <w:keepLines w:val="0"/>
              <w:pageBreakBefore w:val="0"/>
              <w:widowControl w:val="0"/>
              <w:kinsoku/>
              <w:wordWrap/>
              <w:overflowPunct/>
              <w:topLinePunct w:val="0"/>
              <w:bidi w:val="0"/>
              <w:snapToGrid w:val="0"/>
              <w:spacing w:line="460" w:lineRule="exact"/>
              <w:ind w:firstLine="480" w:firstLineChars="200"/>
              <w:jc w:val="both"/>
              <w:textAlignment w:val="auto"/>
              <w:rPr>
                <w:color w:val="auto"/>
                <w:sz w:val="24"/>
                <w:highlight w:val="none"/>
              </w:rPr>
            </w:pPr>
            <w:r>
              <w:rPr>
                <w:rFonts w:hint="eastAsia"/>
                <w:color w:val="auto"/>
                <w:highlight w:val="none"/>
                <w:lang w:val="en-US" w:eastAsia="zh-CN"/>
              </w:rPr>
              <w:t>②</w:t>
            </w:r>
            <w:r>
              <w:rPr>
                <w:rFonts w:hint="eastAsia"/>
                <w:color w:val="auto"/>
                <w:highlight w:val="none"/>
              </w:rPr>
              <w:t>按照要求</w:t>
            </w:r>
            <w:r>
              <w:rPr>
                <w:rFonts w:hint="eastAsia"/>
                <w:color w:val="auto"/>
                <w:highlight w:val="none"/>
                <w:lang w:val="en-US" w:eastAsia="zh-CN"/>
              </w:rPr>
              <w:t>进行排污登记填报</w:t>
            </w:r>
            <w:r>
              <w:rPr>
                <w:rFonts w:hint="eastAsia"/>
                <w:color w:val="auto"/>
                <w:highlight w:val="none"/>
              </w:rPr>
              <w:t>，定期开展例行监测</w:t>
            </w:r>
            <w:r>
              <w:rPr>
                <w:rFonts w:hint="eastAsia"/>
                <w:color w:val="auto"/>
                <w:highlight w:val="none"/>
                <w:lang w:val="zh-CN"/>
              </w:rPr>
              <w:t>。</w:t>
            </w:r>
          </w:p>
        </w:tc>
      </w:tr>
    </w:tbl>
    <w:p w14:paraId="326A74F6">
      <w:pPr>
        <w:pStyle w:val="27"/>
        <w:outlineLvl w:val="0"/>
        <w:rPr>
          <w:rFonts w:ascii="Times New Roman" w:hAnsi="Times New Roman"/>
          <w:snapToGrid w:val="0"/>
          <w:color w:val="auto"/>
          <w:highlight w:val="none"/>
        </w:rPr>
        <w:sectPr>
          <w:pgSz w:w="11906" w:h="16838"/>
          <w:pgMar w:top="1440" w:right="1361" w:bottom="1440" w:left="1361" w:header="851" w:footer="851" w:gutter="0"/>
          <w:pgBorders>
            <w:top w:val="none" w:sz="0" w:space="0"/>
            <w:left w:val="none" w:sz="0" w:space="0"/>
            <w:bottom w:val="none" w:sz="0" w:space="0"/>
            <w:right w:val="none" w:sz="0" w:space="0"/>
          </w:pgBorders>
          <w:pgNumType w:fmt="decimal"/>
          <w:cols w:space="720" w:num="1"/>
          <w:docGrid w:linePitch="312" w:charSpace="0"/>
        </w:sectPr>
      </w:pPr>
    </w:p>
    <w:p w14:paraId="09D0AA67">
      <w:pPr>
        <w:pStyle w:val="2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snapToGrid w:val="0"/>
          <w:color w:val="auto"/>
          <w:sz w:val="30"/>
          <w:szCs w:val="30"/>
          <w:highlight w:val="none"/>
        </w:rPr>
      </w:pPr>
      <w:r>
        <w:rPr>
          <w:rFonts w:hint="eastAsia" w:ascii="黑体" w:hAnsi="黑体" w:eastAsia="黑体" w:cs="黑体"/>
          <w:snapToGrid w:val="0"/>
          <w:color w:val="auto"/>
          <w:sz w:val="30"/>
          <w:szCs w:val="30"/>
          <w:highlight w:val="none"/>
        </w:rPr>
        <w:t>六、结论</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1ADB5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14:paraId="51C5D93B">
            <w:pPr>
              <w:pStyle w:val="139"/>
              <w:snapToGrid w:val="0"/>
              <w:spacing w:line="360" w:lineRule="auto"/>
              <w:ind w:firstLine="460" w:firstLineChars="192"/>
              <w:rPr>
                <w:color w:val="auto"/>
                <w:sz w:val="24"/>
                <w:highlight w:val="none"/>
              </w:rPr>
            </w:pPr>
            <w:r>
              <w:rPr>
                <w:rFonts w:hint="eastAsia" w:ascii="Times New Roman" w:hAnsi="Times New Roman" w:eastAsia="宋体"/>
                <w:color w:val="auto"/>
                <w:sz w:val="24"/>
                <w:highlight w:val="none"/>
              </w:rPr>
              <w:t>本项目的建设符合国家和地方产业政策和环境政策，与区域规划相容，选址布局合理，符合南京市“三线一单”要求，拟采取的环保措施切实可行、有效，废气、废水、噪声能做到达标排放，固体废物处置率达100%，对周边大气、地表水、声环境质量影响较小，不会降低区域环境质量等级。在有效落实环评中提出的各项环保措施和风险防控措施的前提下，从环保角度分析，本项目的建设是可行的。</w:t>
            </w:r>
          </w:p>
        </w:tc>
      </w:tr>
    </w:tbl>
    <w:p w14:paraId="4935ABC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eastAsia="宋体"/>
          <w:bCs/>
          <w:color w:val="auto"/>
          <w:sz w:val="24"/>
          <w:highlight w:val="none"/>
          <w:lang w:eastAsia="zh-CN"/>
        </w:rPr>
        <w:sectPr>
          <w:footerReference r:id="rId9" w:type="default"/>
          <w:pgSz w:w="11906" w:h="16838"/>
          <w:pgMar w:top="1701" w:right="1531" w:bottom="1701" w:left="1531" w:header="851" w:footer="850" w:gutter="0"/>
          <w:pgBorders>
            <w:top w:val="none" w:sz="0" w:space="0"/>
            <w:left w:val="none" w:sz="0" w:space="0"/>
            <w:bottom w:val="none" w:sz="0" w:space="0"/>
            <w:right w:val="none" w:sz="0" w:space="0"/>
          </w:pgBorders>
          <w:pgNumType w:fmt="decimal"/>
          <w:cols w:space="720" w:num="1"/>
          <w:docGrid w:linePitch="312" w:charSpace="0"/>
        </w:sectPr>
      </w:pPr>
    </w:p>
    <w:p w14:paraId="3431226A">
      <w:pPr>
        <w:pStyle w:val="27"/>
        <w:adjustRightInd w:val="0"/>
        <w:snapToGrid w:val="0"/>
        <w:spacing w:before="0" w:beforeAutospacing="0" w:after="0" w:afterAutospacing="0" w:line="240" w:lineRule="auto"/>
        <w:outlineLvl w:val="0"/>
        <w:rPr>
          <w:rFonts w:ascii="Times New Roman" w:hAnsi="Times New Roman" w:eastAsia="宋体"/>
          <w:b/>
          <w:bCs/>
          <w:snapToGrid w:val="0"/>
          <w:color w:val="auto"/>
          <w:sz w:val="28"/>
          <w:szCs w:val="28"/>
          <w:highlight w:val="none"/>
        </w:rPr>
      </w:pPr>
      <w:r>
        <w:rPr>
          <w:rFonts w:ascii="Times New Roman" w:hAnsi="Times New Roman" w:eastAsia="宋体"/>
          <w:b/>
          <w:bCs/>
          <w:snapToGrid w:val="0"/>
          <w:color w:val="auto"/>
          <w:sz w:val="28"/>
          <w:szCs w:val="28"/>
          <w:highlight w:val="none"/>
        </w:rPr>
        <w:t>附表</w:t>
      </w:r>
    </w:p>
    <w:p w14:paraId="32F616F3">
      <w:pPr>
        <w:pStyle w:val="27"/>
        <w:adjustRightInd w:val="0"/>
        <w:snapToGrid w:val="0"/>
        <w:spacing w:before="0" w:beforeAutospacing="0" w:after="0" w:afterAutospacing="0" w:line="240" w:lineRule="auto"/>
        <w:jc w:val="center"/>
        <w:outlineLvl w:val="9"/>
        <w:rPr>
          <w:rFonts w:ascii="Times New Roman" w:hAnsi="Times New Roman" w:eastAsia="宋体"/>
          <w:b/>
          <w:bCs/>
          <w:snapToGrid w:val="0"/>
          <w:color w:val="auto"/>
          <w:sz w:val="28"/>
          <w:szCs w:val="28"/>
          <w:highlight w:val="none"/>
        </w:rPr>
      </w:pPr>
      <w:r>
        <w:rPr>
          <w:rFonts w:ascii="Times New Roman" w:hAnsi="Times New Roman" w:eastAsia="宋体"/>
          <w:b/>
          <w:bCs/>
          <w:snapToGrid w:val="0"/>
          <w:color w:val="auto"/>
          <w:sz w:val="28"/>
          <w:szCs w:val="28"/>
          <w:highlight w:val="none"/>
        </w:rPr>
        <w:t>建设项目污染物排放量汇总表</w:t>
      </w:r>
    </w:p>
    <w:tbl>
      <w:tblPr>
        <w:tblStyle w:val="32"/>
        <w:tblW w:w="498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2093"/>
        <w:gridCol w:w="1308"/>
        <w:gridCol w:w="1284"/>
        <w:gridCol w:w="1629"/>
        <w:gridCol w:w="1602"/>
        <w:gridCol w:w="1435"/>
        <w:gridCol w:w="1579"/>
        <w:gridCol w:w="1284"/>
      </w:tblGrid>
      <w:tr w14:paraId="1AF9F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93" w:type="pct"/>
            <w:tcBorders>
              <w:tl2br w:val="single" w:color="auto" w:sz="4" w:space="0"/>
            </w:tcBorders>
            <w:noWrap w:val="0"/>
            <w:tcMar>
              <w:left w:w="28" w:type="dxa"/>
              <w:right w:w="28" w:type="dxa"/>
            </w:tcMar>
            <w:vAlign w:val="center"/>
          </w:tcPr>
          <w:p w14:paraId="48695AF1">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项目</w:t>
            </w:r>
          </w:p>
          <w:p w14:paraId="28016F1D">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分类</w:t>
            </w:r>
          </w:p>
        </w:tc>
        <w:tc>
          <w:tcPr>
            <w:tcW w:w="789" w:type="pct"/>
            <w:noWrap w:val="0"/>
            <w:tcMar>
              <w:left w:w="28" w:type="dxa"/>
              <w:right w:w="28" w:type="dxa"/>
            </w:tcMar>
            <w:vAlign w:val="center"/>
          </w:tcPr>
          <w:p w14:paraId="354B5174">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污染物名称</w:t>
            </w:r>
          </w:p>
        </w:tc>
        <w:tc>
          <w:tcPr>
            <w:tcW w:w="493" w:type="pct"/>
            <w:noWrap w:val="0"/>
            <w:tcMar>
              <w:left w:w="28" w:type="dxa"/>
              <w:right w:w="28" w:type="dxa"/>
            </w:tcMar>
            <w:vAlign w:val="center"/>
          </w:tcPr>
          <w:p w14:paraId="197D0856">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现有工程</w:t>
            </w:r>
          </w:p>
          <w:p w14:paraId="027C214A">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排放量（固体废物产生量</w:t>
            </w:r>
            <w:r>
              <w:rPr>
                <w:rFonts w:hint="eastAsia" w:ascii="Times New Roman" w:hAnsi="Times New Roman" w:eastAsia="宋体"/>
                <w:b/>
                <w:bCs/>
                <w:snapToGrid w:val="0"/>
                <w:color w:val="auto"/>
                <w:spacing w:val="-6"/>
                <w:kern w:val="21"/>
                <w:sz w:val="21"/>
                <w:szCs w:val="21"/>
                <w:highlight w:val="none"/>
                <w:lang w:val="en-US" w:eastAsia="zh-CN"/>
              </w:rPr>
              <w:t>t/a</w:t>
            </w:r>
            <w:r>
              <w:rPr>
                <w:rFonts w:ascii="Times New Roman" w:hAnsi="Times New Roman" w:eastAsia="宋体"/>
                <w:b/>
                <w:bCs/>
                <w:snapToGrid w:val="0"/>
                <w:color w:val="auto"/>
                <w:spacing w:val="-6"/>
                <w:kern w:val="21"/>
                <w:sz w:val="21"/>
                <w:szCs w:val="21"/>
                <w:highlight w:val="none"/>
              </w:rPr>
              <w:t>）</w:t>
            </w:r>
            <w:r>
              <w:rPr>
                <w:rFonts w:ascii="Times New Roman" w:hAnsi="Times New Roman" w:eastAsia="宋体"/>
                <w:b/>
                <w:bCs/>
                <w:snapToGrid w:val="0"/>
                <w:color w:val="auto"/>
                <w:spacing w:val="-6"/>
                <w:kern w:val="21"/>
                <w:sz w:val="21"/>
                <w:szCs w:val="21"/>
                <w:highlight w:val="none"/>
              </w:rPr>
              <w:fldChar w:fldCharType="begin"/>
            </w:r>
            <w:r>
              <w:rPr>
                <w:rFonts w:ascii="Times New Roman" w:hAnsi="Times New Roman" w:eastAsia="宋体"/>
                <w:b/>
                <w:bCs/>
                <w:snapToGrid w:val="0"/>
                <w:color w:val="auto"/>
                <w:spacing w:val="-6"/>
                <w:kern w:val="21"/>
                <w:sz w:val="21"/>
                <w:szCs w:val="21"/>
                <w:highlight w:val="none"/>
              </w:rPr>
              <w:instrText xml:space="preserve"> = 1 \* GB3 \* MERGEFORMAT </w:instrText>
            </w:r>
            <w:r>
              <w:rPr>
                <w:rFonts w:ascii="Times New Roman" w:hAnsi="Times New Roman" w:eastAsia="宋体"/>
                <w:b/>
                <w:bCs/>
                <w:snapToGrid w:val="0"/>
                <w:color w:val="auto"/>
                <w:spacing w:val="-6"/>
                <w:kern w:val="21"/>
                <w:sz w:val="21"/>
                <w:szCs w:val="21"/>
                <w:highlight w:val="none"/>
              </w:rPr>
              <w:fldChar w:fldCharType="separate"/>
            </w:r>
            <w:r>
              <w:rPr>
                <w:rFonts w:hint="eastAsia" w:ascii="Times New Roman" w:hAnsi="Times New Roman" w:eastAsia="宋体" w:cs="宋体"/>
                <w:b/>
                <w:bCs/>
                <w:color w:val="auto"/>
                <w:kern w:val="2"/>
                <w:sz w:val="21"/>
                <w:szCs w:val="21"/>
                <w:highlight w:val="none"/>
              </w:rPr>
              <w:t>①</w:t>
            </w:r>
            <w:r>
              <w:rPr>
                <w:rFonts w:ascii="Times New Roman" w:hAnsi="Times New Roman" w:eastAsia="宋体"/>
                <w:b/>
                <w:bCs/>
                <w:snapToGrid w:val="0"/>
                <w:color w:val="auto"/>
                <w:spacing w:val="-6"/>
                <w:kern w:val="21"/>
                <w:sz w:val="21"/>
                <w:szCs w:val="21"/>
                <w:highlight w:val="none"/>
              </w:rPr>
              <w:fldChar w:fldCharType="end"/>
            </w:r>
          </w:p>
        </w:tc>
        <w:tc>
          <w:tcPr>
            <w:tcW w:w="484" w:type="pct"/>
            <w:noWrap w:val="0"/>
            <w:tcMar>
              <w:left w:w="28" w:type="dxa"/>
              <w:right w:w="28" w:type="dxa"/>
            </w:tcMar>
            <w:vAlign w:val="center"/>
          </w:tcPr>
          <w:p w14:paraId="5C9BD966">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现有工程</w:t>
            </w:r>
          </w:p>
          <w:p w14:paraId="435BA974">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许可排放量</w:t>
            </w:r>
            <w:r>
              <w:rPr>
                <w:rFonts w:hint="eastAsia" w:ascii="Times New Roman" w:hAnsi="Times New Roman" w:eastAsia="宋体"/>
                <w:b/>
                <w:bCs/>
                <w:snapToGrid w:val="0"/>
                <w:color w:val="auto"/>
                <w:spacing w:val="-6"/>
                <w:kern w:val="21"/>
                <w:sz w:val="21"/>
                <w:szCs w:val="21"/>
                <w:highlight w:val="none"/>
                <w:lang w:val="en-US" w:eastAsia="zh-CN"/>
              </w:rPr>
              <w:t>t/a</w:t>
            </w:r>
            <w:r>
              <w:rPr>
                <w:rFonts w:ascii="Times New Roman" w:hAnsi="Times New Roman" w:eastAsia="宋体"/>
                <w:b/>
                <w:bCs/>
                <w:snapToGrid w:val="0"/>
                <w:color w:val="auto"/>
                <w:spacing w:val="-6"/>
                <w:kern w:val="21"/>
                <w:sz w:val="21"/>
                <w:szCs w:val="21"/>
                <w:highlight w:val="none"/>
              </w:rPr>
              <w:fldChar w:fldCharType="begin"/>
            </w:r>
            <w:r>
              <w:rPr>
                <w:rFonts w:ascii="Times New Roman" w:hAnsi="Times New Roman" w:eastAsia="宋体"/>
                <w:b/>
                <w:bCs/>
                <w:snapToGrid w:val="0"/>
                <w:color w:val="auto"/>
                <w:spacing w:val="-6"/>
                <w:kern w:val="21"/>
                <w:sz w:val="21"/>
                <w:szCs w:val="21"/>
                <w:highlight w:val="none"/>
              </w:rPr>
              <w:instrText xml:space="preserve"> = 2 \* GB3 \* MERGEFORMAT </w:instrText>
            </w:r>
            <w:r>
              <w:rPr>
                <w:rFonts w:ascii="Times New Roman" w:hAnsi="Times New Roman" w:eastAsia="宋体"/>
                <w:b/>
                <w:bCs/>
                <w:snapToGrid w:val="0"/>
                <w:color w:val="auto"/>
                <w:spacing w:val="-6"/>
                <w:kern w:val="21"/>
                <w:sz w:val="21"/>
                <w:szCs w:val="21"/>
                <w:highlight w:val="none"/>
              </w:rPr>
              <w:fldChar w:fldCharType="separate"/>
            </w:r>
            <w:r>
              <w:rPr>
                <w:rFonts w:hint="eastAsia" w:ascii="Times New Roman" w:hAnsi="Times New Roman" w:eastAsia="宋体" w:cs="宋体"/>
                <w:b/>
                <w:bCs/>
                <w:snapToGrid w:val="0"/>
                <w:color w:val="auto"/>
                <w:spacing w:val="-6"/>
                <w:kern w:val="21"/>
                <w:sz w:val="21"/>
                <w:szCs w:val="21"/>
                <w:highlight w:val="none"/>
              </w:rPr>
              <w:t>②</w:t>
            </w:r>
            <w:r>
              <w:rPr>
                <w:rFonts w:ascii="Times New Roman" w:hAnsi="Times New Roman" w:eastAsia="宋体"/>
                <w:b/>
                <w:bCs/>
                <w:snapToGrid w:val="0"/>
                <w:color w:val="auto"/>
                <w:spacing w:val="-6"/>
                <w:kern w:val="21"/>
                <w:sz w:val="21"/>
                <w:szCs w:val="21"/>
                <w:highlight w:val="none"/>
              </w:rPr>
              <w:fldChar w:fldCharType="end"/>
            </w:r>
          </w:p>
        </w:tc>
        <w:tc>
          <w:tcPr>
            <w:tcW w:w="614" w:type="pct"/>
            <w:noWrap w:val="0"/>
            <w:tcMar>
              <w:left w:w="28" w:type="dxa"/>
              <w:right w:w="28" w:type="dxa"/>
            </w:tcMar>
            <w:vAlign w:val="center"/>
          </w:tcPr>
          <w:p w14:paraId="1652E010">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在建工程</w:t>
            </w:r>
          </w:p>
          <w:p w14:paraId="28017227">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排放量（固体废物产生量</w:t>
            </w:r>
            <w:r>
              <w:rPr>
                <w:rFonts w:hint="eastAsia" w:ascii="Times New Roman" w:hAnsi="Times New Roman" w:eastAsia="宋体"/>
                <w:b/>
                <w:bCs/>
                <w:snapToGrid w:val="0"/>
                <w:color w:val="auto"/>
                <w:spacing w:val="-6"/>
                <w:kern w:val="21"/>
                <w:sz w:val="21"/>
                <w:szCs w:val="21"/>
                <w:highlight w:val="none"/>
                <w:lang w:val="en-US" w:eastAsia="zh-CN"/>
              </w:rPr>
              <w:t>t/a</w:t>
            </w:r>
            <w:r>
              <w:rPr>
                <w:rFonts w:ascii="Times New Roman" w:hAnsi="Times New Roman" w:eastAsia="宋体"/>
                <w:b/>
                <w:bCs/>
                <w:snapToGrid w:val="0"/>
                <w:color w:val="auto"/>
                <w:spacing w:val="-6"/>
                <w:kern w:val="21"/>
                <w:sz w:val="21"/>
                <w:szCs w:val="21"/>
                <w:highlight w:val="none"/>
              </w:rPr>
              <w:t>）</w:t>
            </w:r>
            <w:r>
              <w:rPr>
                <w:rFonts w:ascii="Times New Roman" w:hAnsi="Times New Roman" w:eastAsia="宋体"/>
                <w:b/>
                <w:bCs/>
                <w:snapToGrid w:val="0"/>
                <w:color w:val="auto"/>
                <w:spacing w:val="-6"/>
                <w:kern w:val="21"/>
                <w:sz w:val="21"/>
                <w:szCs w:val="21"/>
                <w:highlight w:val="none"/>
              </w:rPr>
              <w:fldChar w:fldCharType="begin"/>
            </w:r>
            <w:r>
              <w:rPr>
                <w:rFonts w:ascii="Times New Roman" w:hAnsi="Times New Roman" w:eastAsia="宋体"/>
                <w:b/>
                <w:bCs/>
                <w:snapToGrid w:val="0"/>
                <w:color w:val="auto"/>
                <w:spacing w:val="-6"/>
                <w:kern w:val="21"/>
                <w:sz w:val="21"/>
                <w:szCs w:val="21"/>
                <w:highlight w:val="none"/>
              </w:rPr>
              <w:instrText xml:space="preserve"> = 3 \* GB3 \* MERGEFORMAT </w:instrText>
            </w:r>
            <w:r>
              <w:rPr>
                <w:rFonts w:ascii="Times New Roman" w:hAnsi="Times New Roman" w:eastAsia="宋体"/>
                <w:b/>
                <w:bCs/>
                <w:snapToGrid w:val="0"/>
                <w:color w:val="auto"/>
                <w:spacing w:val="-6"/>
                <w:kern w:val="21"/>
                <w:sz w:val="21"/>
                <w:szCs w:val="21"/>
                <w:highlight w:val="none"/>
              </w:rPr>
              <w:fldChar w:fldCharType="separate"/>
            </w:r>
            <w:r>
              <w:rPr>
                <w:rFonts w:hint="eastAsia" w:ascii="Times New Roman" w:hAnsi="Times New Roman" w:eastAsia="宋体" w:cs="宋体"/>
                <w:b/>
                <w:bCs/>
                <w:color w:val="auto"/>
                <w:kern w:val="2"/>
                <w:sz w:val="21"/>
                <w:szCs w:val="21"/>
                <w:highlight w:val="none"/>
              </w:rPr>
              <w:t>③</w:t>
            </w:r>
            <w:r>
              <w:rPr>
                <w:rFonts w:ascii="Times New Roman" w:hAnsi="Times New Roman" w:eastAsia="宋体"/>
                <w:b/>
                <w:bCs/>
                <w:snapToGrid w:val="0"/>
                <w:color w:val="auto"/>
                <w:spacing w:val="-6"/>
                <w:kern w:val="21"/>
                <w:sz w:val="21"/>
                <w:szCs w:val="21"/>
                <w:highlight w:val="none"/>
              </w:rPr>
              <w:fldChar w:fldCharType="end"/>
            </w:r>
          </w:p>
        </w:tc>
        <w:tc>
          <w:tcPr>
            <w:tcW w:w="604" w:type="pct"/>
            <w:noWrap w:val="0"/>
            <w:tcMar>
              <w:left w:w="28" w:type="dxa"/>
              <w:right w:w="28" w:type="dxa"/>
            </w:tcMar>
            <w:vAlign w:val="center"/>
          </w:tcPr>
          <w:p w14:paraId="35367DA5">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本项目</w:t>
            </w:r>
          </w:p>
          <w:p w14:paraId="5DBFDD7F">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排放量（固体废物产生量</w:t>
            </w:r>
            <w:r>
              <w:rPr>
                <w:rFonts w:hint="eastAsia" w:ascii="Times New Roman" w:hAnsi="Times New Roman" w:eastAsia="宋体"/>
                <w:b/>
                <w:bCs/>
                <w:snapToGrid w:val="0"/>
                <w:color w:val="auto"/>
                <w:spacing w:val="-6"/>
                <w:kern w:val="21"/>
                <w:sz w:val="21"/>
                <w:szCs w:val="21"/>
                <w:highlight w:val="none"/>
                <w:lang w:val="en-US" w:eastAsia="zh-CN"/>
              </w:rPr>
              <w:t>t/a</w:t>
            </w:r>
            <w:r>
              <w:rPr>
                <w:rFonts w:ascii="Times New Roman" w:hAnsi="Times New Roman" w:eastAsia="宋体"/>
                <w:b/>
                <w:bCs/>
                <w:snapToGrid w:val="0"/>
                <w:color w:val="auto"/>
                <w:spacing w:val="-6"/>
                <w:kern w:val="21"/>
                <w:sz w:val="21"/>
                <w:szCs w:val="21"/>
                <w:highlight w:val="none"/>
              </w:rPr>
              <w:t>）</w:t>
            </w:r>
            <w:r>
              <w:rPr>
                <w:rFonts w:ascii="Times New Roman" w:hAnsi="Times New Roman" w:eastAsia="宋体"/>
                <w:b/>
                <w:bCs/>
                <w:snapToGrid w:val="0"/>
                <w:color w:val="auto"/>
                <w:spacing w:val="-6"/>
                <w:kern w:val="21"/>
                <w:sz w:val="21"/>
                <w:szCs w:val="21"/>
                <w:highlight w:val="none"/>
              </w:rPr>
              <w:fldChar w:fldCharType="begin"/>
            </w:r>
            <w:r>
              <w:rPr>
                <w:rFonts w:ascii="Times New Roman" w:hAnsi="Times New Roman" w:eastAsia="宋体"/>
                <w:b/>
                <w:bCs/>
                <w:snapToGrid w:val="0"/>
                <w:color w:val="auto"/>
                <w:spacing w:val="-6"/>
                <w:kern w:val="21"/>
                <w:sz w:val="21"/>
                <w:szCs w:val="21"/>
                <w:highlight w:val="none"/>
              </w:rPr>
              <w:instrText xml:space="preserve"> = 4 \* GB3 \* MERGEFORMAT </w:instrText>
            </w:r>
            <w:r>
              <w:rPr>
                <w:rFonts w:ascii="Times New Roman" w:hAnsi="Times New Roman" w:eastAsia="宋体"/>
                <w:b/>
                <w:bCs/>
                <w:snapToGrid w:val="0"/>
                <w:color w:val="auto"/>
                <w:spacing w:val="-6"/>
                <w:kern w:val="21"/>
                <w:sz w:val="21"/>
                <w:szCs w:val="21"/>
                <w:highlight w:val="none"/>
              </w:rPr>
              <w:fldChar w:fldCharType="separate"/>
            </w:r>
            <w:r>
              <w:rPr>
                <w:rFonts w:hint="eastAsia" w:ascii="Times New Roman" w:hAnsi="Times New Roman" w:eastAsia="宋体" w:cs="宋体"/>
                <w:b/>
                <w:bCs/>
                <w:color w:val="auto"/>
                <w:kern w:val="2"/>
                <w:sz w:val="21"/>
                <w:szCs w:val="21"/>
                <w:highlight w:val="none"/>
              </w:rPr>
              <w:t>④</w:t>
            </w:r>
            <w:r>
              <w:rPr>
                <w:rFonts w:ascii="Times New Roman" w:hAnsi="Times New Roman" w:eastAsia="宋体"/>
                <w:b/>
                <w:bCs/>
                <w:snapToGrid w:val="0"/>
                <w:color w:val="auto"/>
                <w:spacing w:val="-6"/>
                <w:kern w:val="21"/>
                <w:sz w:val="21"/>
                <w:szCs w:val="21"/>
                <w:highlight w:val="none"/>
              </w:rPr>
              <w:fldChar w:fldCharType="end"/>
            </w:r>
          </w:p>
        </w:tc>
        <w:tc>
          <w:tcPr>
            <w:tcW w:w="541" w:type="pct"/>
            <w:noWrap w:val="0"/>
            <w:tcMar>
              <w:left w:w="28" w:type="dxa"/>
              <w:right w:w="28" w:type="dxa"/>
            </w:tcMar>
            <w:vAlign w:val="center"/>
          </w:tcPr>
          <w:p w14:paraId="34D17BB3">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16"/>
                <w:kern w:val="21"/>
                <w:sz w:val="21"/>
                <w:szCs w:val="21"/>
                <w:highlight w:val="none"/>
              </w:rPr>
            </w:pPr>
            <w:r>
              <w:rPr>
                <w:rFonts w:ascii="Times New Roman" w:hAnsi="Times New Roman" w:eastAsia="宋体"/>
                <w:b/>
                <w:bCs/>
                <w:snapToGrid w:val="0"/>
                <w:color w:val="auto"/>
                <w:spacing w:val="-16"/>
                <w:kern w:val="21"/>
                <w:sz w:val="21"/>
                <w:szCs w:val="21"/>
                <w:highlight w:val="none"/>
              </w:rPr>
              <w:t>以新带老削减量</w:t>
            </w:r>
          </w:p>
          <w:p w14:paraId="7F547B26">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16"/>
                <w:kern w:val="21"/>
                <w:sz w:val="21"/>
                <w:szCs w:val="21"/>
                <w:highlight w:val="none"/>
              </w:rPr>
            </w:pPr>
            <w:r>
              <w:rPr>
                <w:rFonts w:ascii="Times New Roman" w:hAnsi="Times New Roman" w:eastAsia="宋体"/>
                <w:b/>
                <w:bCs/>
                <w:snapToGrid w:val="0"/>
                <w:color w:val="auto"/>
                <w:spacing w:val="-16"/>
                <w:kern w:val="21"/>
                <w:sz w:val="21"/>
                <w:szCs w:val="21"/>
                <w:highlight w:val="none"/>
              </w:rPr>
              <w:t>（新建项目不填</w:t>
            </w:r>
            <w:r>
              <w:rPr>
                <w:rFonts w:hint="eastAsia" w:ascii="Times New Roman" w:hAnsi="Times New Roman" w:eastAsia="宋体"/>
                <w:b/>
                <w:bCs/>
                <w:snapToGrid w:val="0"/>
                <w:color w:val="auto"/>
                <w:spacing w:val="-6"/>
                <w:kern w:val="21"/>
                <w:sz w:val="21"/>
                <w:szCs w:val="21"/>
                <w:highlight w:val="none"/>
                <w:lang w:val="en-US" w:eastAsia="zh-CN"/>
              </w:rPr>
              <w:t>t/a</w:t>
            </w:r>
            <w:r>
              <w:rPr>
                <w:rFonts w:ascii="Times New Roman" w:hAnsi="Times New Roman" w:eastAsia="宋体"/>
                <w:b/>
                <w:bCs/>
                <w:snapToGrid w:val="0"/>
                <w:color w:val="auto"/>
                <w:spacing w:val="-16"/>
                <w:kern w:val="21"/>
                <w:sz w:val="21"/>
                <w:szCs w:val="21"/>
                <w:highlight w:val="none"/>
              </w:rPr>
              <w:t>）</w:t>
            </w:r>
            <w:r>
              <w:rPr>
                <w:rFonts w:ascii="Times New Roman" w:hAnsi="Times New Roman" w:eastAsia="宋体"/>
                <w:b/>
                <w:bCs/>
                <w:snapToGrid w:val="0"/>
                <w:color w:val="auto"/>
                <w:spacing w:val="-16"/>
                <w:kern w:val="21"/>
                <w:sz w:val="21"/>
                <w:szCs w:val="21"/>
                <w:highlight w:val="none"/>
              </w:rPr>
              <w:fldChar w:fldCharType="begin"/>
            </w:r>
            <w:r>
              <w:rPr>
                <w:rFonts w:ascii="Times New Roman" w:hAnsi="Times New Roman" w:eastAsia="宋体"/>
                <w:b/>
                <w:bCs/>
                <w:snapToGrid w:val="0"/>
                <w:color w:val="auto"/>
                <w:spacing w:val="-16"/>
                <w:kern w:val="21"/>
                <w:sz w:val="21"/>
                <w:szCs w:val="21"/>
                <w:highlight w:val="none"/>
              </w:rPr>
              <w:instrText xml:space="preserve"> = 5 \* GB3 \* MERGEFORMAT </w:instrText>
            </w:r>
            <w:r>
              <w:rPr>
                <w:rFonts w:ascii="Times New Roman" w:hAnsi="Times New Roman" w:eastAsia="宋体"/>
                <w:b/>
                <w:bCs/>
                <w:snapToGrid w:val="0"/>
                <w:color w:val="auto"/>
                <w:spacing w:val="-16"/>
                <w:kern w:val="21"/>
                <w:sz w:val="21"/>
                <w:szCs w:val="21"/>
                <w:highlight w:val="none"/>
              </w:rPr>
              <w:fldChar w:fldCharType="separate"/>
            </w:r>
            <w:r>
              <w:rPr>
                <w:rFonts w:hint="eastAsia" w:ascii="Times New Roman" w:hAnsi="Times New Roman" w:eastAsia="宋体" w:cs="宋体"/>
                <w:b/>
                <w:bCs/>
                <w:color w:val="auto"/>
                <w:kern w:val="2"/>
                <w:sz w:val="21"/>
                <w:szCs w:val="21"/>
                <w:highlight w:val="none"/>
              </w:rPr>
              <w:t>⑤</w:t>
            </w:r>
            <w:r>
              <w:rPr>
                <w:rFonts w:ascii="Times New Roman" w:hAnsi="Times New Roman" w:eastAsia="宋体"/>
                <w:b/>
                <w:bCs/>
                <w:snapToGrid w:val="0"/>
                <w:color w:val="auto"/>
                <w:spacing w:val="-16"/>
                <w:kern w:val="21"/>
                <w:sz w:val="21"/>
                <w:szCs w:val="21"/>
                <w:highlight w:val="none"/>
              </w:rPr>
              <w:fldChar w:fldCharType="end"/>
            </w:r>
          </w:p>
        </w:tc>
        <w:tc>
          <w:tcPr>
            <w:tcW w:w="595" w:type="pct"/>
            <w:noWrap w:val="0"/>
            <w:tcMar>
              <w:left w:w="28" w:type="dxa"/>
              <w:right w:w="28" w:type="dxa"/>
            </w:tcMar>
            <w:vAlign w:val="center"/>
          </w:tcPr>
          <w:p w14:paraId="00A2E1DE">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16"/>
                <w:kern w:val="21"/>
                <w:sz w:val="21"/>
                <w:szCs w:val="21"/>
                <w:highlight w:val="none"/>
              </w:rPr>
            </w:pPr>
            <w:r>
              <w:rPr>
                <w:rFonts w:ascii="Times New Roman" w:hAnsi="Times New Roman" w:eastAsia="宋体"/>
                <w:b/>
                <w:bCs/>
                <w:snapToGrid w:val="0"/>
                <w:color w:val="auto"/>
                <w:spacing w:val="-16"/>
                <w:kern w:val="21"/>
                <w:sz w:val="21"/>
                <w:szCs w:val="21"/>
                <w:highlight w:val="none"/>
              </w:rPr>
              <w:t>本项目建成后</w:t>
            </w:r>
          </w:p>
          <w:p w14:paraId="7A973D4E">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16"/>
                <w:kern w:val="21"/>
                <w:sz w:val="21"/>
                <w:szCs w:val="21"/>
                <w:highlight w:val="none"/>
              </w:rPr>
            </w:pPr>
            <w:r>
              <w:rPr>
                <w:rFonts w:ascii="Times New Roman" w:hAnsi="Times New Roman" w:eastAsia="宋体"/>
                <w:b/>
                <w:bCs/>
                <w:snapToGrid w:val="0"/>
                <w:color w:val="auto"/>
                <w:spacing w:val="-16"/>
                <w:kern w:val="21"/>
                <w:sz w:val="21"/>
                <w:szCs w:val="21"/>
                <w:highlight w:val="none"/>
              </w:rPr>
              <w:t>全厂排放量（固体废物产生量</w:t>
            </w:r>
            <w:r>
              <w:rPr>
                <w:rFonts w:hint="eastAsia" w:ascii="Times New Roman" w:hAnsi="Times New Roman" w:eastAsia="宋体"/>
                <w:b/>
                <w:bCs/>
                <w:snapToGrid w:val="0"/>
                <w:color w:val="auto"/>
                <w:spacing w:val="-6"/>
                <w:kern w:val="21"/>
                <w:sz w:val="21"/>
                <w:szCs w:val="21"/>
                <w:highlight w:val="none"/>
                <w:lang w:val="en-US" w:eastAsia="zh-CN"/>
              </w:rPr>
              <w:t>t/a</w:t>
            </w:r>
            <w:r>
              <w:rPr>
                <w:rFonts w:ascii="Times New Roman" w:hAnsi="Times New Roman" w:eastAsia="宋体"/>
                <w:b/>
                <w:bCs/>
                <w:snapToGrid w:val="0"/>
                <w:color w:val="auto"/>
                <w:spacing w:val="-16"/>
                <w:kern w:val="21"/>
                <w:sz w:val="21"/>
                <w:szCs w:val="21"/>
                <w:highlight w:val="none"/>
              </w:rPr>
              <w:t>）</w:t>
            </w:r>
            <w:r>
              <w:rPr>
                <w:rFonts w:ascii="Times New Roman" w:hAnsi="Times New Roman" w:eastAsia="宋体"/>
                <w:b/>
                <w:bCs/>
                <w:snapToGrid w:val="0"/>
                <w:color w:val="auto"/>
                <w:spacing w:val="-16"/>
                <w:kern w:val="21"/>
                <w:sz w:val="21"/>
                <w:szCs w:val="21"/>
                <w:highlight w:val="none"/>
              </w:rPr>
              <w:fldChar w:fldCharType="begin"/>
            </w:r>
            <w:r>
              <w:rPr>
                <w:rFonts w:ascii="Times New Roman" w:hAnsi="Times New Roman" w:eastAsia="宋体"/>
                <w:b/>
                <w:bCs/>
                <w:snapToGrid w:val="0"/>
                <w:color w:val="auto"/>
                <w:spacing w:val="-16"/>
                <w:kern w:val="21"/>
                <w:sz w:val="21"/>
                <w:szCs w:val="21"/>
                <w:highlight w:val="none"/>
              </w:rPr>
              <w:instrText xml:space="preserve"> = 6 \* GB3 \* MERGEFORMAT </w:instrText>
            </w:r>
            <w:r>
              <w:rPr>
                <w:rFonts w:ascii="Times New Roman" w:hAnsi="Times New Roman" w:eastAsia="宋体"/>
                <w:b/>
                <w:bCs/>
                <w:snapToGrid w:val="0"/>
                <w:color w:val="auto"/>
                <w:spacing w:val="-16"/>
                <w:kern w:val="21"/>
                <w:sz w:val="21"/>
                <w:szCs w:val="21"/>
                <w:highlight w:val="none"/>
              </w:rPr>
              <w:fldChar w:fldCharType="separate"/>
            </w:r>
            <w:r>
              <w:rPr>
                <w:rFonts w:hint="eastAsia" w:ascii="Times New Roman" w:hAnsi="Times New Roman" w:eastAsia="宋体" w:cs="宋体"/>
                <w:b/>
                <w:bCs/>
                <w:color w:val="auto"/>
                <w:kern w:val="2"/>
                <w:sz w:val="21"/>
                <w:szCs w:val="21"/>
                <w:highlight w:val="none"/>
              </w:rPr>
              <w:t>⑥</w:t>
            </w:r>
            <w:r>
              <w:rPr>
                <w:rFonts w:ascii="Times New Roman" w:hAnsi="Times New Roman" w:eastAsia="宋体"/>
                <w:b/>
                <w:bCs/>
                <w:snapToGrid w:val="0"/>
                <w:color w:val="auto"/>
                <w:spacing w:val="-16"/>
                <w:kern w:val="21"/>
                <w:sz w:val="21"/>
                <w:szCs w:val="21"/>
                <w:highlight w:val="none"/>
              </w:rPr>
              <w:fldChar w:fldCharType="end"/>
            </w:r>
          </w:p>
        </w:tc>
        <w:tc>
          <w:tcPr>
            <w:tcW w:w="484" w:type="pct"/>
            <w:noWrap w:val="0"/>
            <w:tcMar>
              <w:left w:w="28" w:type="dxa"/>
              <w:right w:w="28" w:type="dxa"/>
            </w:tcMar>
            <w:vAlign w:val="center"/>
          </w:tcPr>
          <w:p w14:paraId="3AE86A41">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变化量</w:t>
            </w:r>
          </w:p>
          <w:p w14:paraId="344FAAAD">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6"/>
                <w:kern w:val="21"/>
                <w:sz w:val="21"/>
                <w:szCs w:val="21"/>
                <w:highlight w:val="none"/>
              </w:rPr>
            </w:pPr>
            <w:r>
              <w:rPr>
                <w:rFonts w:hint="eastAsia" w:ascii="Times New Roman" w:hAnsi="Times New Roman" w:eastAsia="宋体"/>
                <w:b/>
                <w:bCs/>
                <w:snapToGrid w:val="0"/>
                <w:color w:val="auto"/>
                <w:spacing w:val="-6"/>
                <w:kern w:val="21"/>
                <w:sz w:val="21"/>
                <w:szCs w:val="21"/>
                <w:highlight w:val="none"/>
                <w:lang w:val="en-US" w:eastAsia="zh-CN"/>
              </w:rPr>
              <w:t>t/a</w:t>
            </w:r>
          </w:p>
          <w:p w14:paraId="3CA79049">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fldChar w:fldCharType="begin"/>
            </w:r>
            <w:r>
              <w:rPr>
                <w:rFonts w:ascii="Times New Roman" w:hAnsi="Times New Roman" w:eastAsia="宋体"/>
                <w:b/>
                <w:bCs/>
                <w:snapToGrid w:val="0"/>
                <w:color w:val="auto"/>
                <w:spacing w:val="-6"/>
                <w:kern w:val="21"/>
                <w:sz w:val="21"/>
                <w:szCs w:val="21"/>
                <w:highlight w:val="none"/>
              </w:rPr>
              <w:instrText xml:space="preserve"> = 7 \* GB3 \* MERGEFORMAT </w:instrText>
            </w:r>
            <w:r>
              <w:rPr>
                <w:rFonts w:ascii="Times New Roman" w:hAnsi="Times New Roman" w:eastAsia="宋体"/>
                <w:b/>
                <w:bCs/>
                <w:snapToGrid w:val="0"/>
                <w:color w:val="auto"/>
                <w:spacing w:val="-6"/>
                <w:kern w:val="21"/>
                <w:sz w:val="21"/>
                <w:szCs w:val="21"/>
                <w:highlight w:val="none"/>
              </w:rPr>
              <w:fldChar w:fldCharType="separate"/>
            </w:r>
            <w:r>
              <w:rPr>
                <w:rFonts w:hint="eastAsia" w:ascii="Times New Roman" w:hAnsi="Times New Roman" w:eastAsia="宋体" w:cs="宋体"/>
                <w:b/>
                <w:bCs/>
                <w:color w:val="auto"/>
                <w:kern w:val="2"/>
                <w:sz w:val="21"/>
                <w:szCs w:val="21"/>
                <w:highlight w:val="none"/>
              </w:rPr>
              <w:t>⑦</w:t>
            </w:r>
            <w:r>
              <w:rPr>
                <w:rFonts w:ascii="Times New Roman" w:hAnsi="Times New Roman" w:eastAsia="宋体"/>
                <w:b/>
                <w:bCs/>
                <w:snapToGrid w:val="0"/>
                <w:color w:val="auto"/>
                <w:spacing w:val="-6"/>
                <w:kern w:val="21"/>
                <w:sz w:val="21"/>
                <w:szCs w:val="21"/>
                <w:highlight w:val="none"/>
              </w:rPr>
              <w:fldChar w:fldCharType="end"/>
            </w:r>
          </w:p>
        </w:tc>
      </w:tr>
      <w:tr w14:paraId="2D0DD8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restart"/>
            <w:noWrap w:val="0"/>
            <w:vAlign w:val="center"/>
          </w:tcPr>
          <w:p w14:paraId="33B3956D">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r>
              <w:rPr>
                <w:rFonts w:ascii="Times New Roman" w:hAnsi="Times New Roman" w:eastAsia="宋体"/>
                <w:snapToGrid w:val="0"/>
                <w:color w:val="auto"/>
                <w:kern w:val="21"/>
                <w:sz w:val="21"/>
                <w:szCs w:val="21"/>
                <w:highlight w:val="none"/>
              </w:rPr>
              <w:t>废水</w:t>
            </w:r>
          </w:p>
        </w:tc>
        <w:tc>
          <w:tcPr>
            <w:tcW w:w="789" w:type="pct"/>
            <w:noWrap w:val="0"/>
            <w:vAlign w:val="center"/>
          </w:tcPr>
          <w:p w14:paraId="207B5177">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kern w:val="2"/>
                <w:sz w:val="21"/>
                <w:szCs w:val="21"/>
                <w:highlight w:val="none"/>
                <w:lang w:eastAsia="zh-TW"/>
              </w:rPr>
              <w:t>废水量</w:t>
            </w:r>
          </w:p>
        </w:tc>
        <w:tc>
          <w:tcPr>
            <w:tcW w:w="493" w:type="pct"/>
            <w:shd w:val="clear" w:color="auto" w:fill="auto"/>
            <w:noWrap w:val="0"/>
            <w:vAlign w:val="center"/>
          </w:tcPr>
          <w:p w14:paraId="36E6D51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28562.95</w:t>
            </w:r>
          </w:p>
        </w:tc>
        <w:tc>
          <w:tcPr>
            <w:tcW w:w="484" w:type="pct"/>
            <w:shd w:val="clear" w:color="auto" w:fill="auto"/>
            <w:noWrap w:val="0"/>
            <w:vAlign w:val="center"/>
          </w:tcPr>
          <w:p w14:paraId="5D0C3AF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28562.95</w:t>
            </w:r>
          </w:p>
        </w:tc>
        <w:tc>
          <w:tcPr>
            <w:tcW w:w="614" w:type="pct"/>
            <w:shd w:val="clear" w:color="auto" w:fill="auto"/>
            <w:noWrap w:val="0"/>
            <w:vAlign w:val="center"/>
          </w:tcPr>
          <w:p w14:paraId="50D6FD1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662.1</w:t>
            </w:r>
          </w:p>
        </w:tc>
        <w:tc>
          <w:tcPr>
            <w:tcW w:w="604" w:type="pct"/>
            <w:shd w:val="clear" w:color="auto" w:fill="auto"/>
            <w:noWrap w:val="0"/>
            <w:vAlign w:val="center"/>
          </w:tcPr>
          <w:p w14:paraId="2DAFAD5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5248.1</w:t>
            </w:r>
          </w:p>
        </w:tc>
        <w:tc>
          <w:tcPr>
            <w:tcW w:w="541" w:type="pct"/>
            <w:shd w:val="clear" w:color="auto" w:fill="auto"/>
            <w:noWrap w:val="0"/>
            <w:vAlign w:val="center"/>
          </w:tcPr>
          <w:p w14:paraId="66D20FA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14687.95</w:t>
            </w:r>
          </w:p>
        </w:tc>
        <w:tc>
          <w:tcPr>
            <w:tcW w:w="595" w:type="pct"/>
            <w:shd w:val="clear" w:color="auto" w:fill="auto"/>
            <w:noWrap w:val="0"/>
            <w:vAlign w:val="center"/>
          </w:tcPr>
          <w:p w14:paraId="6184AA0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19785.2</w:t>
            </w:r>
          </w:p>
        </w:tc>
        <w:tc>
          <w:tcPr>
            <w:tcW w:w="484" w:type="pct"/>
            <w:shd w:val="clear" w:color="auto" w:fill="auto"/>
            <w:noWrap w:val="0"/>
            <w:vAlign w:val="center"/>
          </w:tcPr>
          <w:p w14:paraId="601B7E6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-9439.85</w:t>
            </w:r>
          </w:p>
        </w:tc>
      </w:tr>
      <w:tr w14:paraId="2B658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034C83BE">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p>
        </w:tc>
        <w:tc>
          <w:tcPr>
            <w:tcW w:w="789" w:type="pct"/>
            <w:noWrap w:val="0"/>
            <w:vAlign w:val="center"/>
          </w:tcPr>
          <w:p w14:paraId="044A0CC7">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auto"/>
                <w:sz w:val="21"/>
                <w:szCs w:val="21"/>
                <w:highlight w:val="none"/>
              </w:rPr>
              <w:t>COD</w:t>
            </w:r>
          </w:p>
        </w:tc>
        <w:tc>
          <w:tcPr>
            <w:tcW w:w="493" w:type="pct"/>
            <w:shd w:val="clear" w:color="auto" w:fill="auto"/>
            <w:noWrap w:val="0"/>
            <w:vAlign w:val="center"/>
          </w:tcPr>
          <w:p w14:paraId="2F7FD9F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7.706</w:t>
            </w:r>
            <w:r>
              <w:rPr>
                <w:rFonts w:hint="eastAsia"/>
                <w:color w:val="auto"/>
                <w:lang w:eastAsia="zh-CN"/>
              </w:rPr>
              <w:t>（</w:t>
            </w:r>
            <w:r>
              <w:rPr>
                <w:rFonts w:hint="eastAsia"/>
                <w:color w:val="auto"/>
                <w:lang w:val="en-US" w:eastAsia="zh-CN"/>
              </w:rPr>
              <w:t>0.8569</w:t>
            </w:r>
            <w:r>
              <w:rPr>
                <w:rFonts w:hint="eastAsia"/>
                <w:color w:val="auto"/>
                <w:lang w:eastAsia="zh-CN"/>
              </w:rPr>
              <w:t>）</w:t>
            </w:r>
          </w:p>
        </w:tc>
        <w:tc>
          <w:tcPr>
            <w:tcW w:w="484" w:type="pct"/>
            <w:shd w:val="clear" w:color="auto" w:fill="auto"/>
            <w:noWrap w:val="0"/>
            <w:vAlign w:val="center"/>
          </w:tcPr>
          <w:p w14:paraId="0DA2534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7.706</w:t>
            </w:r>
            <w:r>
              <w:rPr>
                <w:rFonts w:hint="eastAsia"/>
                <w:color w:val="auto"/>
                <w:lang w:eastAsia="zh-CN"/>
              </w:rPr>
              <w:t>（</w:t>
            </w:r>
            <w:r>
              <w:rPr>
                <w:rFonts w:hint="eastAsia"/>
                <w:color w:val="auto"/>
                <w:lang w:val="en-US" w:eastAsia="zh-CN"/>
              </w:rPr>
              <w:t>0.8569</w:t>
            </w:r>
            <w:r>
              <w:rPr>
                <w:rFonts w:hint="eastAsia"/>
                <w:color w:val="auto"/>
                <w:lang w:eastAsia="zh-CN"/>
              </w:rPr>
              <w:t>）</w:t>
            </w:r>
          </w:p>
        </w:tc>
        <w:tc>
          <w:tcPr>
            <w:tcW w:w="614" w:type="pct"/>
            <w:shd w:val="clear" w:color="auto" w:fill="auto"/>
            <w:noWrap w:val="0"/>
            <w:vAlign w:val="center"/>
          </w:tcPr>
          <w:p w14:paraId="5988BF1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0.2422</w:t>
            </w:r>
            <w:r>
              <w:rPr>
                <w:rFonts w:hint="eastAsia"/>
                <w:color w:val="auto"/>
                <w:lang w:eastAsia="zh-CN"/>
              </w:rPr>
              <w:t>（</w:t>
            </w:r>
            <w:r>
              <w:rPr>
                <w:rFonts w:hint="eastAsia"/>
                <w:color w:val="auto"/>
                <w:lang w:val="en-US" w:eastAsia="zh-CN"/>
              </w:rPr>
              <w:t>0.0199</w:t>
            </w:r>
            <w:r>
              <w:rPr>
                <w:rFonts w:hint="eastAsia"/>
                <w:color w:val="auto"/>
                <w:lang w:eastAsia="zh-CN"/>
              </w:rPr>
              <w:t>）</w:t>
            </w:r>
          </w:p>
        </w:tc>
        <w:tc>
          <w:tcPr>
            <w:tcW w:w="604" w:type="pct"/>
            <w:shd w:val="clear" w:color="auto" w:fill="auto"/>
            <w:noWrap w:val="0"/>
            <w:vAlign w:val="center"/>
          </w:tcPr>
          <w:p w14:paraId="74B1CCE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1.2300</w:t>
            </w:r>
            <w:r>
              <w:rPr>
                <w:rFonts w:hint="eastAsia"/>
                <w:color w:val="auto"/>
                <w:lang w:eastAsia="zh-CN"/>
              </w:rPr>
              <w:t>（</w:t>
            </w:r>
            <w:r>
              <w:rPr>
                <w:rFonts w:hint="eastAsia"/>
                <w:color w:val="auto"/>
                <w:lang w:val="en-US" w:eastAsia="zh-CN"/>
              </w:rPr>
              <w:t>0.1574</w:t>
            </w:r>
            <w:r>
              <w:rPr>
                <w:rFonts w:hint="eastAsia"/>
                <w:color w:val="auto"/>
                <w:lang w:eastAsia="zh-CN"/>
              </w:rPr>
              <w:t>）</w:t>
            </w:r>
          </w:p>
        </w:tc>
        <w:tc>
          <w:tcPr>
            <w:tcW w:w="541" w:type="pct"/>
            <w:shd w:val="clear" w:color="auto" w:fill="auto"/>
            <w:noWrap w:val="0"/>
            <w:vAlign w:val="center"/>
          </w:tcPr>
          <w:p w14:paraId="498D124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3.876</w:t>
            </w:r>
            <w:r>
              <w:rPr>
                <w:rFonts w:hint="eastAsia"/>
                <w:color w:val="auto"/>
                <w:lang w:eastAsia="zh-CN"/>
              </w:rPr>
              <w:t>（</w:t>
            </w:r>
            <w:r>
              <w:rPr>
                <w:rFonts w:hint="eastAsia"/>
                <w:color w:val="auto"/>
                <w:lang w:val="en-US" w:eastAsia="zh-CN"/>
              </w:rPr>
              <w:t>0.4406</w:t>
            </w:r>
            <w:r>
              <w:rPr>
                <w:rFonts w:hint="eastAsia"/>
                <w:color w:val="auto"/>
                <w:lang w:eastAsia="zh-CN"/>
              </w:rPr>
              <w:t>）</w:t>
            </w:r>
          </w:p>
        </w:tc>
        <w:tc>
          <w:tcPr>
            <w:tcW w:w="595" w:type="pct"/>
            <w:shd w:val="clear" w:color="auto" w:fill="auto"/>
            <w:noWrap w:val="0"/>
            <w:vAlign w:val="center"/>
          </w:tcPr>
          <w:p w14:paraId="2FC95D3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5.3022</w:t>
            </w:r>
            <w:r>
              <w:rPr>
                <w:rFonts w:hint="eastAsia"/>
                <w:color w:val="auto"/>
                <w:lang w:eastAsia="zh-CN"/>
              </w:rPr>
              <w:t>（</w:t>
            </w:r>
            <w:r>
              <w:rPr>
                <w:rFonts w:hint="eastAsia"/>
                <w:color w:val="auto"/>
                <w:lang w:val="en-US" w:eastAsia="zh-CN"/>
              </w:rPr>
              <w:t>0.5936</w:t>
            </w:r>
            <w:r>
              <w:rPr>
                <w:rFonts w:hint="eastAsia"/>
                <w:color w:val="auto"/>
                <w:lang w:eastAsia="zh-CN"/>
              </w:rPr>
              <w:t>）</w:t>
            </w:r>
          </w:p>
        </w:tc>
        <w:tc>
          <w:tcPr>
            <w:tcW w:w="484" w:type="pct"/>
            <w:shd w:val="clear" w:color="auto" w:fill="auto"/>
            <w:noWrap w:val="0"/>
            <w:vAlign w:val="center"/>
          </w:tcPr>
          <w:p w14:paraId="0C52638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-2.646</w:t>
            </w:r>
            <w:r>
              <w:rPr>
                <w:rFonts w:hint="eastAsia"/>
                <w:color w:val="auto"/>
                <w:lang w:eastAsia="zh-CN"/>
              </w:rPr>
              <w:t>（</w:t>
            </w:r>
            <w:r>
              <w:rPr>
                <w:rFonts w:hint="eastAsia"/>
                <w:color w:val="auto"/>
                <w:lang w:val="en-US" w:eastAsia="zh-CN"/>
              </w:rPr>
              <w:t>-0.2832</w:t>
            </w:r>
            <w:r>
              <w:rPr>
                <w:rFonts w:hint="eastAsia"/>
                <w:color w:val="auto"/>
                <w:lang w:eastAsia="zh-CN"/>
              </w:rPr>
              <w:t>）</w:t>
            </w:r>
          </w:p>
        </w:tc>
      </w:tr>
      <w:tr w14:paraId="68E64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62488BEB">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p>
        </w:tc>
        <w:tc>
          <w:tcPr>
            <w:tcW w:w="789" w:type="pct"/>
            <w:noWrap w:val="0"/>
            <w:vAlign w:val="center"/>
          </w:tcPr>
          <w:p w14:paraId="50EE6E8E">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auto"/>
                <w:sz w:val="21"/>
                <w:szCs w:val="21"/>
                <w:highlight w:val="none"/>
              </w:rPr>
              <w:t>SS</w:t>
            </w:r>
          </w:p>
        </w:tc>
        <w:tc>
          <w:tcPr>
            <w:tcW w:w="493" w:type="pct"/>
            <w:shd w:val="clear" w:color="auto" w:fill="auto"/>
            <w:noWrap w:val="0"/>
            <w:vAlign w:val="center"/>
          </w:tcPr>
          <w:p w14:paraId="5AF92D6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6.267</w:t>
            </w:r>
            <w:r>
              <w:rPr>
                <w:rFonts w:hint="eastAsia"/>
                <w:color w:val="auto"/>
                <w:lang w:eastAsia="zh-CN"/>
              </w:rPr>
              <w:t>（</w:t>
            </w:r>
            <w:r>
              <w:rPr>
                <w:rFonts w:hint="eastAsia"/>
                <w:color w:val="auto"/>
                <w:lang w:val="en-US" w:eastAsia="zh-CN"/>
              </w:rPr>
              <w:t>0.1428</w:t>
            </w:r>
            <w:r>
              <w:rPr>
                <w:rFonts w:hint="eastAsia"/>
                <w:color w:val="auto"/>
                <w:lang w:eastAsia="zh-CN"/>
              </w:rPr>
              <w:t>）</w:t>
            </w:r>
          </w:p>
        </w:tc>
        <w:tc>
          <w:tcPr>
            <w:tcW w:w="484" w:type="pct"/>
            <w:shd w:val="clear" w:color="auto" w:fill="auto"/>
            <w:noWrap w:val="0"/>
            <w:vAlign w:val="center"/>
          </w:tcPr>
          <w:p w14:paraId="4E9E626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6.267</w:t>
            </w:r>
            <w:r>
              <w:rPr>
                <w:rFonts w:hint="eastAsia"/>
                <w:color w:val="auto"/>
                <w:lang w:eastAsia="zh-CN"/>
              </w:rPr>
              <w:t>（</w:t>
            </w:r>
            <w:r>
              <w:rPr>
                <w:rFonts w:hint="eastAsia"/>
                <w:color w:val="auto"/>
                <w:lang w:val="en-US" w:eastAsia="zh-CN"/>
              </w:rPr>
              <w:t>0.1428</w:t>
            </w:r>
            <w:r>
              <w:rPr>
                <w:rFonts w:hint="eastAsia"/>
                <w:color w:val="auto"/>
                <w:lang w:eastAsia="zh-CN"/>
              </w:rPr>
              <w:t>）</w:t>
            </w:r>
          </w:p>
        </w:tc>
        <w:tc>
          <w:tcPr>
            <w:tcW w:w="614" w:type="pct"/>
            <w:shd w:val="clear" w:color="auto" w:fill="auto"/>
            <w:noWrap w:val="0"/>
            <w:vAlign w:val="center"/>
          </w:tcPr>
          <w:p w14:paraId="5456BC0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0.0926</w:t>
            </w:r>
            <w:r>
              <w:rPr>
                <w:rFonts w:hint="eastAsia"/>
                <w:color w:val="auto"/>
                <w:lang w:eastAsia="zh-CN"/>
              </w:rPr>
              <w:t>（</w:t>
            </w:r>
            <w:r>
              <w:rPr>
                <w:rFonts w:hint="eastAsia"/>
                <w:color w:val="auto"/>
                <w:lang w:val="en-US" w:eastAsia="zh-CN"/>
              </w:rPr>
              <w:t>0.0033</w:t>
            </w:r>
            <w:r>
              <w:rPr>
                <w:rFonts w:hint="eastAsia"/>
                <w:color w:val="auto"/>
                <w:lang w:eastAsia="zh-CN"/>
              </w:rPr>
              <w:t>）</w:t>
            </w:r>
          </w:p>
        </w:tc>
        <w:tc>
          <w:tcPr>
            <w:tcW w:w="604" w:type="pct"/>
            <w:shd w:val="clear" w:color="auto" w:fill="auto"/>
            <w:noWrap w:val="0"/>
            <w:vAlign w:val="center"/>
          </w:tcPr>
          <w:p w14:paraId="15B1672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0.7736</w:t>
            </w:r>
            <w:r>
              <w:rPr>
                <w:rFonts w:hint="eastAsia"/>
                <w:color w:val="auto"/>
                <w:lang w:eastAsia="zh-CN"/>
              </w:rPr>
              <w:t>（</w:t>
            </w:r>
            <w:r>
              <w:rPr>
                <w:rFonts w:hint="eastAsia"/>
                <w:color w:val="auto"/>
                <w:lang w:val="en-US" w:eastAsia="zh-CN"/>
              </w:rPr>
              <w:t>0.0262</w:t>
            </w:r>
            <w:r>
              <w:rPr>
                <w:rFonts w:hint="eastAsia"/>
                <w:color w:val="auto"/>
                <w:lang w:eastAsia="zh-CN"/>
              </w:rPr>
              <w:t>）</w:t>
            </w:r>
          </w:p>
        </w:tc>
        <w:tc>
          <w:tcPr>
            <w:tcW w:w="541" w:type="pct"/>
            <w:shd w:val="clear" w:color="auto" w:fill="auto"/>
            <w:noWrap w:val="0"/>
            <w:vAlign w:val="center"/>
          </w:tcPr>
          <w:p w14:paraId="0415317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3.152</w:t>
            </w:r>
            <w:r>
              <w:rPr>
                <w:rFonts w:hint="eastAsia"/>
                <w:color w:val="auto"/>
                <w:lang w:eastAsia="zh-CN"/>
              </w:rPr>
              <w:t>（</w:t>
            </w:r>
            <w:r>
              <w:rPr>
                <w:rFonts w:hint="eastAsia"/>
                <w:color w:val="auto"/>
                <w:lang w:val="en-US" w:eastAsia="zh-CN"/>
              </w:rPr>
              <w:t>0.0734</w:t>
            </w:r>
            <w:r>
              <w:rPr>
                <w:rFonts w:hint="eastAsia"/>
                <w:color w:val="auto"/>
                <w:lang w:eastAsia="zh-CN"/>
              </w:rPr>
              <w:t>）</w:t>
            </w:r>
          </w:p>
        </w:tc>
        <w:tc>
          <w:tcPr>
            <w:tcW w:w="595" w:type="pct"/>
            <w:shd w:val="clear" w:color="auto" w:fill="auto"/>
            <w:noWrap w:val="0"/>
            <w:vAlign w:val="center"/>
          </w:tcPr>
          <w:p w14:paraId="3599AC4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3.9812</w:t>
            </w:r>
            <w:r>
              <w:rPr>
                <w:rFonts w:hint="eastAsia"/>
                <w:color w:val="auto"/>
                <w:lang w:eastAsia="zh-CN"/>
              </w:rPr>
              <w:t>（</w:t>
            </w:r>
            <w:r>
              <w:rPr>
                <w:rFonts w:hint="eastAsia"/>
                <w:color w:val="auto"/>
                <w:lang w:val="en-US" w:eastAsia="zh-CN"/>
              </w:rPr>
              <w:t>0.0989</w:t>
            </w:r>
            <w:r>
              <w:rPr>
                <w:rFonts w:hint="eastAsia"/>
                <w:color w:val="auto"/>
                <w:lang w:eastAsia="zh-CN"/>
              </w:rPr>
              <w:t>）</w:t>
            </w:r>
          </w:p>
        </w:tc>
        <w:tc>
          <w:tcPr>
            <w:tcW w:w="484" w:type="pct"/>
            <w:shd w:val="clear" w:color="auto" w:fill="auto"/>
            <w:noWrap w:val="0"/>
            <w:vAlign w:val="center"/>
          </w:tcPr>
          <w:p w14:paraId="2CCB0EF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-2.3784</w:t>
            </w:r>
            <w:r>
              <w:rPr>
                <w:rFonts w:hint="eastAsia"/>
                <w:color w:val="auto"/>
                <w:lang w:eastAsia="zh-CN"/>
              </w:rPr>
              <w:t>（</w:t>
            </w:r>
            <w:r>
              <w:rPr>
                <w:rFonts w:hint="eastAsia"/>
                <w:color w:val="auto"/>
                <w:lang w:val="en-US" w:eastAsia="zh-CN"/>
              </w:rPr>
              <w:t>-0.0472</w:t>
            </w:r>
            <w:r>
              <w:rPr>
                <w:rFonts w:hint="eastAsia"/>
                <w:color w:val="auto"/>
                <w:lang w:eastAsia="zh-CN"/>
              </w:rPr>
              <w:t>）</w:t>
            </w:r>
          </w:p>
        </w:tc>
      </w:tr>
      <w:tr w14:paraId="3ADEF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4E1DEF5D">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p>
        </w:tc>
        <w:tc>
          <w:tcPr>
            <w:tcW w:w="789" w:type="pct"/>
            <w:noWrap w:val="0"/>
            <w:vAlign w:val="center"/>
          </w:tcPr>
          <w:p w14:paraId="1D055D8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auto"/>
                <w:sz w:val="21"/>
                <w:szCs w:val="21"/>
                <w:highlight w:val="none"/>
              </w:rPr>
              <w:t>NH</w:t>
            </w:r>
            <w:r>
              <w:rPr>
                <w:rFonts w:ascii="Times New Roman" w:hAnsi="Times New Roman" w:eastAsia="宋体"/>
                <w:color w:val="auto"/>
                <w:sz w:val="21"/>
                <w:szCs w:val="21"/>
                <w:highlight w:val="none"/>
                <w:vertAlign w:val="subscript"/>
              </w:rPr>
              <w:t>3</w:t>
            </w:r>
            <w:r>
              <w:rPr>
                <w:rFonts w:ascii="Times New Roman" w:hAnsi="Times New Roman" w:eastAsia="宋体"/>
                <w:color w:val="auto"/>
                <w:sz w:val="21"/>
                <w:szCs w:val="21"/>
                <w:highlight w:val="none"/>
              </w:rPr>
              <w:t>-N</w:t>
            </w:r>
          </w:p>
        </w:tc>
        <w:tc>
          <w:tcPr>
            <w:tcW w:w="493" w:type="pct"/>
            <w:shd w:val="clear" w:color="auto" w:fill="auto"/>
            <w:noWrap w:val="0"/>
            <w:vAlign w:val="center"/>
          </w:tcPr>
          <w:p w14:paraId="1A93870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0.7157</w:t>
            </w:r>
            <w:r>
              <w:rPr>
                <w:rFonts w:hint="eastAsia"/>
                <w:color w:val="auto"/>
                <w:lang w:eastAsia="zh-CN"/>
              </w:rPr>
              <w:t>（</w:t>
            </w:r>
            <w:r>
              <w:rPr>
                <w:rFonts w:hint="eastAsia"/>
                <w:color w:val="auto"/>
                <w:lang w:val="en-US" w:eastAsia="zh-CN"/>
              </w:rPr>
              <w:t>0.0428</w:t>
            </w:r>
            <w:r>
              <w:rPr>
                <w:rFonts w:hint="eastAsia"/>
                <w:color w:val="auto"/>
                <w:lang w:eastAsia="zh-CN"/>
              </w:rPr>
              <w:t>）</w:t>
            </w:r>
          </w:p>
        </w:tc>
        <w:tc>
          <w:tcPr>
            <w:tcW w:w="484" w:type="pct"/>
            <w:shd w:val="clear" w:color="auto" w:fill="auto"/>
            <w:noWrap w:val="0"/>
            <w:vAlign w:val="center"/>
          </w:tcPr>
          <w:p w14:paraId="6B9361E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0.7157</w:t>
            </w:r>
            <w:r>
              <w:rPr>
                <w:rFonts w:hint="eastAsia"/>
                <w:color w:val="auto"/>
                <w:lang w:eastAsia="zh-CN"/>
              </w:rPr>
              <w:t>（</w:t>
            </w:r>
            <w:r>
              <w:rPr>
                <w:rFonts w:hint="eastAsia"/>
                <w:color w:val="auto"/>
                <w:lang w:val="en-US" w:eastAsia="zh-CN"/>
              </w:rPr>
              <w:t>0.0428</w:t>
            </w:r>
            <w:r>
              <w:rPr>
                <w:rFonts w:hint="eastAsia"/>
                <w:color w:val="auto"/>
                <w:lang w:eastAsia="zh-CN"/>
              </w:rPr>
              <w:t>）</w:t>
            </w:r>
          </w:p>
        </w:tc>
        <w:tc>
          <w:tcPr>
            <w:tcW w:w="614" w:type="pct"/>
            <w:shd w:val="clear" w:color="auto" w:fill="auto"/>
            <w:noWrap w:val="0"/>
            <w:vAlign w:val="center"/>
          </w:tcPr>
          <w:p w14:paraId="19DA1BB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0.0159</w:t>
            </w:r>
            <w:r>
              <w:rPr>
                <w:rFonts w:hint="eastAsia"/>
                <w:color w:val="auto"/>
                <w:lang w:eastAsia="zh-CN"/>
              </w:rPr>
              <w:t>（</w:t>
            </w:r>
            <w:r>
              <w:rPr>
                <w:rFonts w:hint="eastAsia"/>
                <w:color w:val="auto"/>
                <w:lang w:val="en-US" w:eastAsia="zh-CN"/>
              </w:rPr>
              <w:t>0.001</w:t>
            </w:r>
            <w:r>
              <w:rPr>
                <w:rFonts w:hint="eastAsia"/>
                <w:color w:val="auto"/>
                <w:lang w:eastAsia="zh-CN"/>
              </w:rPr>
              <w:t>）</w:t>
            </w:r>
          </w:p>
        </w:tc>
        <w:tc>
          <w:tcPr>
            <w:tcW w:w="604" w:type="pct"/>
            <w:shd w:val="clear" w:color="auto" w:fill="auto"/>
            <w:noWrap w:val="0"/>
            <w:vAlign w:val="center"/>
          </w:tcPr>
          <w:p w14:paraId="7DBA49F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0.0659</w:t>
            </w:r>
            <w:r>
              <w:rPr>
                <w:rFonts w:hint="eastAsia"/>
                <w:color w:val="auto"/>
                <w:lang w:eastAsia="zh-CN"/>
              </w:rPr>
              <w:t>（</w:t>
            </w:r>
            <w:r>
              <w:rPr>
                <w:rFonts w:hint="eastAsia"/>
                <w:color w:val="auto"/>
                <w:lang w:val="en-US" w:eastAsia="zh-CN"/>
              </w:rPr>
              <w:t>0.0079</w:t>
            </w:r>
            <w:r>
              <w:rPr>
                <w:rFonts w:hint="eastAsia"/>
                <w:color w:val="auto"/>
                <w:lang w:eastAsia="zh-CN"/>
              </w:rPr>
              <w:t>）</w:t>
            </w:r>
          </w:p>
        </w:tc>
        <w:tc>
          <w:tcPr>
            <w:tcW w:w="541" w:type="pct"/>
            <w:shd w:val="clear" w:color="auto" w:fill="auto"/>
            <w:noWrap w:val="0"/>
            <w:vAlign w:val="center"/>
          </w:tcPr>
          <w:p w14:paraId="3A39D95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0.3607</w:t>
            </w:r>
            <w:r>
              <w:rPr>
                <w:rFonts w:hint="eastAsia"/>
                <w:color w:val="auto"/>
                <w:lang w:eastAsia="zh-CN"/>
              </w:rPr>
              <w:t>（</w:t>
            </w:r>
            <w:r>
              <w:rPr>
                <w:rFonts w:hint="eastAsia"/>
                <w:color w:val="auto"/>
                <w:lang w:val="en-US" w:eastAsia="zh-CN"/>
              </w:rPr>
              <w:t>0.022</w:t>
            </w:r>
            <w:r>
              <w:rPr>
                <w:rFonts w:hint="eastAsia"/>
                <w:color w:val="auto"/>
                <w:lang w:eastAsia="zh-CN"/>
              </w:rPr>
              <w:t>）</w:t>
            </w:r>
          </w:p>
        </w:tc>
        <w:tc>
          <w:tcPr>
            <w:tcW w:w="595" w:type="pct"/>
            <w:shd w:val="clear" w:color="auto" w:fill="auto"/>
            <w:noWrap w:val="0"/>
            <w:vAlign w:val="center"/>
          </w:tcPr>
          <w:p w14:paraId="2A60DE0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0.4368</w:t>
            </w:r>
            <w:r>
              <w:rPr>
                <w:rFonts w:hint="eastAsia"/>
                <w:color w:val="auto"/>
                <w:lang w:eastAsia="zh-CN"/>
              </w:rPr>
              <w:t>（</w:t>
            </w:r>
            <w:r>
              <w:rPr>
                <w:rFonts w:hint="eastAsia"/>
                <w:color w:val="auto"/>
                <w:lang w:val="en-US" w:eastAsia="zh-CN"/>
              </w:rPr>
              <w:t>0.0297</w:t>
            </w:r>
            <w:r>
              <w:rPr>
                <w:rFonts w:hint="eastAsia"/>
                <w:color w:val="auto"/>
                <w:lang w:eastAsia="zh-CN"/>
              </w:rPr>
              <w:t>）</w:t>
            </w:r>
          </w:p>
        </w:tc>
        <w:tc>
          <w:tcPr>
            <w:tcW w:w="484" w:type="pct"/>
            <w:shd w:val="clear" w:color="auto" w:fill="auto"/>
            <w:noWrap w:val="0"/>
            <w:vAlign w:val="center"/>
          </w:tcPr>
          <w:p w14:paraId="30F4533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-0.2948</w:t>
            </w:r>
            <w:r>
              <w:rPr>
                <w:rFonts w:hint="eastAsia"/>
                <w:color w:val="auto"/>
                <w:lang w:eastAsia="zh-CN"/>
              </w:rPr>
              <w:t>（</w:t>
            </w:r>
            <w:r>
              <w:rPr>
                <w:rFonts w:hint="eastAsia"/>
                <w:color w:val="auto"/>
                <w:lang w:val="en-US" w:eastAsia="zh-CN"/>
              </w:rPr>
              <w:t>-0.0141</w:t>
            </w:r>
            <w:r>
              <w:rPr>
                <w:rFonts w:hint="eastAsia"/>
                <w:color w:val="auto"/>
                <w:lang w:eastAsia="zh-CN"/>
              </w:rPr>
              <w:t>）</w:t>
            </w:r>
          </w:p>
        </w:tc>
      </w:tr>
      <w:tr w14:paraId="4DBB9C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1D393FDB">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p>
        </w:tc>
        <w:tc>
          <w:tcPr>
            <w:tcW w:w="789" w:type="pct"/>
            <w:noWrap w:val="0"/>
            <w:vAlign w:val="center"/>
          </w:tcPr>
          <w:p w14:paraId="109F2C6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TN</w:t>
            </w:r>
          </w:p>
        </w:tc>
        <w:tc>
          <w:tcPr>
            <w:tcW w:w="493" w:type="pct"/>
            <w:shd w:val="clear" w:color="auto" w:fill="auto"/>
            <w:noWrap w:val="0"/>
            <w:vAlign w:val="center"/>
          </w:tcPr>
          <w:p w14:paraId="264A74D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0.154</w:t>
            </w:r>
            <w:r>
              <w:rPr>
                <w:rFonts w:hint="eastAsia"/>
                <w:color w:val="auto"/>
                <w:lang w:eastAsia="zh-CN"/>
              </w:rPr>
              <w:t>（</w:t>
            </w:r>
            <w:r>
              <w:rPr>
                <w:rFonts w:hint="eastAsia"/>
                <w:color w:val="auto"/>
                <w:lang w:val="en-US" w:eastAsia="zh-CN"/>
              </w:rPr>
              <w:t>0.154</w:t>
            </w:r>
            <w:r>
              <w:rPr>
                <w:rFonts w:hint="eastAsia"/>
                <w:color w:val="auto"/>
                <w:lang w:eastAsia="zh-CN"/>
              </w:rPr>
              <w:t>）</w:t>
            </w:r>
          </w:p>
        </w:tc>
        <w:tc>
          <w:tcPr>
            <w:tcW w:w="484" w:type="pct"/>
            <w:shd w:val="clear" w:color="auto" w:fill="auto"/>
            <w:noWrap w:val="0"/>
            <w:vAlign w:val="center"/>
          </w:tcPr>
          <w:p w14:paraId="7C570F0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0.154</w:t>
            </w:r>
            <w:r>
              <w:rPr>
                <w:rFonts w:hint="eastAsia"/>
                <w:color w:val="auto"/>
                <w:lang w:eastAsia="zh-CN"/>
              </w:rPr>
              <w:t>（</w:t>
            </w:r>
            <w:r>
              <w:rPr>
                <w:rFonts w:hint="eastAsia"/>
                <w:color w:val="auto"/>
                <w:lang w:val="en-US" w:eastAsia="zh-CN"/>
              </w:rPr>
              <w:t>0.154</w:t>
            </w:r>
            <w:r>
              <w:rPr>
                <w:rFonts w:hint="eastAsia"/>
                <w:color w:val="auto"/>
                <w:lang w:eastAsia="zh-CN"/>
              </w:rPr>
              <w:t>）</w:t>
            </w:r>
          </w:p>
        </w:tc>
        <w:tc>
          <w:tcPr>
            <w:tcW w:w="614" w:type="pct"/>
            <w:shd w:val="clear" w:color="auto" w:fill="auto"/>
            <w:noWrap w:val="0"/>
            <w:vAlign w:val="center"/>
          </w:tcPr>
          <w:p w14:paraId="2914F81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0.013</w:t>
            </w:r>
            <w:r>
              <w:rPr>
                <w:rFonts w:hint="eastAsia"/>
                <w:color w:val="auto"/>
                <w:lang w:eastAsia="zh-CN"/>
              </w:rPr>
              <w:t>（</w:t>
            </w:r>
            <w:r>
              <w:rPr>
                <w:rFonts w:hint="eastAsia"/>
                <w:color w:val="auto"/>
                <w:lang w:val="en-US" w:eastAsia="zh-CN"/>
              </w:rPr>
              <w:t>0.0099</w:t>
            </w:r>
            <w:r>
              <w:rPr>
                <w:rFonts w:hint="eastAsia"/>
                <w:color w:val="auto"/>
                <w:lang w:eastAsia="zh-CN"/>
              </w:rPr>
              <w:t>）</w:t>
            </w:r>
          </w:p>
        </w:tc>
        <w:tc>
          <w:tcPr>
            <w:tcW w:w="604" w:type="pct"/>
            <w:shd w:val="clear" w:color="auto" w:fill="auto"/>
            <w:noWrap w:val="0"/>
            <w:vAlign w:val="center"/>
          </w:tcPr>
          <w:p w14:paraId="3A83B60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0.0969</w:t>
            </w:r>
            <w:r>
              <w:rPr>
                <w:rFonts w:hint="eastAsia"/>
                <w:color w:val="auto"/>
                <w:lang w:eastAsia="zh-CN"/>
              </w:rPr>
              <w:t>（</w:t>
            </w:r>
            <w:r>
              <w:rPr>
                <w:rFonts w:hint="eastAsia"/>
                <w:color w:val="auto"/>
                <w:lang w:val="en-US" w:eastAsia="zh-CN"/>
              </w:rPr>
              <w:t>0.0787</w:t>
            </w:r>
            <w:r>
              <w:rPr>
                <w:rFonts w:hint="eastAsia"/>
                <w:color w:val="auto"/>
                <w:lang w:eastAsia="zh-CN"/>
              </w:rPr>
              <w:t>）</w:t>
            </w:r>
          </w:p>
        </w:tc>
        <w:tc>
          <w:tcPr>
            <w:tcW w:w="541" w:type="pct"/>
            <w:shd w:val="clear" w:color="auto" w:fill="auto"/>
            <w:noWrap w:val="0"/>
            <w:vAlign w:val="center"/>
          </w:tcPr>
          <w:p w14:paraId="6FF195B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0.084</w:t>
            </w:r>
            <w:r>
              <w:rPr>
                <w:rFonts w:hint="eastAsia"/>
                <w:color w:val="auto"/>
                <w:lang w:eastAsia="zh-CN"/>
              </w:rPr>
              <w:t>（</w:t>
            </w:r>
            <w:r>
              <w:rPr>
                <w:rFonts w:hint="eastAsia"/>
                <w:color w:val="auto"/>
                <w:lang w:val="en-US" w:eastAsia="zh-CN"/>
              </w:rPr>
              <w:t>0.2204</w:t>
            </w:r>
            <w:r>
              <w:rPr>
                <w:rFonts w:hint="eastAsia"/>
                <w:color w:val="auto"/>
                <w:lang w:eastAsia="zh-CN"/>
              </w:rPr>
              <w:t>）</w:t>
            </w:r>
          </w:p>
        </w:tc>
        <w:tc>
          <w:tcPr>
            <w:tcW w:w="595" w:type="pct"/>
            <w:shd w:val="clear" w:color="auto" w:fill="auto"/>
            <w:noWrap w:val="0"/>
            <w:vAlign w:val="center"/>
          </w:tcPr>
          <w:p w14:paraId="2760877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0.1799</w:t>
            </w:r>
            <w:r>
              <w:rPr>
                <w:rFonts w:hint="eastAsia"/>
                <w:color w:val="auto"/>
                <w:lang w:eastAsia="zh-CN"/>
              </w:rPr>
              <w:t>（</w:t>
            </w:r>
            <w:r>
              <w:rPr>
                <w:rFonts w:hint="eastAsia"/>
                <w:color w:val="auto"/>
                <w:lang w:val="en-US" w:eastAsia="zh-CN"/>
              </w:rPr>
              <w:t>0.0222</w:t>
            </w:r>
            <w:r>
              <w:rPr>
                <w:rFonts w:hint="eastAsia"/>
                <w:color w:val="auto"/>
                <w:lang w:eastAsia="zh-CN"/>
              </w:rPr>
              <w:t>）</w:t>
            </w:r>
          </w:p>
        </w:tc>
        <w:tc>
          <w:tcPr>
            <w:tcW w:w="484" w:type="pct"/>
            <w:shd w:val="clear" w:color="auto" w:fill="auto"/>
            <w:noWrap w:val="0"/>
            <w:vAlign w:val="center"/>
          </w:tcPr>
          <w:p w14:paraId="20F5253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0.0129</w:t>
            </w:r>
            <w:r>
              <w:rPr>
                <w:rFonts w:hint="eastAsia"/>
                <w:color w:val="auto"/>
                <w:lang w:eastAsia="zh-CN"/>
              </w:rPr>
              <w:t>（</w:t>
            </w:r>
            <w:r>
              <w:rPr>
                <w:rFonts w:hint="eastAsia"/>
                <w:color w:val="auto"/>
                <w:lang w:val="en-US" w:eastAsia="zh-CN"/>
              </w:rPr>
              <w:t>-0.1417</w:t>
            </w:r>
            <w:r>
              <w:rPr>
                <w:rFonts w:hint="eastAsia"/>
                <w:color w:val="auto"/>
                <w:lang w:eastAsia="zh-CN"/>
              </w:rPr>
              <w:t>）</w:t>
            </w:r>
          </w:p>
        </w:tc>
      </w:tr>
      <w:tr w14:paraId="6D8706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0D37428F">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p>
        </w:tc>
        <w:tc>
          <w:tcPr>
            <w:tcW w:w="789" w:type="pct"/>
            <w:noWrap w:val="0"/>
            <w:vAlign w:val="center"/>
          </w:tcPr>
          <w:p w14:paraId="38D1B9E7">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auto"/>
                <w:sz w:val="21"/>
                <w:szCs w:val="21"/>
                <w:highlight w:val="none"/>
              </w:rPr>
              <w:t>TP</w:t>
            </w:r>
          </w:p>
        </w:tc>
        <w:tc>
          <w:tcPr>
            <w:tcW w:w="493" w:type="pct"/>
            <w:shd w:val="clear" w:color="auto" w:fill="auto"/>
            <w:noWrap w:val="0"/>
            <w:vAlign w:val="center"/>
          </w:tcPr>
          <w:p w14:paraId="0B63FD5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0.12037</w:t>
            </w:r>
            <w:r>
              <w:rPr>
                <w:rFonts w:hint="eastAsia"/>
                <w:color w:val="auto"/>
                <w:lang w:eastAsia="zh-CN"/>
              </w:rPr>
              <w:t>（</w:t>
            </w:r>
            <w:r>
              <w:rPr>
                <w:rFonts w:hint="eastAsia"/>
                <w:color w:val="auto"/>
                <w:lang w:val="en-US" w:eastAsia="zh-CN"/>
              </w:rPr>
              <w:t>0.0086</w:t>
            </w:r>
            <w:r>
              <w:rPr>
                <w:rFonts w:hint="eastAsia"/>
                <w:color w:val="auto"/>
                <w:lang w:eastAsia="zh-CN"/>
              </w:rPr>
              <w:t>）</w:t>
            </w:r>
          </w:p>
        </w:tc>
        <w:tc>
          <w:tcPr>
            <w:tcW w:w="484" w:type="pct"/>
            <w:shd w:val="clear" w:color="auto" w:fill="auto"/>
            <w:noWrap w:val="0"/>
            <w:vAlign w:val="center"/>
          </w:tcPr>
          <w:p w14:paraId="1951CC4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0.12037</w:t>
            </w:r>
            <w:r>
              <w:rPr>
                <w:rFonts w:hint="eastAsia"/>
                <w:color w:val="auto"/>
                <w:lang w:eastAsia="zh-CN"/>
              </w:rPr>
              <w:t>（</w:t>
            </w:r>
            <w:r>
              <w:rPr>
                <w:rFonts w:hint="eastAsia"/>
                <w:color w:val="auto"/>
                <w:lang w:val="en-US" w:eastAsia="zh-CN"/>
              </w:rPr>
              <w:t>0.0086</w:t>
            </w:r>
            <w:r>
              <w:rPr>
                <w:rFonts w:hint="eastAsia"/>
                <w:color w:val="auto"/>
                <w:lang w:eastAsia="zh-CN"/>
              </w:rPr>
              <w:t>）</w:t>
            </w:r>
          </w:p>
        </w:tc>
        <w:tc>
          <w:tcPr>
            <w:tcW w:w="614" w:type="pct"/>
            <w:shd w:val="clear" w:color="auto" w:fill="auto"/>
            <w:noWrap w:val="0"/>
            <w:vAlign w:val="center"/>
          </w:tcPr>
          <w:p w14:paraId="075D836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0.0024</w:t>
            </w:r>
            <w:r>
              <w:rPr>
                <w:rFonts w:hint="eastAsia"/>
                <w:color w:val="auto"/>
                <w:lang w:eastAsia="zh-CN"/>
              </w:rPr>
              <w:t>（</w:t>
            </w:r>
            <w:r>
              <w:rPr>
                <w:rFonts w:hint="eastAsia"/>
                <w:color w:val="auto"/>
                <w:lang w:val="en-US" w:eastAsia="zh-CN"/>
              </w:rPr>
              <w:t>0.0002</w:t>
            </w:r>
            <w:r>
              <w:rPr>
                <w:rFonts w:hint="eastAsia"/>
                <w:color w:val="auto"/>
                <w:lang w:eastAsia="zh-CN"/>
              </w:rPr>
              <w:t>）</w:t>
            </w:r>
          </w:p>
        </w:tc>
        <w:tc>
          <w:tcPr>
            <w:tcW w:w="604" w:type="pct"/>
            <w:shd w:val="clear" w:color="auto" w:fill="auto"/>
            <w:noWrap w:val="0"/>
            <w:vAlign w:val="center"/>
          </w:tcPr>
          <w:p w14:paraId="385E644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0.0148</w:t>
            </w:r>
            <w:r>
              <w:rPr>
                <w:rFonts w:hint="eastAsia"/>
                <w:color w:val="auto"/>
                <w:lang w:eastAsia="zh-CN"/>
              </w:rPr>
              <w:t>（</w:t>
            </w:r>
            <w:r>
              <w:rPr>
                <w:rFonts w:hint="eastAsia"/>
                <w:color w:val="auto"/>
                <w:lang w:val="en-US" w:eastAsia="zh-CN"/>
              </w:rPr>
              <w:t>0.0016</w:t>
            </w:r>
            <w:r>
              <w:rPr>
                <w:rFonts w:hint="eastAsia"/>
                <w:color w:val="auto"/>
                <w:lang w:eastAsia="zh-CN"/>
              </w:rPr>
              <w:t>）</w:t>
            </w:r>
          </w:p>
        </w:tc>
        <w:tc>
          <w:tcPr>
            <w:tcW w:w="541" w:type="pct"/>
            <w:shd w:val="clear" w:color="auto" w:fill="auto"/>
            <w:noWrap w:val="0"/>
            <w:vAlign w:val="center"/>
          </w:tcPr>
          <w:p w14:paraId="30C1E66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0.06037</w:t>
            </w:r>
            <w:r>
              <w:rPr>
                <w:rFonts w:hint="eastAsia"/>
                <w:color w:val="auto"/>
                <w:lang w:eastAsia="zh-CN"/>
              </w:rPr>
              <w:t>（</w:t>
            </w:r>
            <w:r>
              <w:rPr>
                <w:rFonts w:hint="eastAsia"/>
                <w:color w:val="auto"/>
                <w:lang w:val="en-US" w:eastAsia="zh-CN"/>
              </w:rPr>
              <w:t>0.0044</w:t>
            </w:r>
            <w:r>
              <w:rPr>
                <w:rFonts w:hint="eastAsia"/>
                <w:color w:val="auto"/>
                <w:lang w:eastAsia="zh-CN"/>
              </w:rPr>
              <w:t>）</w:t>
            </w:r>
          </w:p>
        </w:tc>
        <w:tc>
          <w:tcPr>
            <w:tcW w:w="595" w:type="pct"/>
            <w:shd w:val="clear" w:color="auto" w:fill="auto"/>
            <w:noWrap w:val="0"/>
            <w:vAlign w:val="center"/>
          </w:tcPr>
          <w:p w14:paraId="5D823F2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0.0772</w:t>
            </w:r>
            <w:r>
              <w:rPr>
                <w:rFonts w:hint="eastAsia"/>
                <w:color w:val="auto"/>
                <w:lang w:eastAsia="zh-CN"/>
              </w:rPr>
              <w:t>（</w:t>
            </w:r>
            <w:r>
              <w:rPr>
                <w:rFonts w:hint="eastAsia"/>
                <w:color w:val="auto"/>
                <w:lang w:val="en-US" w:eastAsia="zh-CN"/>
              </w:rPr>
              <w:t>0.006</w:t>
            </w:r>
            <w:r>
              <w:rPr>
                <w:rFonts w:hint="eastAsia"/>
                <w:color w:val="auto"/>
                <w:lang w:eastAsia="zh-CN"/>
              </w:rPr>
              <w:t>）</w:t>
            </w:r>
          </w:p>
        </w:tc>
        <w:tc>
          <w:tcPr>
            <w:tcW w:w="484" w:type="pct"/>
            <w:shd w:val="clear" w:color="auto" w:fill="auto"/>
            <w:noWrap w:val="0"/>
            <w:vAlign w:val="center"/>
          </w:tcPr>
          <w:p w14:paraId="22113E0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-0.04557</w:t>
            </w:r>
            <w:r>
              <w:rPr>
                <w:rFonts w:hint="eastAsia"/>
                <w:color w:val="auto"/>
                <w:lang w:eastAsia="zh-CN"/>
              </w:rPr>
              <w:t>（</w:t>
            </w:r>
            <w:r>
              <w:rPr>
                <w:rFonts w:hint="eastAsia"/>
                <w:color w:val="auto"/>
                <w:lang w:val="en-US" w:eastAsia="zh-CN"/>
              </w:rPr>
              <w:t>-0.0028</w:t>
            </w:r>
            <w:r>
              <w:rPr>
                <w:rFonts w:hint="eastAsia"/>
                <w:color w:val="auto"/>
                <w:lang w:eastAsia="zh-CN"/>
              </w:rPr>
              <w:t>）</w:t>
            </w:r>
          </w:p>
        </w:tc>
      </w:tr>
      <w:tr w14:paraId="30BCB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restart"/>
            <w:noWrap w:val="0"/>
            <w:vAlign w:val="center"/>
          </w:tcPr>
          <w:p w14:paraId="4EC3ACA7">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r>
              <w:rPr>
                <w:rFonts w:hint="eastAsia" w:ascii="Times New Roman" w:hAnsi="Times New Roman" w:eastAsia="宋体"/>
                <w:snapToGrid w:val="0"/>
                <w:color w:val="auto"/>
                <w:kern w:val="21"/>
                <w:sz w:val="21"/>
                <w:szCs w:val="21"/>
                <w:highlight w:val="none"/>
                <w:lang w:eastAsia="zh-CN"/>
              </w:rPr>
              <w:t>有组织废气</w:t>
            </w:r>
          </w:p>
        </w:tc>
        <w:tc>
          <w:tcPr>
            <w:tcW w:w="789" w:type="pct"/>
            <w:shd w:val="clear" w:color="auto" w:fill="auto"/>
            <w:noWrap w:val="0"/>
            <w:vAlign w:val="center"/>
          </w:tcPr>
          <w:p w14:paraId="169B67B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lang w:val="en-US" w:eastAsia="zh-CN"/>
              </w:rPr>
              <w:t>NMHC</w:t>
            </w:r>
          </w:p>
        </w:tc>
        <w:tc>
          <w:tcPr>
            <w:tcW w:w="493" w:type="pct"/>
            <w:shd w:val="clear" w:color="auto" w:fill="auto"/>
            <w:noWrap w:val="0"/>
            <w:vAlign w:val="center"/>
          </w:tcPr>
          <w:p w14:paraId="6F47355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0.283</w:t>
            </w:r>
          </w:p>
        </w:tc>
        <w:tc>
          <w:tcPr>
            <w:tcW w:w="484" w:type="pct"/>
            <w:shd w:val="clear" w:color="auto" w:fill="auto"/>
            <w:noWrap w:val="0"/>
            <w:vAlign w:val="center"/>
          </w:tcPr>
          <w:p w14:paraId="53D2201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0.283</w:t>
            </w:r>
          </w:p>
        </w:tc>
        <w:tc>
          <w:tcPr>
            <w:tcW w:w="614" w:type="pct"/>
            <w:shd w:val="clear" w:color="auto" w:fill="auto"/>
            <w:noWrap w:val="0"/>
            <w:vAlign w:val="center"/>
          </w:tcPr>
          <w:p w14:paraId="77F134D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w:t>
            </w:r>
          </w:p>
        </w:tc>
        <w:tc>
          <w:tcPr>
            <w:tcW w:w="604" w:type="pct"/>
            <w:shd w:val="clear" w:color="auto" w:fill="auto"/>
            <w:noWrap w:val="0"/>
            <w:vAlign w:val="center"/>
          </w:tcPr>
          <w:p w14:paraId="2F179E8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0.22</w:t>
            </w:r>
          </w:p>
        </w:tc>
        <w:tc>
          <w:tcPr>
            <w:tcW w:w="541" w:type="pct"/>
            <w:shd w:val="clear" w:color="auto" w:fill="auto"/>
            <w:noWrap w:val="0"/>
            <w:vAlign w:val="center"/>
          </w:tcPr>
          <w:p w14:paraId="2EAC2B1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0.1415</w:t>
            </w:r>
          </w:p>
        </w:tc>
        <w:tc>
          <w:tcPr>
            <w:tcW w:w="595" w:type="pct"/>
            <w:shd w:val="clear" w:color="auto" w:fill="auto"/>
            <w:noWrap w:val="0"/>
            <w:vAlign w:val="center"/>
          </w:tcPr>
          <w:p w14:paraId="07C732F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0.3615</w:t>
            </w:r>
          </w:p>
        </w:tc>
        <w:tc>
          <w:tcPr>
            <w:tcW w:w="484" w:type="pct"/>
            <w:shd w:val="clear" w:color="auto" w:fill="auto"/>
            <w:noWrap w:val="0"/>
            <w:vAlign w:val="center"/>
          </w:tcPr>
          <w:p w14:paraId="7FEB473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0.0785</w:t>
            </w:r>
          </w:p>
        </w:tc>
      </w:tr>
      <w:tr w14:paraId="197A9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154C4F8A">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top"/>
          </w:tcPr>
          <w:p w14:paraId="3620833E">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乙酸乙酯</w:t>
            </w:r>
          </w:p>
        </w:tc>
        <w:tc>
          <w:tcPr>
            <w:tcW w:w="493" w:type="pct"/>
            <w:shd w:val="clear" w:color="auto" w:fill="auto"/>
            <w:noWrap w:val="0"/>
            <w:vAlign w:val="center"/>
          </w:tcPr>
          <w:p w14:paraId="5030577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484" w:type="pct"/>
            <w:shd w:val="clear" w:color="auto" w:fill="auto"/>
            <w:noWrap w:val="0"/>
            <w:vAlign w:val="center"/>
          </w:tcPr>
          <w:p w14:paraId="7FF2160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14" w:type="pct"/>
            <w:shd w:val="clear" w:color="auto" w:fill="auto"/>
            <w:noWrap w:val="0"/>
            <w:vAlign w:val="center"/>
          </w:tcPr>
          <w:p w14:paraId="4A2D4C8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04" w:type="pct"/>
            <w:shd w:val="clear" w:color="auto" w:fill="auto"/>
            <w:noWrap w:val="0"/>
            <w:vAlign w:val="center"/>
          </w:tcPr>
          <w:p w14:paraId="76C091D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0.0074</w:t>
            </w:r>
          </w:p>
        </w:tc>
        <w:tc>
          <w:tcPr>
            <w:tcW w:w="541" w:type="pct"/>
            <w:shd w:val="clear" w:color="auto" w:fill="auto"/>
            <w:noWrap w:val="0"/>
            <w:vAlign w:val="center"/>
          </w:tcPr>
          <w:p w14:paraId="4C07A50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166E6F0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0.0074</w:t>
            </w:r>
          </w:p>
        </w:tc>
        <w:tc>
          <w:tcPr>
            <w:tcW w:w="484" w:type="pct"/>
            <w:shd w:val="clear" w:color="auto" w:fill="auto"/>
            <w:noWrap w:val="0"/>
            <w:vAlign w:val="center"/>
          </w:tcPr>
          <w:p w14:paraId="31B7FBB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0.0074</w:t>
            </w:r>
          </w:p>
        </w:tc>
      </w:tr>
      <w:tr w14:paraId="1AAE6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794434B0">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top"/>
          </w:tcPr>
          <w:p w14:paraId="28F7DD30">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甲醇</w:t>
            </w:r>
          </w:p>
        </w:tc>
        <w:tc>
          <w:tcPr>
            <w:tcW w:w="493" w:type="pct"/>
            <w:shd w:val="clear" w:color="auto" w:fill="auto"/>
            <w:noWrap w:val="0"/>
            <w:vAlign w:val="center"/>
          </w:tcPr>
          <w:p w14:paraId="001ADB4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484" w:type="pct"/>
            <w:shd w:val="clear" w:color="auto" w:fill="auto"/>
            <w:noWrap w:val="0"/>
            <w:vAlign w:val="center"/>
          </w:tcPr>
          <w:p w14:paraId="5CE69B6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14" w:type="pct"/>
            <w:shd w:val="clear" w:color="auto" w:fill="auto"/>
            <w:noWrap w:val="0"/>
            <w:vAlign w:val="center"/>
          </w:tcPr>
          <w:p w14:paraId="15BC56B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04" w:type="pct"/>
            <w:shd w:val="clear" w:color="auto" w:fill="auto"/>
            <w:noWrap w:val="0"/>
            <w:vAlign w:val="center"/>
          </w:tcPr>
          <w:p w14:paraId="1048AA1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0.0294</w:t>
            </w:r>
          </w:p>
        </w:tc>
        <w:tc>
          <w:tcPr>
            <w:tcW w:w="541" w:type="pct"/>
            <w:shd w:val="clear" w:color="auto" w:fill="auto"/>
            <w:noWrap w:val="0"/>
            <w:vAlign w:val="center"/>
          </w:tcPr>
          <w:p w14:paraId="48D291E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73F01C1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0.0294</w:t>
            </w:r>
          </w:p>
        </w:tc>
        <w:tc>
          <w:tcPr>
            <w:tcW w:w="484" w:type="pct"/>
            <w:shd w:val="clear" w:color="auto" w:fill="auto"/>
            <w:noWrap w:val="0"/>
            <w:vAlign w:val="center"/>
          </w:tcPr>
          <w:p w14:paraId="4D2E6A6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0.0294</w:t>
            </w:r>
          </w:p>
        </w:tc>
      </w:tr>
      <w:tr w14:paraId="509FF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6C562A87">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top"/>
          </w:tcPr>
          <w:p w14:paraId="1A631F70">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二氯甲烷</w:t>
            </w:r>
          </w:p>
        </w:tc>
        <w:tc>
          <w:tcPr>
            <w:tcW w:w="493" w:type="pct"/>
            <w:shd w:val="clear" w:color="auto" w:fill="auto"/>
            <w:noWrap w:val="0"/>
            <w:vAlign w:val="center"/>
          </w:tcPr>
          <w:p w14:paraId="64DFBB4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484" w:type="pct"/>
            <w:shd w:val="clear" w:color="auto" w:fill="auto"/>
            <w:noWrap w:val="0"/>
            <w:vAlign w:val="center"/>
          </w:tcPr>
          <w:p w14:paraId="0D9F7D2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14" w:type="pct"/>
            <w:shd w:val="clear" w:color="auto" w:fill="auto"/>
            <w:noWrap w:val="0"/>
            <w:vAlign w:val="center"/>
          </w:tcPr>
          <w:p w14:paraId="7A5E9D9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04" w:type="pct"/>
            <w:shd w:val="clear" w:color="auto" w:fill="auto"/>
            <w:noWrap w:val="0"/>
            <w:vAlign w:val="center"/>
          </w:tcPr>
          <w:p w14:paraId="7A77A17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0.0062</w:t>
            </w:r>
          </w:p>
        </w:tc>
        <w:tc>
          <w:tcPr>
            <w:tcW w:w="541" w:type="pct"/>
            <w:shd w:val="clear" w:color="auto" w:fill="auto"/>
            <w:noWrap w:val="0"/>
            <w:vAlign w:val="center"/>
          </w:tcPr>
          <w:p w14:paraId="7BDC85F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41E2BB1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0.0062</w:t>
            </w:r>
          </w:p>
        </w:tc>
        <w:tc>
          <w:tcPr>
            <w:tcW w:w="484" w:type="pct"/>
            <w:shd w:val="clear" w:color="auto" w:fill="auto"/>
            <w:noWrap w:val="0"/>
            <w:vAlign w:val="center"/>
          </w:tcPr>
          <w:p w14:paraId="52D234E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0.0062</w:t>
            </w:r>
          </w:p>
        </w:tc>
      </w:tr>
      <w:tr w14:paraId="4642B5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62045066">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top"/>
          </w:tcPr>
          <w:p w14:paraId="1A3246C5">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乙腈</w:t>
            </w:r>
          </w:p>
        </w:tc>
        <w:tc>
          <w:tcPr>
            <w:tcW w:w="493" w:type="pct"/>
            <w:shd w:val="clear" w:color="auto" w:fill="auto"/>
            <w:noWrap w:val="0"/>
            <w:vAlign w:val="center"/>
          </w:tcPr>
          <w:p w14:paraId="7268A66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484" w:type="pct"/>
            <w:shd w:val="clear" w:color="auto" w:fill="auto"/>
            <w:noWrap w:val="0"/>
            <w:vAlign w:val="center"/>
          </w:tcPr>
          <w:p w14:paraId="2DA55A2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14" w:type="pct"/>
            <w:shd w:val="clear" w:color="auto" w:fill="auto"/>
            <w:noWrap w:val="0"/>
            <w:vAlign w:val="center"/>
          </w:tcPr>
          <w:p w14:paraId="4AB896D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04" w:type="pct"/>
            <w:shd w:val="clear" w:color="auto" w:fill="auto"/>
            <w:noWrap w:val="0"/>
            <w:vAlign w:val="center"/>
          </w:tcPr>
          <w:p w14:paraId="1A051AE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0.0342</w:t>
            </w:r>
          </w:p>
        </w:tc>
        <w:tc>
          <w:tcPr>
            <w:tcW w:w="541" w:type="pct"/>
            <w:shd w:val="clear" w:color="auto" w:fill="auto"/>
            <w:noWrap w:val="0"/>
            <w:vAlign w:val="center"/>
          </w:tcPr>
          <w:p w14:paraId="756EA9B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36E78B0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0.0342</w:t>
            </w:r>
          </w:p>
        </w:tc>
        <w:tc>
          <w:tcPr>
            <w:tcW w:w="484" w:type="pct"/>
            <w:shd w:val="clear" w:color="auto" w:fill="auto"/>
            <w:noWrap w:val="0"/>
            <w:vAlign w:val="center"/>
          </w:tcPr>
          <w:p w14:paraId="28DD325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0.0342</w:t>
            </w:r>
          </w:p>
        </w:tc>
      </w:tr>
      <w:tr w14:paraId="015357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59E4A460">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top"/>
          </w:tcPr>
          <w:p w14:paraId="6ACEA080">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氨</w:t>
            </w:r>
          </w:p>
        </w:tc>
        <w:tc>
          <w:tcPr>
            <w:tcW w:w="493" w:type="pct"/>
            <w:shd w:val="clear" w:color="auto" w:fill="auto"/>
            <w:noWrap w:val="0"/>
            <w:vAlign w:val="center"/>
          </w:tcPr>
          <w:p w14:paraId="0BB762D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0.002</w:t>
            </w:r>
          </w:p>
        </w:tc>
        <w:tc>
          <w:tcPr>
            <w:tcW w:w="484" w:type="pct"/>
            <w:shd w:val="clear" w:color="auto" w:fill="auto"/>
            <w:noWrap w:val="0"/>
            <w:vAlign w:val="center"/>
          </w:tcPr>
          <w:p w14:paraId="4EE57C4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0.002</w:t>
            </w:r>
          </w:p>
        </w:tc>
        <w:tc>
          <w:tcPr>
            <w:tcW w:w="614" w:type="pct"/>
            <w:shd w:val="clear" w:color="auto" w:fill="auto"/>
            <w:noWrap w:val="0"/>
            <w:vAlign w:val="center"/>
          </w:tcPr>
          <w:p w14:paraId="2D6DDE8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w:t>
            </w:r>
          </w:p>
        </w:tc>
        <w:tc>
          <w:tcPr>
            <w:tcW w:w="604" w:type="pct"/>
            <w:shd w:val="clear" w:color="auto" w:fill="auto"/>
            <w:noWrap w:val="0"/>
            <w:vAlign w:val="center"/>
          </w:tcPr>
          <w:p w14:paraId="2E243AD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0.0081</w:t>
            </w:r>
          </w:p>
        </w:tc>
        <w:tc>
          <w:tcPr>
            <w:tcW w:w="541" w:type="pct"/>
            <w:shd w:val="clear" w:color="auto" w:fill="auto"/>
            <w:noWrap w:val="0"/>
            <w:vAlign w:val="center"/>
          </w:tcPr>
          <w:p w14:paraId="751416E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0.001</w:t>
            </w:r>
          </w:p>
        </w:tc>
        <w:tc>
          <w:tcPr>
            <w:tcW w:w="595" w:type="pct"/>
            <w:shd w:val="clear" w:color="auto" w:fill="auto"/>
            <w:noWrap w:val="0"/>
            <w:vAlign w:val="center"/>
          </w:tcPr>
          <w:p w14:paraId="4E7F5CE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0.0091</w:t>
            </w:r>
          </w:p>
        </w:tc>
        <w:tc>
          <w:tcPr>
            <w:tcW w:w="484" w:type="pct"/>
            <w:shd w:val="clear" w:color="auto" w:fill="auto"/>
            <w:noWrap w:val="0"/>
            <w:vAlign w:val="center"/>
          </w:tcPr>
          <w:p w14:paraId="1FD45EC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0.0071</w:t>
            </w:r>
          </w:p>
        </w:tc>
      </w:tr>
      <w:tr w14:paraId="0B61BC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0A920366">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top"/>
          </w:tcPr>
          <w:p w14:paraId="57BD5DFE">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乙酸</w:t>
            </w:r>
          </w:p>
        </w:tc>
        <w:tc>
          <w:tcPr>
            <w:tcW w:w="493" w:type="pct"/>
            <w:shd w:val="clear" w:color="auto" w:fill="auto"/>
            <w:noWrap w:val="0"/>
            <w:vAlign w:val="center"/>
          </w:tcPr>
          <w:p w14:paraId="059E327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484" w:type="pct"/>
            <w:shd w:val="clear" w:color="auto" w:fill="auto"/>
            <w:noWrap w:val="0"/>
            <w:vAlign w:val="center"/>
          </w:tcPr>
          <w:p w14:paraId="192DB25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14" w:type="pct"/>
            <w:shd w:val="clear" w:color="auto" w:fill="auto"/>
            <w:noWrap w:val="0"/>
            <w:vAlign w:val="center"/>
          </w:tcPr>
          <w:p w14:paraId="48F060B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04" w:type="pct"/>
            <w:shd w:val="clear" w:color="auto" w:fill="auto"/>
            <w:noWrap w:val="0"/>
            <w:vAlign w:val="center"/>
          </w:tcPr>
          <w:p w14:paraId="4B7E474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0.009</w:t>
            </w:r>
          </w:p>
        </w:tc>
        <w:tc>
          <w:tcPr>
            <w:tcW w:w="541" w:type="pct"/>
            <w:shd w:val="clear" w:color="auto" w:fill="auto"/>
            <w:noWrap w:val="0"/>
            <w:vAlign w:val="center"/>
          </w:tcPr>
          <w:p w14:paraId="21F8FCD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02BE2EB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0.009</w:t>
            </w:r>
          </w:p>
        </w:tc>
        <w:tc>
          <w:tcPr>
            <w:tcW w:w="484" w:type="pct"/>
            <w:shd w:val="clear" w:color="auto" w:fill="auto"/>
            <w:noWrap w:val="0"/>
            <w:vAlign w:val="center"/>
          </w:tcPr>
          <w:p w14:paraId="17F405E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0.009</w:t>
            </w:r>
          </w:p>
        </w:tc>
      </w:tr>
      <w:tr w14:paraId="79C8A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3EBBBB04">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top"/>
          </w:tcPr>
          <w:p w14:paraId="2C33DBF4">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甲酸</w:t>
            </w:r>
          </w:p>
        </w:tc>
        <w:tc>
          <w:tcPr>
            <w:tcW w:w="493" w:type="pct"/>
            <w:shd w:val="clear" w:color="auto" w:fill="auto"/>
            <w:noWrap w:val="0"/>
            <w:vAlign w:val="center"/>
          </w:tcPr>
          <w:p w14:paraId="5396160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484" w:type="pct"/>
            <w:shd w:val="clear" w:color="auto" w:fill="auto"/>
            <w:noWrap w:val="0"/>
            <w:vAlign w:val="center"/>
          </w:tcPr>
          <w:p w14:paraId="48EE158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14" w:type="pct"/>
            <w:shd w:val="clear" w:color="auto" w:fill="auto"/>
            <w:noWrap w:val="0"/>
            <w:vAlign w:val="center"/>
          </w:tcPr>
          <w:p w14:paraId="1B28672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04" w:type="pct"/>
            <w:shd w:val="clear" w:color="auto" w:fill="auto"/>
            <w:noWrap w:val="0"/>
            <w:vAlign w:val="center"/>
          </w:tcPr>
          <w:p w14:paraId="584674E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0.0036</w:t>
            </w:r>
          </w:p>
        </w:tc>
        <w:tc>
          <w:tcPr>
            <w:tcW w:w="541" w:type="pct"/>
            <w:shd w:val="clear" w:color="auto" w:fill="auto"/>
            <w:noWrap w:val="0"/>
            <w:vAlign w:val="center"/>
          </w:tcPr>
          <w:p w14:paraId="486FF43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600076A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0.0036</w:t>
            </w:r>
          </w:p>
        </w:tc>
        <w:tc>
          <w:tcPr>
            <w:tcW w:w="484" w:type="pct"/>
            <w:shd w:val="clear" w:color="auto" w:fill="auto"/>
            <w:noWrap w:val="0"/>
            <w:vAlign w:val="center"/>
          </w:tcPr>
          <w:p w14:paraId="31062B2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0.0036</w:t>
            </w:r>
          </w:p>
        </w:tc>
      </w:tr>
      <w:tr w14:paraId="53ED9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4CE1DFB1">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center"/>
          </w:tcPr>
          <w:p w14:paraId="7E82705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lang w:val="en-US" w:eastAsia="zh-CN"/>
              </w:rPr>
              <w:t>硫化氢</w:t>
            </w:r>
          </w:p>
        </w:tc>
        <w:tc>
          <w:tcPr>
            <w:tcW w:w="493" w:type="pct"/>
            <w:shd w:val="clear" w:color="auto" w:fill="auto"/>
            <w:noWrap w:val="0"/>
            <w:vAlign w:val="center"/>
          </w:tcPr>
          <w:p w14:paraId="78DAA9B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484" w:type="pct"/>
            <w:shd w:val="clear" w:color="auto" w:fill="auto"/>
            <w:noWrap w:val="0"/>
            <w:vAlign w:val="center"/>
          </w:tcPr>
          <w:p w14:paraId="7A7C2ED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14" w:type="pct"/>
            <w:shd w:val="clear" w:color="auto" w:fill="auto"/>
            <w:noWrap w:val="0"/>
            <w:vAlign w:val="center"/>
          </w:tcPr>
          <w:p w14:paraId="1047A38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04" w:type="pct"/>
            <w:shd w:val="clear" w:color="auto" w:fill="auto"/>
            <w:noWrap w:val="0"/>
            <w:vAlign w:val="center"/>
          </w:tcPr>
          <w:p w14:paraId="4EAC0BF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0.00017</w:t>
            </w:r>
          </w:p>
        </w:tc>
        <w:tc>
          <w:tcPr>
            <w:tcW w:w="541" w:type="pct"/>
            <w:shd w:val="clear" w:color="auto" w:fill="auto"/>
            <w:noWrap w:val="0"/>
            <w:vAlign w:val="center"/>
          </w:tcPr>
          <w:p w14:paraId="32769C8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6D6DBE1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0.00017</w:t>
            </w:r>
          </w:p>
        </w:tc>
        <w:tc>
          <w:tcPr>
            <w:tcW w:w="484" w:type="pct"/>
            <w:shd w:val="clear" w:color="auto" w:fill="auto"/>
            <w:noWrap w:val="0"/>
            <w:vAlign w:val="center"/>
          </w:tcPr>
          <w:p w14:paraId="316C740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0.00017</w:t>
            </w:r>
          </w:p>
        </w:tc>
      </w:tr>
      <w:tr w14:paraId="32B9D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7D4153D4">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center"/>
          </w:tcPr>
          <w:p w14:paraId="0BBE263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lang w:val="en-US" w:eastAsia="zh-CN"/>
              </w:rPr>
              <w:t>SO</w:t>
            </w:r>
            <w:r>
              <w:rPr>
                <w:rFonts w:hint="eastAsia"/>
                <w:color w:val="auto"/>
                <w:vertAlign w:val="subscript"/>
                <w:lang w:val="en-US" w:eastAsia="zh-CN"/>
              </w:rPr>
              <w:t>2</w:t>
            </w:r>
          </w:p>
        </w:tc>
        <w:tc>
          <w:tcPr>
            <w:tcW w:w="493" w:type="pct"/>
            <w:shd w:val="clear" w:color="auto" w:fill="auto"/>
            <w:noWrap w:val="0"/>
            <w:vAlign w:val="center"/>
          </w:tcPr>
          <w:p w14:paraId="40AA81E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0.04</w:t>
            </w:r>
          </w:p>
        </w:tc>
        <w:tc>
          <w:tcPr>
            <w:tcW w:w="484" w:type="pct"/>
            <w:shd w:val="clear" w:color="auto" w:fill="auto"/>
            <w:noWrap w:val="0"/>
            <w:vAlign w:val="center"/>
          </w:tcPr>
          <w:p w14:paraId="08531CA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0.04</w:t>
            </w:r>
          </w:p>
        </w:tc>
        <w:tc>
          <w:tcPr>
            <w:tcW w:w="614" w:type="pct"/>
            <w:shd w:val="clear" w:color="auto" w:fill="auto"/>
            <w:noWrap w:val="0"/>
            <w:vAlign w:val="center"/>
          </w:tcPr>
          <w:p w14:paraId="1D376AD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w:t>
            </w:r>
          </w:p>
        </w:tc>
        <w:tc>
          <w:tcPr>
            <w:tcW w:w="604" w:type="pct"/>
            <w:shd w:val="clear" w:color="auto" w:fill="auto"/>
            <w:noWrap w:val="0"/>
            <w:vAlign w:val="center"/>
          </w:tcPr>
          <w:p w14:paraId="62E610E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w:t>
            </w:r>
          </w:p>
        </w:tc>
        <w:tc>
          <w:tcPr>
            <w:tcW w:w="541" w:type="pct"/>
            <w:shd w:val="clear" w:color="auto" w:fill="auto"/>
            <w:noWrap w:val="0"/>
            <w:vAlign w:val="center"/>
          </w:tcPr>
          <w:p w14:paraId="1867A6E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58D07C9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0.04</w:t>
            </w:r>
          </w:p>
        </w:tc>
        <w:tc>
          <w:tcPr>
            <w:tcW w:w="484" w:type="pct"/>
            <w:shd w:val="clear" w:color="auto" w:fill="auto"/>
            <w:noWrap w:val="0"/>
            <w:vAlign w:val="center"/>
          </w:tcPr>
          <w:p w14:paraId="52439AA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w:t>
            </w:r>
          </w:p>
        </w:tc>
      </w:tr>
      <w:tr w14:paraId="7FE9E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7842DCF1">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center"/>
          </w:tcPr>
          <w:p w14:paraId="29835A9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NO</w:t>
            </w:r>
            <w:r>
              <w:rPr>
                <w:rFonts w:hint="eastAsia"/>
                <w:color w:val="auto"/>
                <w:vertAlign w:val="subscript"/>
                <w:lang w:val="en-US" w:eastAsia="zh-CN"/>
              </w:rPr>
              <w:t>X</w:t>
            </w:r>
          </w:p>
        </w:tc>
        <w:tc>
          <w:tcPr>
            <w:tcW w:w="493" w:type="pct"/>
            <w:shd w:val="clear" w:color="auto" w:fill="auto"/>
            <w:noWrap w:val="0"/>
            <w:vAlign w:val="center"/>
          </w:tcPr>
          <w:p w14:paraId="0E9257E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0.76</w:t>
            </w:r>
          </w:p>
        </w:tc>
        <w:tc>
          <w:tcPr>
            <w:tcW w:w="484" w:type="pct"/>
            <w:shd w:val="clear" w:color="auto" w:fill="auto"/>
            <w:noWrap w:val="0"/>
            <w:vAlign w:val="center"/>
          </w:tcPr>
          <w:p w14:paraId="0AA1C0F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0.76</w:t>
            </w:r>
          </w:p>
        </w:tc>
        <w:tc>
          <w:tcPr>
            <w:tcW w:w="614" w:type="pct"/>
            <w:shd w:val="clear" w:color="auto" w:fill="auto"/>
            <w:noWrap w:val="0"/>
            <w:vAlign w:val="center"/>
          </w:tcPr>
          <w:p w14:paraId="31E168F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w:t>
            </w:r>
          </w:p>
        </w:tc>
        <w:tc>
          <w:tcPr>
            <w:tcW w:w="604" w:type="pct"/>
            <w:shd w:val="clear" w:color="auto" w:fill="auto"/>
            <w:noWrap w:val="0"/>
            <w:vAlign w:val="center"/>
          </w:tcPr>
          <w:p w14:paraId="499896F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w:t>
            </w:r>
          </w:p>
        </w:tc>
        <w:tc>
          <w:tcPr>
            <w:tcW w:w="541" w:type="pct"/>
            <w:shd w:val="clear" w:color="auto" w:fill="auto"/>
            <w:noWrap w:val="0"/>
            <w:vAlign w:val="center"/>
          </w:tcPr>
          <w:p w14:paraId="34AEDF9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1B45B13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0.76</w:t>
            </w:r>
          </w:p>
        </w:tc>
        <w:tc>
          <w:tcPr>
            <w:tcW w:w="484" w:type="pct"/>
            <w:shd w:val="clear" w:color="auto" w:fill="auto"/>
            <w:noWrap w:val="0"/>
            <w:vAlign w:val="center"/>
          </w:tcPr>
          <w:p w14:paraId="128B87B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w:t>
            </w:r>
          </w:p>
        </w:tc>
      </w:tr>
      <w:tr w14:paraId="45FF1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2E41C4DE">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center"/>
          </w:tcPr>
          <w:p w14:paraId="46659FA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颗粒物</w:t>
            </w:r>
          </w:p>
        </w:tc>
        <w:tc>
          <w:tcPr>
            <w:tcW w:w="493" w:type="pct"/>
            <w:shd w:val="clear" w:color="auto" w:fill="auto"/>
            <w:noWrap w:val="0"/>
            <w:vAlign w:val="center"/>
          </w:tcPr>
          <w:p w14:paraId="4726485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0.098</w:t>
            </w:r>
          </w:p>
        </w:tc>
        <w:tc>
          <w:tcPr>
            <w:tcW w:w="484" w:type="pct"/>
            <w:shd w:val="clear" w:color="auto" w:fill="auto"/>
            <w:noWrap w:val="0"/>
            <w:vAlign w:val="center"/>
          </w:tcPr>
          <w:p w14:paraId="3D5D802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0.098</w:t>
            </w:r>
          </w:p>
        </w:tc>
        <w:tc>
          <w:tcPr>
            <w:tcW w:w="614" w:type="pct"/>
            <w:shd w:val="clear" w:color="auto" w:fill="auto"/>
            <w:noWrap w:val="0"/>
            <w:vAlign w:val="center"/>
          </w:tcPr>
          <w:p w14:paraId="07C75A5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w:t>
            </w:r>
          </w:p>
        </w:tc>
        <w:tc>
          <w:tcPr>
            <w:tcW w:w="604" w:type="pct"/>
            <w:shd w:val="clear" w:color="auto" w:fill="auto"/>
            <w:noWrap w:val="0"/>
            <w:vAlign w:val="center"/>
          </w:tcPr>
          <w:p w14:paraId="0E7008B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w:t>
            </w:r>
          </w:p>
        </w:tc>
        <w:tc>
          <w:tcPr>
            <w:tcW w:w="541" w:type="pct"/>
            <w:shd w:val="clear" w:color="auto" w:fill="auto"/>
            <w:noWrap w:val="0"/>
            <w:vAlign w:val="center"/>
          </w:tcPr>
          <w:p w14:paraId="543C7B1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0AA371E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0.098</w:t>
            </w:r>
          </w:p>
        </w:tc>
        <w:tc>
          <w:tcPr>
            <w:tcW w:w="484" w:type="pct"/>
            <w:shd w:val="clear" w:color="auto" w:fill="auto"/>
            <w:noWrap w:val="0"/>
            <w:vAlign w:val="center"/>
          </w:tcPr>
          <w:p w14:paraId="1EDCD7E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w:t>
            </w:r>
          </w:p>
        </w:tc>
      </w:tr>
      <w:tr w14:paraId="43BD2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restart"/>
            <w:noWrap w:val="0"/>
            <w:vAlign w:val="center"/>
          </w:tcPr>
          <w:p w14:paraId="61806DF2">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r>
              <w:rPr>
                <w:rFonts w:hint="eastAsia" w:ascii="Times New Roman" w:hAnsi="Times New Roman" w:eastAsia="宋体"/>
                <w:snapToGrid w:val="0"/>
                <w:color w:val="auto"/>
                <w:kern w:val="21"/>
                <w:sz w:val="21"/>
                <w:szCs w:val="21"/>
                <w:highlight w:val="none"/>
                <w:lang w:eastAsia="zh-CN"/>
              </w:rPr>
              <w:t>无组织废气</w:t>
            </w:r>
          </w:p>
        </w:tc>
        <w:tc>
          <w:tcPr>
            <w:tcW w:w="789" w:type="pct"/>
            <w:shd w:val="clear" w:color="auto" w:fill="auto"/>
            <w:noWrap w:val="0"/>
            <w:vAlign w:val="center"/>
          </w:tcPr>
          <w:p w14:paraId="386B927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NMHC</w:t>
            </w:r>
          </w:p>
        </w:tc>
        <w:tc>
          <w:tcPr>
            <w:tcW w:w="493" w:type="pct"/>
            <w:shd w:val="clear" w:color="auto" w:fill="auto"/>
            <w:noWrap w:val="0"/>
            <w:vAlign w:val="center"/>
          </w:tcPr>
          <w:p w14:paraId="6F9CFB8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0.15</w:t>
            </w:r>
          </w:p>
        </w:tc>
        <w:tc>
          <w:tcPr>
            <w:tcW w:w="484" w:type="pct"/>
            <w:shd w:val="clear" w:color="auto" w:fill="auto"/>
            <w:noWrap w:val="0"/>
            <w:vAlign w:val="center"/>
          </w:tcPr>
          <w:p w14:paraId="6B0F4E2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0.15</w:t>
            </w:r>
          </w:p>
        </w:tc>
        <w:tc>
          <w:tcPr>
            <w:tcW w:w="614" w:type="pct"/>
            <w:shd w:val="clear" w:color="auto" w:fill="auto"/>
            <w:noWrap w:val="0"/>
            <w:vAlign w:val="center"/>
          </w:tcPr>
          <w:p w14:paraId="0E4F502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w:t>
            </w:r>
          </w:p>
        </w:tc>
        <w:tc>
          <w:tcPr>
            <w:tcW w:w="604" w:type="pct"/>
            <w:shd w:val="clear" w:color="auto" w:fill="auto"/>
            <w:noWrap w:val="0"/>
            <w:vAlign w:val="center"/>
          </w:tcPr>
          <w:p w14:paraId="6E57C5E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0.1222</w:t>
            </w:r>
          </w:p>
        </w:tc>
        <w:tc>
          <w:tcPr>
            <w:tcW w:w="541" w:type="pct"/>
            <w:shd w:val="clear" w:color="auto" w:fill="auto"/>
            <w:noWrap w:val="0"/>
            <w:vAlign w:val="center"/>
          </w:tcPr>
          <w:p w14:paraId="223B359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0.075</w:t>
            </w:r>
          </w:p>
        </w:tc>
        <w:tc>
          <w:tcPr>
            <w:tcW w:w="595" w:type="pct"/>
            <w:shd w:val="clear" w:color="auto" w:fill="auto"/>
            <w:noWrap w:val="0"/>
            <w:vAlign w:val="center"/>
          </w:tcPr>
          <w:p w14:paraId="5004338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0.1972</w:t>
            </w:r>
          </w:p>
        </w:tc>
        <w:tc>
          <w:tcPr>
            <w:tcW w:w="484" w:type="pct"/>
            <w:shd w:val="clear" w:color="auto" w:fill="auto"/>
            <w:noWrap w:val="0"/>
            <w:vAlign w:val="center"/>
          </w:tcPr>
          <w:p w14:paraId="1B2D546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0.0472</w:t>
            </w:r>
          </w:p>
        </w:tc>
      </w:tr>
      <w:tr w14:paraId="29546A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5EB7EFEE">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top"/>
          </w:tcPr>
          <w:p w14:paraId="67962FC5">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乙酸乙酯</w:t>
            </w:r>
          </w:p>
        </w:tc>
        <w:tc>
          <w:tcPr>
            <w:tcW w:w="493" w:type="pct"/>
            <w:shd w:val="clear" w:color="auto" w:fill="auto"/>
            <w:noWrap w:val="0"/>
            <w:vAlign w:val="center"/>
          </w:tcPr>
          <w:p w14:paraId="32A3BF14">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484" w:type="pct"/>
            <w:shd w:val="clear" w:color="auto" w:fill="auto"/>
            <w:noWrap w:val="0"/>
            <w:vAlign w:val="center"/>
          </w:tcPr>
          <w:p w14:paraId="6F5089A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14" w:type="pct"/>
            <w:shd w:val="clear" w:color="auto" w:fill="auto"/>
            <w:noWrap w:val="0"/>
            <w:vAlign w:val="center"/>
          </w:tcPr>
          <w:p w14:paraId="3EA3DAF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04" w:type="pct"/>
            <w:shd w:val="clear" w:color="auto" w:fill="auto"/>
            <w:noWrap w:val="0"/>
            <w:vAlign w:val="center"/>
          </w:tcPr>
          <w:p w14:paraId="5F7D320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0.0041</w:t>
            </w:r>
          </w:p>
        </w:tc>
        <w:tc>
          <w:tcPr>
            <w:tcW w:w="541" w:type="pct"/>
            <w:shd w:val="clear" w:color="auto" w:fill="auto"/>
            <w:noWrap w:val="0"/>
            <w:vAlign w:val="center"/>
          </w:tcPr>
          <w:p w14:paraId="16CB52C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27993A5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0.0041</w:t>
            </w:r>
          </w:p>
        </w:tc>
        <w:tc>
          <w:tcPr>
            <w:tcW w:w="484" w:type="pct"/>
            <w:shd w:val="clear" w:color="auto" w:fill="auto"/>
            <w:noWrap w:val="0"/>
            <w:vAlign w:val="center"/>
          </w:tcPr>
          <w:p w14:paraId="208947D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0.0041</w:t>
            </w:r>
          </w:p>
        </w:tc>
      </w:tr>
      <w:tr w14:paraId="4C29F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31F017F0">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top"/>
          </w:tcPr>
          <w:p w14:paraId="1052A6D1">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甲醇</w:t>
            </w:r>
          </w:p>
        </w:tc>
        <w:tc>
          <w:tcPr>
            <w:tcW w:w="493" w:type="pct"/>
            <w:shd w:val="clear" w:color="auto" w:fill="auto"/>
            <w:noWrap w:val="0"/>
            <w:vAlign w:val="center"/>
          </w:tcPr>
          <w:p w14:paraId="09E1CF6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484" w:type="pct"/>
            <w:shd w:val="clear" w:color="auto" w:fill="auto"/>
            <w:noWrap w:val="0"/>
            <w:vAlign w:val="center"/>
          </w:tcPr>
          <w:p w14:paraId="276FF92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14" w:type="pct"/>
            <w:shd w:val="clear" w:color="auto" w:fill="auto"/>
            <w:noWrap w:val="0"/>
            <w:vAlign w:val="center"/>
          </w:tcPr>
          <w:p w14:paraId="1614433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04" w:type="pct"/>
            <w:shd w:val="clear" w:color="auto" w:fill="auto"/>
            <w:noWrap w:val="0"/>
            <w:vAlign w:val="center"/>
          </w:tcPr>
          <w:p w14:paraId="75B98ED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0.0164</w:t>
            </w:r>
          </w:p>
        </w:tc>
        <w:tc>
          <w:tcPr>
            <w:tcW w:w="541" w:type="pct"/>
            <w:shd w:val="clear" w:color="auto" w:fill="auto"/>
            <w:noWrap w:val="0"/>
            <w:vAlign w:val="center"/>
          </w:tcPr>
          <w:p w14:paraId="5D63962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0FF8373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0.0164</w:t>
            </w:r>
          </w:p>
        </w:tc>
        <w:tc>
          <w:tcPr>
            <w:tcW w:w="484" w:type="pct"/>
            <w:shd w:val="clear" w:color="auto" w:fill="auto"/>
            <w:noWrap w:val="0"/>
            <w:vAlign w:val="center"/>
          </w:tcPr>
          <w:p w14:paraId="13911FD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0.0164</w:t>
            </w:r>
          </w:p>
        </w:tc>
      </w:tr>
      <w:tr w14:paraId="74166C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5243B971">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top"/>
          </w:tcPr>
          <w:p w14:paraId="2E5A4A78">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二氯甲烷</w:t>
            </w:r>
          </w:p>
        </w:tc>
        <w:tc>
          <w:tcPr>
            <w:tcW w:w="493" w:type="pct"/>
            <w:shd w:val="clear" w:color="auto" w:fill="auto"/>
            <w:noWrap w:val="0"/>
            <w:vAlign w:val="center"/>
          </w:tcPr>
          <w:p w14:paraId="51746D4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484" w:type="pct"/>
            <w:shd w:val="clear" w:color="auto" w:fill="auto"/>
            <w:noWrap w:val="0"/>
            <w:vAlign w:val="center"/>
          </w:tcPr>
          <w:p w14:paraId="0C49D69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14" w:type="pct"/>
            <w:shd w:val="clear" w:color="auto" w:fill="auto"/>
            <w:noWrap w:val="0"/>
            <w:vAlign w:val="center"/>
          </w:tcPr>
          <w:p w14:paraId="7BDF77A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04" w:type="pct"/>
            <w:shd w:val="clear" w:color="auto" w:fill="auto"/>
            <w:noWrap w:val="0"/>
            <w:vAlign w:val="center"/>
          </w:tcPr>
          <w:p w14:paraId="5207F3E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0.0035</w:t>
            </w:r>
          </w:p>
        </w:tc>
        <w:tc>
          <w:tcPr>
            <w:tcW w:w="541" w:type="pct"/>
            <w:shd w:val="clear" w:color="auto" w:fill="auto"/>
            <w:noWrap w:val="0"/>
            <w:vAlign w:val="center"/>
          </w:tcPr>
          <w:p w14:paraId="06919F8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798483C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0.0035</w:t>
            </w:r>
          </w:p>
        </w:tc>
        <w:tc>
          <w:tcPr>
            <w:tcW w:w="484" w:type="pct"/>
            <w:shd w:val="clear" w:color="auto" w:fill="auto"/>
            <w:noWrap w:val="0"/>
            <w:vAlign w:val="center"/>
          </w:tcPr>
          <w:p w14:paraId="4A2A5C85">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0.0035</w:t>
            </w:r>
          </w:p>
        </w:tc>
      </w:tr>
      <w:tr w14:paraId="35B883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71A58D67">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top"/>
          </w:tcPr>
          <w:p w14:paraId="32548AAB">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乙腈</w:t>
            </w:r>
          </w:p>
        </w:tc>
        <w:tc>
          <w:tcPr>
            <w:tcW w:w="493" w:type="pct"/>
            <w:shd w:val="clear" w:color="auto" w:fill="auto"/>
            <w:noWrap w:val="0"/>
            <w:vAlign w:val="center"/>
          </w:tcPr>
          <w:p w14:paraId="30B4E46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484" w:type="pct"/>
            <w:shd w:val="clear" w:color="auto" w:fill="auto"/>
            <w:noWrap w:val="0"/>
            <w:vAlign w:val="center"/>
          </w:tcPr>
          <w:p w14:paraId="26FFEBC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14" w:type="pct"/>
            <w:shd w:val="clear" w:color="auto" w:fill="auto"/>
            <w:noWrap w:val="0"/>
            <w:vAlign w:val="center"/>
          </w:tcPr>
          <w:p w14:paraId="0394468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04" w:type="pct"/>
            <w:shd w:val="clear" w:color="auto" w:fill="auto"/>
            <w:noWrap w:val="0"/>
            <w:vAlign w:val="center"/>
          </w:tcPr>
          <w:p w14:paraId="467512A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0.019</w:t>
            </w:r>
          </w:p>
        </w:tc>
        <w:tc>
          <w:tcPr>
            <w:tcW w:w="541" w:type="pct"/>
            <w:shd w:val="clear" w:color="auto" w:fill="auto"/>
            <w:noWrap w:val="0"/>
            <w:vAlign w:val="center"/>
          </w:tcPr>
          <w:p w14:paraId="056D946D">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1C6F428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0.019</w:t>
            </w:r>
          </w:p>
        </w:tc>
        <w:tc>
          <w:tcPr>
            <w:tcW w:w="484" w:type="pct"/>
            <w:shd w:val="clear" w:color="auto" w:fill="auto"/>
            <w:noWrap w:val="0"/>
            <w:vAlign w:val="center"/>
          </w:tcPr>
          <w:p w14:paraId="487224E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0.019</w:t>
            </w:r>
          </w:p>
        </w:tc>
      </w:tr>
      <w:tr w14:paraId="607C0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26255655">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top"/>
          </w:tcPr>
          <w:p w14:paraId="6750CC22">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氨</w:t>
            </w:r>
          </w:p>
        </w:tc>
        <w:tc>
          <w:tcPr>
            <w:tcW w:w="493" w:type="pct"/>
            <w:shd w:val="clear" w:color="auto" w:fill="auto"/>
            <w:noWrap w:val="0"/>
            <w:vAlign w:val="center"/>
          </w:tcPr>
          <w:p w14:paraId="7EA36A5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0.0004</w:t>
            </w:r>
          </w:p>
        </w:tc>
        <w:tc>
          <w:tcPr>
            <w:tcW w:w="484" w:type="pct"/>
            <w:shd w:val="clear" w:color="auto" w:fill="auto"/>
            <w:noWrap w:val="0"/>
            <w:vAlign w:val="center"/>
          </w:tcPr>
          <w:p w14:paraId="2B79389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0.0004</w:t>
            </w:r>
          </w:p>
        </w:tc>
        <w:tc>
          <w:tcPr>
            <w:tcW w:w="614" w:type="pct"/>
            <w:shd w:val="clear" w:color="auto" w:fill="auto"/>
            <w:noWrap w:val="0"/>
            <w:vAlign w:val="center"/>
          </w:tcPr>
          <w:p w14:paraId="775CAD1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0.002</w:t>
            </w:r>
          </w:p>
        </w:tc>
        <w:tc>
          <w:tcPr>
            <w:tcW w:w="604" w:type="pct"/>
            <w:shd w:val="clear" w:color="auto" w:fill="auto"/>
            <w:noWrap w:val="0"/>
            <w:vAlign w:val="center"/>
          </w:tcPr>
          <w:p w14:paraId="449E102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0.0014</w:t>
            </w:r>
          </w:p>
        </w:tc>
        <w:tc>
          <w:tcPr>
            <w:tcW w:w="541" w:type="pct"/>
            <w:shd w:val="clear" w:color="auto" w:fill="auto"/>
            <w:noWrap w:val="0"/>
            <w:vAlign w:val="center"/>
          </w:tcPr>
          <w:p w14:paraId="0BFDF39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-0.0059</w:t>
            </w:r>
          </w:p>
        </w:tc>
        <w:tc>
          <w:tcPr>
            <w:tcW w:w="595" w:type="pct"/>
            <w:shd w:val="clear" w:color="auto" w:fill="auto"/>
            <w:noWrap w:val="0"/>
            <w:vAlign w:val="center"/>
          </w:tcPr>
          <w:p w14:paraId="278E335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0.0097</w:t>
            </w:r>
          </w:p>
        </w:tc>
        <w:tc>
          <w:tcPr>
            <w:tcW w:w="484" w:type="pct"/>
            <w:shd w:val="clear" w:color="auto" w:fill="auto"/>
            <w:noWrap w:val="0"/>
            <w:vAlign w:val="center"/>
          </w:tcPr>
          <w:p w14:paraId="4E9926D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0.0073</w:t>
            </w:r>
          </w:p>
        </w:tc>
      </w:tr>
      <w:tr w14:paraId="2BBC44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188C0CBC">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top"/>
          </w:tcPr>
          <w:p w14:paraId="5171B119">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乙酸</w:t>
            </w:r>
          </w:p>
        </w:tc>
        <w:tc>
          <w:tcPr>
            <w:tcW w:w="493" w:type="pct"/>
            <w:shd w:val="clear" w:color="auto" w:fill="auto"/>
            <w:noWrap w:val="0"/>
            <w:vAlign w:val="center"/>
          </w:tcPr>
          <w:p w14:paraId="55230B2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484" w:type="pct"/>
            <w:shd w:val="clear" w:color="auto" w:fill="auto"/>
            <w:noWrap w:val="0"/>
            <w:vAlign w:val="center"/>
          </w:tcPr>
          <w:p w14:paraId="076DBCD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14" w:type="pct"/>
            <w:shd w:val="clear" w:color="auto" w:fill="auto"/>
            <w:noWrap w:val="0"/>
            <w:vAlign w:val="center"/>
          </w:tcPr>
          <w:p w14:paraId="0F35CCC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04" w:type="pct"/>
            <w:shd w:val="clear" w:color="auto" w:fill="auto"/>
            <w:noWrap w:val="0"/>
            <w:vAlign w:val="center"/>
          </w:tcPr>
          <w:p w14:paraId="6D0C649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0.001</w:t>
            </w:r>
          </w:p>
        </w:tc>
        <w:tc>
          <w:tcPr>
            <w:tcW w:w="541" w:type="pct"/>
            <w:shd w:val="clear" w:color="auto" w:fill="auto"/>
            <w:noWrap w:val="0"/>
            <w:vAlign w:val="center"/>
          </w:tcPr>
          <w:p w14:paraId="16BA132E">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076A441C">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0.001</w:t>
            </w:r>
          </w:p>
        </w:tc>
        <w:tc>
          <w:tcPr>
            <w:tcW w:w="484" w:type="pct"/>
            <w:shd w:val="clear" w:color="auto" w:fill="auto"/>
            <w:noWrap w:val="0"/>
            <w:vAlign w:val="center"/>
          </w:tcPr>
          <w:p w14:paraId="0822C450">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0.001</w:t>
            </w:r>
          </w:p>
        </w:tc>
      </w:tr>
      <w:tr w14:paraId="4CF50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3837DE48">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top"/>
          </w:tcPr>
          <w:p w14:paraId="1000F929">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甲酸</w:t>
            </w:r>
          </w:p>
        </w:tc>
        <w:tc>
          <w:tcPr>
            <w:tcW w:w="493" w:type="pct"/>
            <w:shd w:val="clear" w:color="auto" w:fill="auto"/>
            <w:noWrap w:val="0"/>
            <w:vAlign w:val="center"/>
          </w:tcPr>
          <w:p w14:paraId="6A8EFEF2">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484" w:type="pct"/>
            <w:shd w:val="clear" w:color="auto" w:fill="auto"/>
            <w:noWrap w:val="0"/>
            <w:vAlign w:val="center"/>
          </w:tcPr>
          <w:p w14:paraId="717BCED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14" w:type="pct"/>
            <w:shd w:val="clear" w:color="auto" w:fill="auto"/>
            <w:noWrap w:val="0"/>
            <w:vAlign w:val="center"/>
          </w:tcPr>
          <w:p w14:paraId="6AE15DA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04" w:type="pct"/>
            <w:shd w:val="clear" w:color="auto" w:fill="auto"/>
            <w:noWrap w:val="0"/>
            <w:vAlign w:val="center"/>
          </w:tcPr>
          <w:p w14:paraId="28FFC62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0.0004</w:t>
            </w:r>
          </w:p>
        </w:tc>
        <w:tc>
          <w:tcPr>
            <w:tcW w:w="541" w:type="pct"/>
            <w:shd w:val="clear" w:color="auto" w:fill="auto"/>
            <w:noWrap w:val="0"/>
            <w:vAlign w:val="center"/>
          </w:tcPr>
          <w:p w14:paraId="4244E86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595" w:type="pct"/>
            <w:shd w:val="clear" w:color="auto" w:fill="auto"/>
            <w:noWrap w:val="0"/>
            <w:vAlign w:val="center"/>
          </w:tcPr>
          <w:p w14:paraId="45D62F1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0.0004</w:t>
            </w:r>
          </w:p>
        </w:tc>
        <w:tc>
          <w:tcPr>
            <w:tcW w:w="484" w:type="pct"/>
            <w:shd w:val="clear" w:color="auto" w:fill="auto"/>
            <w:noWrap w:val="0"/>
            <w:vAlign w:val="center"/>
          </w:tcPr>
          <w:p w14:paraId="5AF074E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0.0004</w:t>
            </w:r>
          </w:p>
        </w:tc>
      </w:tr>
      <w:tr w14:paraId="48653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21C34333">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eastAsia="zh-CN"/>
              </w:rPr>
            </w:pPr>
          </w:p>
        </w:tc>
        <w:tc>
          <w:tcPr>
            <w:tcW w:w="789" w:type="pct"/>
            <w:shd w:val="clear" w:color="auto" w:fill="auto"/>
            <w:noWrap w:val="0"/>
            <w:vAlign w:val="top"/>
          </w:tcPr>
          <w:p w14:paraId="69A1913E">
            <w:pPr>
              <w:keepNext w:val="0"/>
              <w:keepLines w:val="0"/>
              <w:pageBreakBefore w:val="0"/>
              <w:widowControl w:val="0"/>
              <w:kinsoku/>
              <w:wordWrap/>
              <w:overflowPunct/>
              <w:topLinePunct w:val="0"/>
              <w:autoSpaceDE/>
              <w:autoSpaceDN/>
              <w:bidi w:val="0"/>
              <w:spacing w:line="240" w:lineRule="exact"/>
              <w:jc w:val="center"/>
              <w:textAlignment w:val="auto"/>
              <w:rPr>
                <w:rFonts w:hint="eastAsia" w:ascii="宋体" w:hAnsi="宋体" w:eastAsia="宋体" w:cs="Times New Roman"/>
                <w:color w:val="auto"/>
                <w:kern w:val="2"/>
                <w:sz w:val="21"/>
                <w:szCs w:val="24"/>
                <w:lang w:val="en-US" w:eastAsia="zh-CN" w:bidi="ar-SA"/>
              </w:rPr>
            </w:pPr>
            <w:r>
              <w:rPr>
                <w:rFonts w:hint="eastAsia" w:ascii="宋体" w:hAnsi="宋体"/>
                <w:color w:val="auto"/>
                <w:sz w:val="21"/>
                <w:szCs w:val="24"/>
              </w:rPr>
              <w:t>硫化氢</w:t>
            </w:r>
          </w:p>
        </w:tc>
        <w:tc>
          <w:tcPr>
            <w:tcW w:w="493" w:type="pct"/>
            <w:shd w:val="clear" w:color="auto" w:fill="auto"/>
            <w:noWrap w:val="0"/>
            <w:vAlign w:val="center"/>
          </w:tcPr>
          <w:p w14:paraId="7730DA2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484" w:type="pct"/>
            <w:shd w:val="clear" w:color="auto" w:fill="auto"/>
            <w:noWrap w:val="0"/>
            <w:vAlign w:val="center"/>
          </w:tcPr>
          <w:p w14:paraId="63CF849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14" w:type="pct"/>
            <w:shd w:val="clear" w:color="auto" w:fill="auto"/>
            <w:noWrap w:val="0"/>
            <w:vAlign w:val="center"/>
          </w:tcPr>
          <w:p w14:paraId="3675B69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lang w:val="en-US" w:eastAsia="zh-CN"/>
              </w:rPr>
              <w:t>0</w:t>
            </w:r>
          </w:p>
        </w:tc>
        <w:tc>
          <w:tcPr>
            <w:tcW w:w="604" w:type="pct"/>
            <w:shd w:val="clear" w:color="auto" w:fill="auto"/>
            <w:noWrap w:val="0"/>
            <w:vAlign w:val="center"/>
          </w:tcPr>
          <w:p w14:paraId="146CB456">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0.00004</w:t>
            </w:r>
          </w:p>
        </w:tc>
        <w:tc>
          <w:tcPr>
            <w:tcW w:w="541" w:type="pct"/>
            <w:shd w:val="clear" w:color="auto" w:fill="auto"/>
            <w:noWrap w:val="0"/>
            <w:vAlign w:val="center"/>
          </w:tcPr>
          <w:p w14:paraId="17DF6AE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highlight w:val="none"/>
                <w:lang w:val="en-US" w:eastAsia="zh-CN"/>
              </w:rPr>
              <w:t>-0.00024</w:t>
            </w:r>
          </w:p>
        </w:tc>
        <w:tc>
          <w:tcPr>
            <w:tcW w:w="595" w:type="pct"/>
            <w:shd w:val="clear" w:color="auto" w:fill="auto"/>
            <w:noWrap w:val="0"/>
            <w:vAlign w:val="center"/>
          </w:tcPr>
          <w:p w14:paraId="236BA25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0.00028</w:t>
            </w:r>
          </w:p>
        </w:tc>
        <w:tc>
          <w:tcPr>
            <w:tcW w:w="484" w:type="pct"/>
            <w:shd w:val="clear" w:color="auto" w:fill="auto"/>
            <w:noWrap w:val="0"/>
            <w:vAlign w:val="center"/>
          </w:tcPr>
          <w:p w14:paraId="71F3D27B">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0.00028</w:t>
            </w:r>
          </w:p>
        </w:tc>
      </w:tr>
      <w:tr w14:paraId="1DBD7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restart"/>
            <w:noWrap w:val="0"/>
            <w:vAlign w:val="center"/>
          </w:tcPr>
          <w:p w14:paraId="0A97A8E8">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r>
              <w:rPr>
                <w:rFonts w:ascii="Times New Roman" w:hAnsi="Times New Roman" w:eastAsia="宋体"/>
                <w:snapToGrid w:val="0"/>
                <w:color w:val="auto"/>
                <w:kern w:val="21"/>
                <w:sz w:val="21"/>
                <w:szCs w:val="21"/>
                <w:highlight w:val="none"/>
              </w:rPr>
              <w:t>一般固体废物</w:t>
            </w:r>
          </w:p>
        </w:tc>
        <w:tc>
          <w:tcPr>
            <w:tcW w:w="789" w:type="pct"/>
            <w:noWrap w:val="0"/>
            <w:vAlign w:val="center"/>
          </w:tcPr>
          <w:p w14:paraId="02498DB3">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废药渣及中药材粉末</w:t>
            </w:r>
          </w:p>
        </w:tc>
        <w:tc>
          <w:tcPr>
            <w:tcW w:w="493" w:type="pct"/>
            <w:noWrap w:val="0"/>
            <w:vAlign w:val="center"/>
          </w:tcPr>
          <w:p w14:paraId="24056F6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0.2</w:t>
            </w:r>
          </w:p>
        </w:tc>
        <w:tc>
          <w:tcPr>
            <w:tcW w:w="484" w:type="pct"/>
            <w:shd w:val="clear" w:color="auto" w:fill="auto"/>
            <w:noWrap w:val="0"/>
            <w:vAlign w:val="center"/>
          </w:tcPr>
          <w:p w14:paraId="2C3A809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0.2</w:t>
            </w:r>
          </w:p>
        </w:tc>
        <w:tc>
          <w:tcPr>
            <w:tcW w:w="614" w:type="pct"/>
            <w:noWrap w:val="0"/>
            <w:vAlign w:val="center"/>
          </w:tcPr>
          <w:p w14:paraId="5AD61992">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04" w:type="pct"/>
            <w:noWrap w:val="0"/>
            <w:vAlign w:val="center"/>
          </w:tcPr>
          <w:p w14:paraId="74AED22F">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w:t>
            </w:r>
          </w:p>
        </w:tc>
        <w:tc>
          <w:tcPr>
            <w:tcW w:w="541" w:type="pct"/>
            <w:shd w:val="clear" w:color="auto" w:fill="auto"/>
            <w:noWrap w:val="0"/>
            <w:vAlign w:val="center"/>
          </w:tcPr>
          <w:p w14:paraId="70CC167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0.1</w:t>
            </w:r>
          </w:p>
        </w:tc>
        <w:tc>
          <w:tcPr>
            <w:tcW w:w="595" w:type="pct"/>
            <w:shd w:val="clear" w:color="auto" w:fill="auto"/>
            <w:noWrap w:val="0"/>
            <w:vAlign w:val="top"/>
          </w:tcPr>
          <w:p w14:paraId="108463B0">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s="Times New Roman"/>
                <w:color w:val="auto"/>
                <w:kern w:val="2"/>
                <w:sz w:val="21"/>
                <w:szCs w:val="24"/>
                <w:lang w:val="en-US" w:eastAsia="zh-CN" w:bidi="ar-SA"/>
              </w:rPr>
              <w:t>0.1</w:t>
            </w:r>
          </w:p>
        </w:tc>
        <w:tc>
          <w:tcPr>
            <w:tcW w:w="484" w:type="pct"/>
            <w:shd w:val="clear" w:color="auto" w:fill="auto"/>
            <w:noWrap w:val="0"/>
            <w:vAlign w:val="top"/>
          </w:tcPr>
          <w:p w14:paraId="4D39E87F">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s="Times New Roman"/>
                <w:color w:val="auto"/>
                <w:kern w:val="2"/>
                <w:sz w:val="21"/>
                <w:szCs w:val="24"/>
                <w:lang w:val="en-US" w:eastAsia="zh-CN" w:bidi="ar-SA"/>
              </w:rPr>
              <w:t>-0.1</w:t>
            </w:r>
          </w:p>
        </w:tc>
      </w:tr>
      <w:tr w14:paraId="151BE6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7AEEB7A3">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p>
        </w:tc>
        <w:tc>
          <w:tcPr>
            <w:tcW w:w="789" w:type="pct"/>
            <w:noWrap w:val="0"/>
            <w:vAlign w:val="center"/>
          </w:tcPr>
          <w:p w14:paraId="4D95BA57">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废滤芯</w:t>
            </w:r>
          </w:p>
        </w:tc>
        <w:tc>
          <w:tcPr>
            <w:tcW w:w="493" w:type="pct"/>
            <w:noWrap w:val="0"/>
            <w:vAlign w:val="center"/>
          </w:tcPr>
          <w:p w14:paraId="47481DA6">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0.02</w:t>
            </w:r>
          </w:p>
        </w:tc>
        <w:tc>
          <w:tcPr>
            <w:tcW w:w="484" w:type="pct"/>
            <w:shd w:val="clear" w:color="auto" w:fill="auto"/>
            <w:noWrap w:val="0"/>
            <w:vAlign w:val="center"/>
          </w:tcPr>
          <w:p w14:paraId="46271AF3">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0.02</w:t>
            </w:r>
          </w:p>
        </w:tc>
        <w:tc>
          <w:tcPr>
            <w:tcW w:w="614" w:type="pct"/>
            <w:noWrap w:val="0"/>
            <w:vAlign w:val="center"/>
          </w:tcPr>
          <w:p w14:paraId="57C7AE50">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04" w:type="pct"/>
            <w:noWrap w:val="0"/>
            <w:vAlign w:val="center"/>
          </w:tcPr>
          <w:p w14:paraId="07AB9C2C">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0.1</w:t>
            </w:r>
          </w:p>
        </w:tc>
        <w:tc>
          <w:tcPr>
            <w:tcW w:w="541" w:type="pct"/>
            <w:shd w:val="clear" w:color="auto" w:fill="auto"/>
            <w:noWrap w:val="0"/>
            <w:vAlign w:val="center"/>
          </w:tcPr>
          <w:p w14:paraId="14523F63">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0.02</w:t>
            </w:r>
          </w:p>
        </w:tc>
        <w:tc>
          <w:tcPr>
            <w:tcW w:w="595" w:type="pct"/>
            <w:shd w:val="clear" w:color="auto" w:fill="auto"/>
            <w:noWrap w:val="0"/>
            <w:vAlign w:val="top"/>
          </w:tcPr>
          <w:p w14:paraId="11105C91">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0.1</w:t>
            </w:r>
          </w:p>
        </w:tc>
        <w:tc>
          <w:tcPr>
            <w:tcW w:w="484" w:type="pct"/>
            <w:shd w:val="clear" w:color="auto" w:fill="auto"/>
            <w:noWrap w:val="0"/>
            <w:vAlign w:val="top"/>
          </w:tcPr>
          <w:p w14:paraId="7FC23DA2">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0.08</w:t>
            </w:r>
          </w:p>
        </w:tc>
      </w:tr>
      <w:tr w14:paraId="1BF63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5CB57117">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p>
        </w:tc>
        <w:tc>
          <w:tcPr>
            <w:tcW w:w="789" w:type="pct"/>
            <w:noWrap w:val="0"/>
            <w:vAlign w:val="center"/>
          </w:tcPr>
          <w:p w14:paraId="5CE09CB0">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废包装材料</w:t>
            </w:r>
          </w:p>
        </w:tc>
        <w:tc>
          <w:tcPr>
            <w:tcW w:w="493" w:type="pct"/>
            <w:noWrap w:val="0"/>
            <w:vAlign w:val="center"/>
          </w:tcPr>
          <w:p w14:paraId="2AD8A877">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0</w:t>
            </w:r>
            <w:r>
              <w:rPr>
                <w:rFonts w:hint="eastAsia"/>
                <w:color w:val="auto"/>
                <w:sz w:val="21"/>
                <w:szCs w:val="21"/>
                <w:highlight w:val="none"/>
                <w:lang w:val="en-US" w:eastAsia="zh-CN"/>
              </w:rPr>
              <w:t>.5</w:t>
            </w:r>
          </w:p>
        </w:tc>
        <w:tc>
          <w:tcPr>
            <w:tcW w:w="484" w:type="pct"/>
            <w:shd w:val="clear" w:color="auto" w:fill="auto"/>
            <w:noWrap w:val="0"/>
            <w:vAlign w:val="center"/>
          </w:tcPr>
          <w:p w14:paraId="5BC263AF">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0</w:t>
            </w:r>
            <w:r>
              <w:rPr>
                <w:rFonts w:hint="eastAsia"/>
                <w:color w:val="auto"/>
                <w:sz w:val="21"/>
                <w:szCs w:val="21"/>
                <w:highlight w:val="none"/>
                <w:lang w:val="en-US" w:eastAsia="zh-CN"/>
              </w:rPr>
              <w:t>.5</w:t>
            </w:r>
          </w:p>
        </w:tc>
        <w:tc>
          <w:tcPr>
            <w:tcW w:w="614" w:type="pct"/>
            <w:noWrap w:val="0"/>
            <w:vAlign w:val="center"/>
          </w:tcPr>
          <w:p w14:paraId="492ED695">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04" w:type="pct"/>
            <w:noWrap w:val="0"/>
            <w:vAlign w:val="center"/>
          </w:tcPr>
          <w:p w14:paraId="5C3EE32E">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w:t>
            </w:r>
          </w:p>
        </w:tc>
        <w:tc>
          <w:tcPr>
            <w:tcW w:w="541" w:type="pct"/>
            <w:shd w:val="clear" w:color="auto" w:fill="auto"/>
            <w:noWrap w:val="0"/>
            <w:vAlign w:val="center"/>
          </w:tcPr>
          <w:p w14:paraId="4C2ADEA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0.5</w:t>
            </w:r>
          </w:p>
        </w:tc>
        <w:tc>
          <w:tcPr>
            <w:tcW w:w="595" w:type="pct"/>
            <w:shd w:val="clear" w:color="auto" w:fill="auto"/>
            <w:noWrap w:val="0"/>
            <w:vAlign w:val="top"/>
          </w:tcPr>
          <w:p w14:paraId="1FACA8F1">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1</w:t>
            </w:r>
          </w:p>
        </w:tc>
        <w:tc>
          <w:tcPr>
            <w:tcW w:w="484" w:type="pct"/>
            <w:shd w:val="clear" w:color="auto" w:fill="auto"/>
            <w:noWrap w:val="0"/>
            <w:vAlign w:val="top"/>
          </w:tcPr>
          <w:p w14:paraId="628C5CC7">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0.5</w:t>
            </w:r>
          </w:p>
        </w:tc>
      </w:tr>
      <w:tr w14:paraId="7D1E9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restart"/>
            <w:noWrap w:val="0"/>
            <w:vAlign w:val="center"/>
          </w:tcPr>
          <w:p w14:paraId="7D4AD7E6">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r>
              <w:rPr>
                <w:rFonts w:ascii="Times New Roman" w:hAnsi="Times New Roman" w:eastAsia="宋体"/>
                <w:snapToGrid w:val="0"/>
                <w:color w:val="auto"/>
                <w:kern w:val="21"/>
                <w:sz w:val="21"/>
                <w:szCs w:val="21"/>
                <w:highlight w:val="none"/>
              </w:rPr>
              <w:t>危险废物</w:t>
            </w:r>
          </w:p>
        </w:tc>
        <w:tc>
          <w:tcPr>
            <w:tcW w:w="789" w:type="pct"/>
            <w:noWrap w:val="0"/>
            <w:vAlign w:val="center"/>
          </w:tcPr>
          <w:p w14:paraId="7B415352">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废液及废料</w:t>
            </w:r>
          </w:p>
        </w:tc>
        <w:tc>
          <w:tcPr>
            <w:tcW w:w="493" w:type="pct"/>
            <w:noWrap w:val="0"/>
            <w:vAlign w:val="center"/>
          </w:tcPr>
          <w:p w14:paraId="38EC1C6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37.12</w:t>
            </w:r>
          </w:p>
        </w:tc>
        <w:tc>
          <w:tcPr>
            <w:tcW w:w="484" w:type="pct"/>
            <w:shd w:val="clear" w:color="auto" w:fill="auto"/>
            <w:noWrap w:val="0"/>
            <w:vAlign w:val="center"/>
          </w:tcPr>
          <w:p w14:paraId="31B7AFE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37.12</w:t>
            </w:r>
          </w:p>
        </w:tc>
        <w:tc>
          <w:tcPr>
            <w:tcW w:w="614" w:type="pct"/>
            <w:noWrap w:val="0"/>
            <w:vAlign w:val="center"/>
          </w:tcPr>
          <w:p w14:paraId="484C7E0D">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w:t>
            </w:r>
          </w:p>
        </w:tc>
        <w:tc>
          <w:tcPr>
            <w:tcW w:w="604" w:type="pct"/>
            <w:noWrap w:val="0"/>
            <w:vAlign w:val="center"/>
          </w:tcPr>
          <w:p w14:paraId="258A2B46">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113.804</w:t>
            </w:r>
          </w:p>
        </w:tc>
        <w:tc>
          <w:tcPr>
            <w:tcW w:w="541" w:type="pct"/>
            <w:shd w:val="clear" w:color="auto" w:fill="auto"/>
            <w:noWrap w:val="0"/>
            <w:vAlign w:val="center"/>
          </w:tcPr>
          <w:p w14:paraId="03949C01">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19.87</w:t>
            </w:r>
          </w:p>
        </w:tc>
        <w:tc>
          <w:tcPr>
            <w:tcW w:w="595" w:type="pct"/>
            <w:shd w:val="clear" w:color="auto" w:fill="auto"/>
            <w:noWrap w:val="0"/>
            <w:vAlign w:val="top"/>
          </w:tcPr>
          <w:p w14:paraId="1083CF76">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142.054</w:t>
            </w:r>
          </w:p>
        </w:tc>
        <w:tc>
          <w:tcPr>
            <w:tcW w:w="484" w:type="pct"/>
            <w:shd w:val="clear" w:color="auto" w:fill="auto"/>
            <w:noWrap w:val="0"/>
            <w:vAlign w:val="top"/>
          </w:tcPr>
          <w:p w14:paraId="57B4FA6F">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93.934</w:t>
            </w:r>
          </w:p>
        </w:tc>
      </w:tr>
      <w:tr w14:paraId="4A943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4D4AED96">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p>
        </w:tc>
        <w:tc>
          <w:tcPr>
            <w:tcW w:w="789" w:type="pct"/>
            <w:noWrap w:val="0"/>
            <w:vAlign w:val="center"/>
          </w:tcPr>
          <w:p w14:paraId="5D2B4D7E">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eastAsia="zh-CN"/>
              </w:rPr>
              <w:t>报废药品及过期原辅料</w:t>
            </w:r>
          </w:p>
        </w:tc>
        <w:tc>
          <w:tcPr>
            <w:tcW w:w="493" w:type="pct"/>
            <w:noWrap w:val="0"/>
            <w:vAlign w:val="center"/>
          </w:tcPr>
          <w:p w14:paraId="27EB2C63">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1.1</w:t>
            </w:r>
          </w:p>
        </w:tc>
        <w:tc>
          <w:tcPr>
            <w:tcW w:w="484" w:type="pct"/>
            <w:shd w:val="clear" w:color="auto" w:fill="auto"/>
            <w:noWrap w:val="0"/>
            <w:vAlign w:val="center"/>
          </w:tcPr>
          <w:p w14:paraId="47CADF9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1.1</w:t>
            </w:r>
          </w:p>
        </w:tc>
        <w:tc>
          <w:tcPr>
            <w:tcW w:w="614" w:type="pct"/>
            <w:noWrap w:val="0"/>
            <w:vAlign w:val="center"/>
          </w:tcPr>
          <w:p w14:paraId="15C14F27">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0.005</w:t>
            </w:r>
          </w:p>
        </w:tc>
        <w:tc>
          <w:tcPr>
            <w:tcW w:w="604" w:type="pct"/>
            <w:noWrap w:val="0"/>
            <w:vAlign w:val="center"/>
          </w:tcPr>
          <w:p w14:paraId="3DC3E916">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w:t>
            </w:r>
          </w:p>
        </w:tc>
        <w:tc>
          <w:tcPr>
            <w:tcW w:w="541" w:type="pct"/>
            <w:shd w:val="clear" w:color="auto" w:fill="auto"/>
            <w:noWrap w:val="0"/>
            <w:vAlign w:val="center"/>
          </w:tcPr>
          <w:p w14:paraId="564FEEEF">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0.55</w:t>
            </w:r>
          </w:p>
        </w:tc>
        <w:tc>
          <w:tcPr>
            <w:tcW w:w="595" w:type="pct"/>
            <w:shd w:val="clear" w:color="auto" w:fill="auto"/>
            <w:noWrap w:val="0"/>
            <w:vAlign w:val="top"/>
          </w:tcPr>
          <w:p w14:paraId="5B35640D">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0.555</w:t>
            </w:r>
          </w:p>
        </w:tc>
        <w:tc>
          <w:tcPr>
            <w:tcW w:w="484" w:type="pct"/>
            <w:shd w:val="clear" w:color="auto" w:fill="auto"/>
            <w:noWrap w:val="0"/>
            <w:vAlign w:val="top"/>
          </w:tcPr>
          <w:p w14:paraId="6F26F8D2">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-0.55</w:t>
            </w:r>
          </w:p>
        </w:tc>
      </w:tr>
      <w:tr w14:paraId="57090C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55215B95">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p>
        </w:tc>
        <w:tc>
          <w:tcPr>
            <w:tcW w:w="789" w:type="pct"/>
            <w:noWrap w:val="0"/>
            <w:vAlign w:val="center"/>
          </w:tcPr>
          <w:p w14:paraId="0ED7A8F8">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废实验用品</w:t>
            </w:r>
          </w:p>
        </w:tc>
        <w:tc>
          <w:tcPr>
            <w:tcW w:w="493" w:type="pct"/>
            <w:noWrap w:val="0"/>
            <w:vAlign w:val="center"/>
          </w:tcPr>
          <w:p w14:paraId="65301279">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10.2</w:t>
            </w:r>
          </w:p>
        </w:tc>
        <w:tc>
          <w:tcPr>
            <w:tcW w:w="484" w:type="pct"/>
            <w:shd w:val="clear" w:color="auto" w:fill="auto"/>
            <w:noWrap w:val="0"/>
            <w:vAlign w:val="center"/>
          </w:tcPr>
          <w:p w14:paraId="3E7930BC">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10.2</w:t>
            </w:r>
          </w:p>
        </w:tc>
        <w:tc>
          <w:tcPr>
            <w:tcW w:w="614" w:type="pct"/>
            <w:noWrap w:val="0"/>
            <w:vAlign w:val="center"/>
          </w:tcPr>
          <w:p w14:paraId="79C51EB9">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0.115</w:t>
            </w:r>
          </w:p>
        </w:tc>
        <w:tc>
          <w:tcPr>
            <w:tcW w:w="604" w:type="pct"/>
            <w:noWrap w:val="0"/>
            <w:vAlign w:val="center"/>
          </w:tcPr>
          <w:p w14:paraId="4BFA2F1A">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w:t>
            </w:r>
          </w:p>
        </w:tc>
        <w:tc>
          <w:tcPr>
            <w:tcW w:w="541" w:type="pct"/>
            <w:shd w:val="clear" w:color="auto" w:fill="auto"/>
            <w:noWrap w:val="0"/>
            <w:vAlign w:val="center"/>
          </w:tcPr>
          <w:p w14:paraId="4F5510A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5.2</w:t>
            </w:r>
          </w:p>
        </w:tc>
        <w:tc>
          <w:tcPr>
            <w:tcW w:w="595" w:type="pct"/>
            <w:shd w:val="clear" w:color="auto" w:fill="auto"/>
            <w:noWrap w:val="0"/>
            <w:vAlign w:val="top"/>
          </w:tcPr>
          <w:p w14:paraId="0368B946">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9.115</w:t>
            </w:r>
          </w:p>
        </w:tc>
        <w:tc>
          <w:tcPr>
            <w:tcW w:w="484" w:type="pct"/>
            <w:shd w:val="clear" w:color="auto" w:fill="auto"/>
            <w:noWrap w:val="0"/>
            <w:vAlign w:val="top"/>
          </w:tcPr>
          <w:p w14:paraId="6AF6021A">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-1.2</w:t>
            </w:r>
          </w:p>
        </w:tc>
      </w:tr>
      <w:tr w14:paraId="1FFDA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5C0444E0">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p>
        </w:tc>
        <w:tc>
          <w:tcPr>
            <w:tcW w:w="789" w:type="pct"/>
            <w:noWrap w:val="0"/>
            <w:vAlign w:val="center"/>
          </w:tcPr>
          <w:p w14:paraId="4738C19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eastAsia="zh-CN"/>
              </w:rPr>
              <w:t>废试剂包装</w:t>
            </w:r>
          </w:p>
        </w:tc>
        <w:tc>
          <w:tcPr>
            <w:tcW w:w="493" w:type="pct"/>
            <w:noWrap w:val="0"/>
            <w:vAlign w:val="center"/>
          </w:tcPr>
          <w:p w14:paraId="46EFEF2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10.5</w:t>
            </w:r>
          </w:p>
        </w:tc>
        <w:tc>
          <w:tcPr>
            <w:tcW w:w="484" w:type="pct"/>
            <w:shd w:val="clear" w:color="auto" w:fill="auto"/>
            <w:noWrap w:val="0"/>
            <w:vAlign w:val="center"/>
          </w:tcPr>
          <w:p w14:paraId="6945B1C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10.5</w:t>
            </w:r>
          </w:p>
        </w:tc>
        <w:tc>
          <w:tcPr>
            <w:tcW w:w="614" w:type="pct"/>
            <w:noWrap w:val="0"/>
            <w:vAlign w:val="center"/>
          </w:tcPr>
          <w:p w14:paraId="089EBAC7">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w:t>
            </w:r>
          </w:p>
        </w:tc>
        <w:tc>
          <w:tcPr>
            <w:tcW w:w="604" w:type="pct"/>
            <w:noWrap w:val="0"/>
            <w:vAlign w:val="center"/>
          </w:tcPr>
          <w:p w14:paraId="770F6724">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w:t>
            </w:r>
          </w:p>
        </w:tc>
        <w:tc>
          <w:tcPr>
            <w:tcW w:w="541" w:type="pct"/>
            <w:shd w:val="clear" w:color="auto" w:fill="auto"/>
            <w:noWrap w:val="0"/>
            <w:vAlign w:val="center"/>
          </w:tcPr>
          <w:p w14:paraId="3F8C4598">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5.25</w:t>
            </w:r>
          </w:p>
        </w:tc>
        <w:tc>
          <w:tcPr>
            <w:tcW w:w="595" w:type="pct"/>
            <w:shd w:val="clear" w:color="auto" w:fill="auto"/>
            <w:noWrap w:val="0"/>
            <w:vAlign w:val="top"/>
          </w:tcPr>
          <w:p w14:paraId="7CF3BB84">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6.3</w:t>
            </w:r>
          </w:p>
        </w:tc>
        <w:tc>
          <w:tcPr>
            <w:tcW w:w="484" w:type="pct"/>
            <w:shd w:val="clear" w:color="auto" w:fill="auto"/>
            <w:noWrap w:val="0"/>
            <w:vAlign w:val="top"/>
          </w:tcPr>
          <w:p w14:paraId="47253602">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-4.25</w:t>
            </w:r>
          </w:p>
        </w:tc>
      </w:tr>
      <w:tr w14:paraId="1BF28C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6AD99A22">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p>
        </w:tc>
        <w:tc>
          <w:tcPr>
            <w:tcW w:w="789" w:type="pct"/>
            <w:noWrap w:val="0"/>
            <w:vAlign w:val="center"/>
          </w:tcPr>
          <w:p w14:paraId="440F20C3">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废过滤器</w:t>
            </w:r>
          </w:p>
        </w:tc>
        <w:tc>
          <w:tcPr>
            <w:tcW w:w="493" w:type="pct"/>
            <w:noWrap w:val="0"/>
            <w:vAlign w:val="center"/>
          </w:tcPr>
          <w:p w14:paraId="4729C8B2">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0.07</w:t>
            </w:r>
          </w:p>
        </w:tc>
        <w:tc>
          <w:tcPr>
            <w:tcW w:w="484" w:type="pct"/>
            <w:shd w:val="clear" w:color="auto" w:fill="auto"/>
            <w:noWrap w:val="0"/>
            <w:vAlign w:val="center"/>
          </w:tcPr>
          <w:p w14:paraId="588A56AA">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0.07</w:t>
            </w:r>
          </w:p>
        </w:tc>
        <w:tc>
          <w:tcPr>
            <w:tcW w:w="614" w:type="pct"/>
            <w:noWrap w:val="0"/>
            <w:vAlign w:val="center"/>
          </w:tcPr>
          <w:p w14:paraId="7299BDDF">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04" w:type="pct"/>
            <w:noWrap w:val="0"/>
            <w:vAlign w:val="center"/>
          </w:tcPr>
          <w:p w14:paraId="5F02A727">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0.07</w:t>
            </w:r>
          </w:p>
        </w:tc>
        <w:tc>
          <w:tcPr>
            <w:tcW w:w="541" w:type="pct"/>
            <w:shd w:val="clear" w:color="auto" w:fill="auto"/>
            <w:noWrap w:val="0"/>
            <w:vAlign w:val="center"/>
          </w:tcPr>
          <w:p w14:paraId="11CE754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0.07</w:t>
            </w:r>
          </w:p>
        </w:tc>
        <w:tc>
          <w:tcPr>
            <w:tcW w:w="595" w:type="pct"/>
            <w:shd w:val="clear" w:color="auto" w:fill="auto"/>
            <w:noWrap w:val="0"/>
            <w:vAlign w:val="top"/>
          </w:tcPr>
          <w:p w14:paraId="4BA6A3A7">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0.07</w:t>
            </w:r>
          </w:p>
        </w:tc>
        <w:tc>
          <w:tcPr>
            <w:tcW w:w="484" w:type="pct"/>
            <w:shd w:val="clear" w:color="auto" w:fill="auto"/>
            <w:noWrap w:val="0"/>
            <w:vAlign w:val="top"/>
          </w:tcPr>
          <w:p w14:paraId="50556553">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0</w:t>
            </w:r>
          </w:p>
        </w:tc>
      </w:tr>
      <w:tr w14:paraId="113BBB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0C0C6173">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p>
        </w:tc>
        <w:tc>
          <w:tcPr>
            <w:tcW w:w="789" w:type="pct"/>
            <w:tcBorders>
              <w:top w:val="single" w:color="auto" w:sz="4" w:space="0"/>
              <w:left w:val="single" w:color="auto" w:sz="4" w:space="0"/>
              <w:bottom w:val="single" w:color="auto" w:sz="4" w:space="0"/>
              <w:right w:val="single" w:color="auto" w:sz="4" w:space="0"/>
            </w:tcBorders>
            <w:noWrap w:val="0"/>
            <w:vAlign w:val="center"/>
          </w:tcPr>
          <w:p w14:paraId="71ACEEA7">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污水处理站污泥</w:t>
            </w:r>
          </w:p>
        </w:tc>
        <w:tc>
          <w:tcPr>
            <w:tcW w:w="493" w:type="pct"/>
            <w:noWrap w:val="0"/>
            <w:vAlign w:val="center"/>
          </w:tcPr>
          <w:p w14:paraId="0257C27B">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w:t>
            </w:r>
          </w:p>
        </w:tc>
        <w:tc>
          <w:tcPr>
            <w:tcW w:w="484" w:type="pct"/>
            <w:shd w:val="clear" w:color="auto" w:fill="auto"/>
            <w:noWrap w:val="0"/>
            <w:vAlign w:val="center"/>
          </w:tcPr>
          <w:p w14:paraId="25664AD8">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w:t>
            </w:r>
          </w:p>
        </w:tc>
        <w:tc>
          <w:tcPr>
            <w:tcW w:w="614" w:type="pct"/>
            <w:noWrap w:val="0"/>
            <w:vAlign w:val="center"/>
          </w:tcPr>
          <w:p w14:paraId="5AF52B27">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w:t>
            </w:r>
          </w:p>
        </w:tc>
        <w:tc>
          <w:tcPr>
            <w:tcW w:w="604" w:type="pct"/>
            <w:tcBorders>
              <w:top w:val="single" w:color="auto" w:sz="4" w:space="0"/>
              <w:left w:val="single" w:color="auto" w:sz="4" w:space="0"/>
              <w:bottom w:val="single" w:color="auto" w:sz="4" w:space="0"/>
              <w:right w:val="single" w:color="auto" w:sz="4" w:space="0"/>
            </w:tcBorders>
            <w:noWrap w:val="0"/>
            <w:vAlign w:val="center"/>
          </w:tcPr>
          <w:p w14:paraId="174691EE">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5.85</w:t>
            </w:r>
          </w:p>
        </w:tc>
        <w:tc>
          <w:tcPr>
            <w:tcW w:w="541" w:type="pct"/>
            <w:shd w:val="clear" w:color="auto" w:fill="auto"/>
            <w:noWrap w:val="0"/>
            <w:vAlign w:val="center"/>
          </w:tcPr>
          <w:p w14:paraId="1BA7DFCA">
            <w:pPr>
              <w:pStyle w:val="41"/>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21"/>
                <w:szCs w:val="24"/>
                <w:lang w:val="en-US" w:eastAsia="zh-CN" w:bidi="ar-SA"/>
              </w:rPr>
            </w:pPr>
            <w:r>
              <w:rPr>
                <w:rFonts w:hint="eastAsia"/>
                <w:color w:val="auto"/>
              </w:rPr>
              <w:t>0.5</w:t>
            </w:r>
          </w:p>
        </w:tc>
        <w:tc>
          <w:tcPr>
            <w:tcW w:w="595" w:type="pct"/>
            <w:shd w:val="clear" w:color="auto" w:fill="auto"/>
            <w:noWrap w:val="0"/>
            <w:vAlign w:val="top"/>
          </w:tcPr>
          <w:p w14:paraId="024C5E56">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6.55</w:t>
            </w:r>
          </w:p>
        </w:tc>
        <w:tc>
          <w:tcPr>
            <w:tcW w:w="484" w:type="pct"/>
            <w:shd w:val="clear" w:color="auto" w:fill="auto"/>
            <w:noWrap w:val="0"/>
            <w:vAlign w:val="top"/>
          </w:tcPr>
          <w:p w14:paraId="40DD98DA">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5.35</w:t>
            </w:r>
          </w:p>
        </w:tc>
      </w:tr>
      <w:tr w14:paraId="3F674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noWrap w:val="0"/>
            <w:vAlign w:val="center"/>
          </w:tcPr>
          <w:p w14:paraId="18F83C2E">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ascii="Times New Roman" w:hAnsi="Times New Roman" w:eastAsia="宋体"/>
                <w:snapToGrid w:val="0"/>
                <w:color w:val="auto"/>
                <w:kern w:val="21"/>
                <w:sz w:val="21"/>
                <w:szCs w:val="21"/>
                <w:highlight w:val="none"/>
              </w:rPr>
            </w:pPr>
          </w:p>
        </w:tc>
        <w:tc>
          <w:tcPr>
            <w:tcW w:w="789" w:type="pct"/>
            <w:tcBorders>
              <w:top w:val="single" w:color="auto" w:sz="4" w:space="0"/>
              <w:left w:val="single" w:color="auto" w:sz="4" w:space="0"/>
              <w:bottom w:val="single" w:color="auto" w:sz="4" w:space="0"/>
              <w:right w:val="single" w:color="auto" w:sz="4" w:space="0"/>
            </w:tcBorders>
            <w:noWrap w:val="0"/>
            <w:vAlign w:val="center"/>
          </w:tcPr>
          <w:p w14:paraId="4D303127">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废活性炭</w:t>
            </w:r>
          </w:p>
        </w:tc>
        <w:tc>
          <w:tcPr>
            <w:tcW w:w="493" w:type="pct"/>
            <w:noWrap w:val="0"/>
            <w:vAlign w:val="center"/>
          </w:tcPr>
          <w:p w14:paraId="620267DC">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w:t>
            </w:r>
          </w:p>
        </w:tc>
        <w:tc>
          <w:tcPr>
            <w:tcW w:w="484" w:type="pct"/>
            <w:shd w:val="clear" w:color="auto" w:fill="auto"/>
            <w:noWrap w:val="0"/>
            <w:vAlign w:val="center"/>
          </w:tcPr>
          <w:p w14:paraId="4D6FF05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w:t>
            </w:r>
          </w:p>
        </w:tc>
        <w:tc>
          <w:tcPr>
            <w:tcW w:w="614" w:type="pct"/>
            <w:noWrap w:val="0"/>
            <w:vAlign w:val="center"/>
          </w:tcPr>
          <w:p w14:paraId="06B0C56E">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04" w:type="pct"/>
            <w:tcBorders>
              <w:top w:val="single" w:color="auto" w:sz="4" w:space="0"/>
              <w:left w:val="single" w:color="auto" w:sz="4" w:space="0"/>
              <w:bottom w:val="single" w:color="auto" w:sz="4" w:space="0"/>
              <w:right w:val="single" w:color="auto" w:sz="4" w:space="0"/>
            </w:tcBorders>
            <w:noWrap w:val="0"/>
            <w:vAlign w:val="center"/>
          </w:tcPr>
          <w:p w14:paraId="0BA65698">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13.4</w:t>
            </w:r>
          </w:p>
        </w:tc>
        <w:tc>
          <w:tcPr>
            <w:tcW w:w="541" w:type="pct"/>
            <w:shd w:val="clear" w:color="auto" w:fill="auto"/>
            <w:noWrap w:val="0"/>
            <w:vAlign w:val="center"/>
          </w:tcPr>
          <w:p w14:paraId="1D5E6697">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1.5</w:t>
            </w:r>
          </w:p>
        </w:tc>
        <w:tc>
          <w:tcPr>
            <w:tcW w:w="595" w:type="pct"/>
            <w:shd w:val="clear" w:color="auto" w:fill="auto"/>
            <w:noWrap w:val="0"/>
            <w:vAlign w:val="top"/>
          </w:tcPr>
          <w:p w14:paraId="20E4AD1C">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14.9</w:t>
            </w:r>
          </w:p>
        </w:tc>
        <w:tc>
          <w:tcPr>
            <w:tcW w:w="484" w:type="pct"/>
            <w:shd w:val="clear" w:color="auto" w:fill="auto"/>
            <w:noWrap w:val="0"/>
            <w:vAlign w:val="top"/>
          </w:tcPr>
          <w:p w14:paraId="34BED561">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11.9</w:t>
            </w:r>
          </w:p>
        </w:tc>
      </w:tr>
      <w:tr w14:paraId="453D3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noWrap w:val="0"/>
            <w:vAlign w:val="center"/>
          </w:tcPr>
          <w:p w14:paraId="225D799B">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eastAsia" w:ascii="Times New Roman" w:hAns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49E10A87">
            <w:pPr>
              <w:pStyle w:val="86"/>
              <w:keepNext w:val="0"/>
              <w:keepLines w:val="0"/>
              <w:pageBreakBefore w:val="0"/>
              <w:widowControl w:val="0"/>
              <w:kinsoku/>
              <w:wordWrap/>
              <w:overflowPunct/>
              <w:topLinePunct w:val="0"/>
              <w:autoSpaceDE/>
              <w:autoSpaceDN/>
              <w:bidi w:val="0"/>
              <w:spacing w:beforeLines="0" w:afterLines="0" w:line="24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rPr>
              <w:t>生活垃圾</w:t>
            </w:r>
          </w:p>
        </w:tc>
        <w:tc>
          <w:tcPr>
            <w:tcW w:w="493" w:type="pct"/>
            <w:noWrap w:val="0"/>
            <w:vAlign w:val="center"/>
          </w:tcPr>
          <w:p w14:paraId="412EDCF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158.82</w:t>
            </w:r>
          </w:p>
        </w:tc>
        <w:tc>
          <w:tcPr>
            <w:tcW w:w="484" w:type="pct"/>
            <w:shd w:val="clear" w:color="auto" w:fill="auto"/>
            <w:noWrap w:val="0"/>
            <w:vAlign w:val="center"/>
          </w:tcPr>
          <w:p w14:paraId="217971E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158.82</w:t>
            </w:r>
          </w:p>
        </w:tc>
        <w:tc>
          <w:tcPr>
            <w:tcW w:w="614" w:type="pct"/>
            <w:noWrap w:val="0"/>
            <w:vAlign w:val="center"/>
          </w:tcPr>
          <w:p w14:paraId="3B1DF683">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w:t>
            </w:r>
          </w:p>
        </w:tc>
        <w:tc>
          <w:tcPr>
            <w:tcW w:w="604" w:type="pct"/>
            <w:tcBorders>
              <w:top w:val="single" w:color="auto" w:sz="4" w:space="0"/>
              <w:left w:val="single" w:color="auto" w:sz="4" w:space="0"/>
              <w:bottom w:val="single" w:color="auto" w:sz="4" w:space="0"/>
              <w:right w:val="single" w:color="auto" w:sz="4" w:space="0"/>
            </w:tcBorders>
            <w:noWrap w:val="0"/>
            <w:vAlign w:val="center"/>
          </w:tcPr>
          <w:p w14:paraId="33B66DA5">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31.25</w:t>
            </w:r>
          </w:p>
        </w:tc>
        <w:tc>
          <w:tcPr>
            <w:tcW w:w="541" w:type="pct"/>
            <w:shd w:val="clear" w:color="auto" w:fill="auto"/>
            <w:noWrap w:val="0"/>
            <w:vAlign w:val="center"/>
          </w:tcPr>
          <w:p w14:paraId="67C41009">
            <w:pPr>
              <w:pStyle w:val="41"/>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0"/>
                <w:sz w:val="21"/>
                <w:szCs w:val="24"/>
                <w:lang w:val="en-US" w:eastAsia="zh-CN" w:bidi="ar-SA"/>
              </w:rPr>
            </w:pPr>
            <w:r>
              <w:rPr>
                <w:rFonts w:hint="eastAsia"/>
                <w:color w:val="auto"/>
              </w:rPr>
              <w:t>83.82</w:t>
            </w:r>
          </w:p>
        </w:tc>
        <w:tc>
          <w:tcPr>
            <w:tcW w:w="595" w:type="pct"/>
            <w:shd w:val="clear" w:color="auto" w:fill="auto"/>
            <w:noWrap w:val="0"/>
            <w:vAlign w:val="top"/>
          </w:tcPr>
          <w:p w14:paraId="28430485">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113.75</w:t>
            </w:r>
          </w:p>
        </w:tc>
        <w:tc>
          <w:tcPr>
            <w:tcW w:w="484" w:type="pct"/>
            <w:shd w:val="clear" w:color="auto" w:fill="auto"/>
            <w:noWrap w:val="0"/>
            <w:vAlign w:val="top"/>
          </w:tcPr>
          <w:p w14:paraId="55394AD9">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Times New Roman" w:cs="Times New Roman"/>
                <w:color w:val="auto"/>
                <w:kern w:val="2"/>
                <w:sz w:val="21"/>
                <w:szCs w:val="24"/>
                <w:lang w:val="en-US" w:eastAsia="zh-CN" w:bidi="ar-SA"/>
              </w:rPr>
            </w:pPr>
            <w:r>
              <w:rPr>
                <w:rFonts w:hint="eastAsia" w:ascii="Times New Roman" w:hAnsi="Times New Roman" w:eastAsia="Times New Roman"/>
                <w:color w:val="auto"/>
                <w:sz w:val="21"/>
                <w:szCs w:val="24"/>
              </w:rPr>
              <w:t>-52.57</w:t>
            </w:r>
          </w:p>
        </w:tc>
      </w:tr>
    </w:tbl>
    <w:p w14:paraId="1BF5E0B6">
      <w:pPr>
        <w:pStyle w:val="86"/>
        <w:spacing w:before="192" w:beforeLines="80" w:after="24"/>
        <w:jc w:val="left"/>
        <w:rPr>
          <w:rFonts w:ascii="Times New Roman" w:hAnsi="Times New Roman" w:eastAsia="宋体"/>
          <w:snapToGrid w:val="0"/>
          <w:color w:val="auto"/>
          <w:spacing w:val="-6"/>
          <w:kern w:val="21"/>
          <w:szCs w:val="21"/>
          <w:highlight w:val="none"/>
        </w:rPr>
      </w:pPr>
      <w:r>
        <w:rPr>
          <w:rFonts w:ascii="Times New Roman" w:hAnsi="Times New Roman" w:eastAsia="宋体"/>
          <w:snapToGrid w:val="0"/>
          <w:color w:val="auto"/>
          <w:kern w:val="21"/>
          <w:szCs w:val="21"/>
          <w:highlight w:val="none"/>
        </w:rPr>
        <w:t>注：</w:t>
      </w:r>
      <w:r>
        <w:rPr>
          <w:rFonts w:ascii="Times New Roman" w:hAnsi="Times New Roman" w:eastAsia="宋体"/>
          <w:snapToGrid w:val="0"/>
          <w:color w:val="auto"/>
          <w:spacing w:val="-16"/>
          <w:kern w:val="21"/>
          <w:szCs w:val="21"/>
          <w:highlight w:val="none"/>
        </w:rPr>
        <w:fldChar w:fldCharType="begin"/>
      </w:r>
      <w:r>
        <w:rPr>
          <w:rFonts w:ascii="Times New Roman" w:hAnsi="Times New Roman" w:eastAsia="宋体"/>
          <w:snapToGrid w:val="0"/>
          <w:color w:val="auto"/>
          <w:spacing w:val="-16"/>
          <w:kern w:val="21"/>
          <w:szCs w:val="21"/>
          <w:highlight w:val="none"/>
        </w:rPr>
        <w:instrText xml:space="preserve"> = 6 \* GB3 \* MERGEFORMAT </w:instrText>
      </w:r>
      <w:r>
        <w:rPr>
          <w:rFonts w:ascii="Times New Roman" w:hAnsi="Times New Roman" w:eastAsia="宋体"/>
          <w:snapToGrid w:val="0"/>
          <w:color w:val="auto"/>
          <w:spacing w:val="-16"/>
          <w:kern w:val="21"/>
          <w:szCs w:val="21"/>
          <w:highlight w:val="none"/>
        </w:rPr>
        <w:fldChar w:fldCharType="separate"/>
      </w:r>
      <w:r>
        <w:rPr>
          <w:rFonts w:hint="eastAsia" w:ascii="Times New Roman" w:hAnsi="Times New Roman" w:eastAsia="宋体" w:cs="宋体"/>
          <w:color w:val="auto"/>
          <w:szCs w:val="21"/>
          <w:highlight w:val="none"/>
        </w:rPr>
        <w:t>⑥</w:t>
      </w:r>
      <w:r>
        <w:rPr>
          <w:rFonts w:ascii="Times New Roman" w:hAnsi="Times New Roman" w:eastAsia="宋体"/>
          <w:snapToGrid w:val="0"/>
          <w:color w:val="auto"/>
          <w:spacing w:val="-16"/>
          <w:kern w:val="21"/>
          <w:szCs w:val="21"/>
          <w:highlight w:val="none"/>
        </w:rPr>
        <w:fldChar w:fldCharType="end"/>
      </w:r>
      <w:r>
        <w:rPr>
          <w:rFonts w:ascii="Times New Roman" w:hAnsi="Times New Roman" w:eastAsia="宋体"/>
          <w:snapToGrid w:val="0"/>
          <w:color w:val="auto"/>
          <w:spacing w:val="-16"/>
          <w:kern w:val="21"/>
          <w:szCs w:val="21"/>
          <w:highlight w:val="none"/>
        </w:rPr>
        <w:t>=</w:t>
      </w:r>
      <w:r>
        <w:rPr>
          <w:rFonts w:ascii="Times New Roman" w:hAnsi="Times New Roman" w:eastAsia="宋体"/>
          <w:snapToGrid w:val="0"/>
          <w:color w:val="auto"/>
          <w:spacing w:val="-6"/>
          <w:kern w:val="21"/>
          <w:szCs w:val="21"/>
          <w:highlight w:val="none"/>
        </w:rPr>
        <w:fldChar w:fldCharType="begin"/>
      </w:r>
      <w:r>
        <w:rPr>
          <w:rFonts w:ascii="Times New Roman" w:hAnsi="Times New Roman" w:eastAsia="宋体"/>
          <w:snapToGrid w:val="0"/>
          <w:color w:val="auto"/>
          <w:spacing w:val="-6"/>
          <w:kern w:val="21"/>
          <w:szCs w:val="21"/>
          <w:highlight w:val="none"/>
        </w:rPr>
        <w:instrText xml:space="preserve"> = 1 \* GB3 \* MERGEFORMAT </w:instrText>
      </w:r>
      <w:r>
        <w:rPr>
          <w:rFonts w:ascii="Times New Roman" w:hAnsi="Times New Roman" w:eastAsia="宋体"/>
          <w:snapToGrid w:val="0"/>
          <w:color w:val="auto"/>
          <w:spacing w:val="-6"/>
          <w:kern w:val="21"/>
          <w:szCs w:val="21"/>
          <w:highlight w:val="none"/>
        </w:rPr>
        <w:fldChar w:fldCharType="separate"/>
      </w:r>
      <w:r>
        <w:rPr>
          <w:rFonts w:hint="eastAsia" w:ascii="Times New Roman" w:hAnsi="Times New Roman" w:eastAsia="宋体" w:cs="宋体"/>
          <w:color w:val="auto"/>
          <w:szCs w:val="21"/>
          <w:highlight w:val="none"/>
        </w:rPr>
        <w:t>①</w:t>
      </w:r>
      <w:r>
        <w:rPr>
          <w:rFonts w:ascii="Times New Roman" w:hAnsi="Times New Roman" w:eastAsia="宋体"/>
          <w:snapToGrid w:val="0"/>
          <w:color w:val="auto"/>
          <w:spacing w:val="-6"/>
          <w:kern w:val="21"/>
          <w:szCs w:val="21"/>
          <w:highlight w:val="none"/>
        </w:rPr>
        <w:fldChar w:fldCharType="end"/>
      </w:r>
      <w:r>
        <w:rPr>
          <w:rFonts w:ascii="Times New Roman" w:hAnsi="Times New Roman" w:eastAsia="宋体"/>
          <w:snapToGrid w:val="0"/>
          <w:color w:val="auto"/>
          <w:spacing w:val="-6"/>
          <w:kern w:val="21"/>
          <w:szCs w:val="21"/>
          <w:highlight w:val="none"/>
        </w:rPr>
        <w:t>+</w:t>
      </w:r>
      <w:r>
        <w:rPr>
          <w:rFonts w:ascii="Times New Roman" w:hAnsi="Times New Roman" w:eastAsia="宋体"/>
          <w:snapToGrid w:val="0"/>
          <w:color w:val="auto"/>
          <w:spacing w:val="-6"/>
          <w:kern w:val="21"/>
          <w:szCs w:val="21"/>
          <w:highlight w:val="none"/>
        </w:rPr>
        <w:fldChar w:fldCharType="begin"/>
      </w:r>
      <w:r>
        <w:rPr>
          <w:rFonts w:ascii="Times New Roman" w:hAnsi="Times New Roman" w:eastAsia="宋体"/>
          <w:snapToGrid w:val="0"/>
          <w:color w:val="auto"/>
          <w:spacing w:val="-6"/>
          <w:kern w:val="21"/>
          <w:szCs w:val="21"/>
          <w:highlight w:val="none"/>
        </w:rPr>
        <w:instrText xml:space="preserve"> = 3 \* GB3 \* MERGEFORMAT </w:instrText>
      </w:r>
      <w:r>
        <w:rPr>
          <w:rFonts w:ascii="Times New Roman" w:hAnsi="Times New Roman" w:eastAsia="宋体"/>
          <w:snapToGrid w:val="0"/>
          <w:color w:val="auto"/>
          <w:spacing w:val="-6"/>
          <w:kern w:val="21"/>
          <w:szCs w:val="21"/>
          <w:highlight w:val="none"/>
        </w:rPr>
        <w:fldChar w:fldCharType="separate"/>
      </w:r>
      <w:r>
        <w:rPr>
          <w:rFonts w:hint="eastAsia" w:ascii="Times New Roman" w:hAnsi="Times New Roman" w:eastAsia="宋体" w:cs="宋体"/>
          <w:color w:val="auto"/>
          <w:szCs w:val="21"/>
          <w:highlight w:val="none"/>
        </w:rPr>
        <w:t>③</w:t>
      </w:r>
      <w:r>
        <w:rPr>
          <w:rFonts w:ascii="Times New Roman" w:hAnsi="Times New Roman" w:eastAsia="宋体"/>
          <w:snapToGrid w:val="0"/>
          <w:color w:val="auto"/>
          <w:spacing w:val="-6"/>
          <w:kern w:val="21"/>
          <w:szCs w:val="21"/>
          <w:highlight w:val="none"/>
        </w:rPr>
        <w:fldChar w:fldCharType="end"/>
      </w:r>
      <w:r>
        <w:rPr>
          <w:rFonts w:ascii="Times New Roman" w:hAnsi="Times New Roman" w:eastAsia="宋体"/>
          <w:snapToGrid w:val="0"/>
          <w:color w:val="auto"/>
          <w:spacing w:val="-6"/>
          <w:kern w:val="21"/>
          <w:szCs w:val="21"/>
          <w:highlight w:val="none"/>
        </w:rPr>
        <w:t>+</w:t>
      </w:r>
      <w:r>
        <w:rPr>
          <w:rFonts w:ascii="Times New Roman" w:hAnsi="Times New Roman" w:eastAsia="宋体"/>
          <w:snapToGrid w:val="0"/>
          <w:color w:val="auto"/>
          <w:spacing w:val="-6"/>
          <w:kern w:val="21"/>
          <w:szCs w:val="21"/>
          <w:highlight w:val="none"/>
        </w:rPr>
        <w:fldChar w:fldCharType="begin"/>
      </w:r>
      <w:r>
        <w:rPr>
          <w:rFonts w:ascii="Times New Roman" w:hAnsi="Times New Roman" w:eastAsia="宋体"/>
          <w:snapToGrid w:val="0"/>
          <w:color w:val="auto"/>
          <w:spacing w:val="-6"/>
          <w:kern w:val="21"/>
          <w:szCs w:val="21"/>
          <w:highlight w:val="none"/>
        </w:rPr>
        <w:instrText xml:space="preserve"> = 4 \* GB3 \* MERGEFORMAT </w:instrText>
      </w:r>
      <w:r>
        <w:rPr>
          <w:rFonts w:ascii="Times New Roman" w:hAnsi="Times New Roman" w:eastAsia="宋体"/>
          <w:snapToGrid w:val="0"/>
          <w:color w:val="auto"/>
          <w:spacing w:val="-6"/>
          <w:kern w:val="21"/>
          <w:szCs w:val="21"/>
          <w:highlight w:val="none"/>
        </w:rPr>
        <w:fldChar w:fldCharType="separate"/>
      </w:r>
      <w:r>
        <w:rPr>
          <w:rFonts w:hint="eastAsia" w:ascii="Times New Roman" w:hAnsi="Times New Roman" w:eastAsia="宋体" w:cs="宋体"/>
          <w:color w:val="auto"/>
          <w:szCs w:val="21"/>
          <w:highlight w:val="none"/>
        </w:rPr>
        <w:t>④</w:t>
      </w:r>
      <w:r>
        <w:rPr>
          <w:rFonts w:ascii="Times New Roman" w:hAnsi="Times New Roman" w:eastAsia="宋体"/>
          <w:snapToGrid w:val="0"/>
          <w:color w:val="auto"/>
          <w:spacing w:val="-6"/>
          <w:kern w:val="21"/>
          <w:szCs w:val="21"/>
          <w:highlight w:val="none"/>
        </w:rPr>
        <w:fldChar w:fldCharType="end"/>
      </w:r>
      <w:r>
        <w:rPr>
          <w:rFonts w:ascii="Times New Roman" w:hAnsi="Times New Roman" w:eastAsia="宋体"/>
          <w:snapToGrid w:val="0"/>
          <w:color w:val="auto"/>
          <w:spacing w:val="-6"/>
          <w:kern w:val="21"/>
          <w:szCs w:val="21"/>
          <w:highlight w:val="none"/>
        </w:rPr>
        <w:t>-</w:t>
      </w:r>
      <w:r>
        <w:rPr>
          <w:rFonts w:ascii="Times New Roman" w:hAnsi="Times New Roman" w:eastAsia="宋体"/>
          <w:snapToGrid w:val="0"/>
          <w:color w:val="auto"/>
          <w:spacing w:val="-16"/>
          <w:kern w:val="21"/>
          <w:szCs w:val="21"/>
          <w:highlight w:val="none"/>
        </w:rPr>
        <w:fldChar w:fldCharType="begin"/>
      </w:r>
      <w:r>
        <w:rPr>
          <w:rFonts w:ascii="Times New Roman" w:hAnsi="Times New Roman" w:eastAsia="宋体"/>
          <w:snapToGrid w:val="0"/>
          <w:color w:val="auto"/>
          <w:spacing w:val="-16"/>
          <w:kern w:val="21"/>
          <w:szCs w:val="21"/>
          <w:highlight w:val="none"/>
        </w:rPr>
        <w:instrText xml:space="preserve"> = 5 \* GB3 \* MERGEFORMAT </w:instrText>
      </w:r>
      <w:r>
        <w:rPr>
          <w:rFonts w:ascii="Times New Roman" w:hAnsi="Times New Roman" w:eastAsia="宋体"/>
          <w:snapToGrid w:val="0"/>
          <w:color w:val="auto"/>
          <w:spacing w:val="-16"/>
          <w:kern w:val="21"/>
          <w:szCs w:val="21"/>
          <w:highlight w:val="none"/>
        </w:rPr>
        <w:fldChar w:fldCharType="separate"/>
      </w:r>
      <w:r>
        <w:rPr>
          <w:rFonts w:hint="eastAsia" w:ascii="Times New Roman" w:hAnsi="Times New Roman" w:eastAsia="宋体" w:cs="宋体"/>
          <w:color w:val="auto"/>
          <w:szCs w:val="21"/>
          <w:highlight w:val="none"/>
        </w:rPr>
        <w:t>⑤</w:t>
      </w:r>
      <w:r>
        <w:rPr>
          <w:rFonts w:ascii="Times New Roman" w:hAnsi="Times New Roman" w:eastAsia="宋体"/>
          <w:snapToGrid w:val="0"/>
          <w:color w:val="auto"/>
          <w:spacing w:val="-16"/>
          <w:kern w:val="21"/>
          <w:szCs w:val="21"/>
          <w:highlight w:val="none"/>
        </w:rPr>
        <w:fldChar w:fldCharType="end"/>
      </w:r>
      <w:r>
        <w:rPr>
          <w:rFonts w:ascii="Times New Roman" w:hAnsi="Times New Roman" w:eastAsia="宋体"/>
          <w:snapToGrid w:val="0"/>
          <w:color w:val="auto"/>
          <w:spacing w:val="-16"/>
          <w:kern w:val="21"/>
          <w:szCs w:val="21"/>
          <w:highlight w:val="none"/>
        </w:rPr>
        <w:t>；</w:t>
      </w:r>
      <w:r>
        <w:rPr>
          <w:rFonts w:ascii="Times New Roman" w:hAnsi="Times New Roman" w:eastAsia="宋体"/>
          <w:snapToGrid w:val="0"/>
          <w:color w:val="auto"/>
          <w:spacing w:val="-6"/>
          <w:kern w:val="21"/>
          <w:szCs w:val="21"/>
          <w:highlight w:val="none"/>
        </w:rPr>
        <w:fldChar w:fldCharType="begin"/>
      </w:r>
      <w:r>
        <w:rPr>
          <w:rFonts w:ascii="Times New Roman" w:hAnsi="Times New Roman" w:eastAsia="宋体"/>
          <w:snapToGrid w:val="0"/>
          <w:color w:val="auto"/>
          <w:spacing w:val="-6"/>
          <w:kern w:val="21"/>
          <w:szCs w:val="21"/>
          <w:highlight w:val="none"/>
        </w:rPr>
        <w:instrText xml:space="preserve"> = 7 \* GB3 \* MERGEFORMAT </w:instrText>
      </w:r>
      <w:r>
        <w:rPr>
          <w:rFonts w:ascii="Times New Roman" w:hAnsi="Times New Roman" w:eastAsia="宋体"/>
          <w:snapToGrid w:val="0"/>
          <w:color w:val="auto"/>
          <w:spacing w:val="-6"/>
          <w:kern w:val="21"/>
          <w:szCs w:val="21"/>
          <w:highlight w:val="none"/>
        </w:rPr>
        <w:fldChar w:fldCharType="separate"/>
      </w:r>
      <w:r>
        <w:rPr>
          <w:rFonts w:hint="eastAsia" w:ascii="Times New Roman" w:hAnsi="Times New Roman" w:eastAsia="宋体" w:cs="宋体"/>
          <w:color w:val="auto"/>
          <w:szCs w:val="21"/>
          <w:highlight w:val="none"/>
        </w:rPr>
        <w:t>⑦</w:t>
      </w:r>
      <w:r>
        <w:rPr>
          <w:rFonts w:ascii="Times New Roman" w:hAnsi="Times New Roman" w:eastAsia="宋体"/>
          <w:snapToGrid w:val="0"/>
          <w:color w:val="auto"/>
          <w:spacing w:val="-6"/>
          <w:kern w:val="21"/>
          <w:szCs w:val="21"/>
          <w:highlight w:val="none"/>
        </w:rPr>
        <w:fldChar w:fldCharType="end"/>
      </w:r>
      <w:r>
        <w:rPr>
          <w:rFonts w:ascii="Times New Roman" w:hAnsi="Times New Roman" w:eastAsia="宋体"/>
          <w:snapToGrid w:val="0"/>
          <w:color w:val="auto"/>
          <w:spacing w:val="-6"/>
          <w:kern w:val="21"/>
          <w:szCs w:val="21"/>
          <w:highlight w:val="none"/>
        </w:rPr>
        <w:t>=</w:t>
      </w:r>
      <w:r>
        <w:rPr>
          <w:rFonts w:ascii="Times New Roman" w:hAnsi="Times New Roman" w:eastAsia="宋体"/>
          <w:snapToGrid w:val="0"/>
          <w:color w:val="auto"/>
          <w:spacing w:val="-16"/>
          <w:kern w:val="21"/>
          <w:szCs w:val="21"/>
          <w:highlight w:val="none"/>
        </w:rPr>
        <w:fldChar w:fldCharType="begin"/>
      </w:r>
      <w:r>
        <w:rPr>
          <w:rFonts w:ascii="Times New Roman" w:hAnsi="Times New Roman" w:eastAsia="宋体"/>
          <w:snapToGrid w:val="0"/>
          <w:color w:val="auto"/>
          <w:spacing w:val="-16"/>
          <w:kern w:val="21"/>
          <w:szCs w:val="21"/>
          <w:highlight w:val="none"/>
        </w:rPr>
        <w:instrText xml:space="preserve"> = 6 \* GB3 \* MERGEFORMAT </w:instrText>
      </w:r>
      <w:r>
        <w:rPr>
          <w:rFonts w:ascii="Times New Roman" w:hAnsi="Times New Roman" w:eastAsia="宋体"/>
          <w:snapToGrid w:val="0"/>
          <w:color w:val="auto"/>
          <w:spacing w:val="-16"/>
          <w:kern w:val="21"/>
          <w:szCs w:val="21"/>
          <w:highlight w:val="none"/>
        </w:rPr>
        <w:fldChar w:fldCharType="separate"/>
      </w:r>
      <w:r>
        <w:rPr>
          <w:rFonts w:hint="eastAsia" w:ascii="Times New Roman" w:hAnsi="Times New Roman" w:eastAsia="宋体" w:cs="宋体"/>
          <w:color w:val="auto"/>
          <w:szCs w:val="21"/>
          <w:highlight w:val="none"/>
        </w:rPr>
        <w:t>⑥</w:t>
      </w:r>
      <w:r>
        <w:rPr>
          <w:rFonts w:ascii="Times New Roman" w:hAnsi="Times New Roman" w:eastAsia="宋体"/>
          <w:snapToGrid w:val="0"/>
          <w:color w:val="auto"/>
          <w:spacing w:val="-16"/>
          <w:kern w:val="21"/>
          <w:szCs w:val="21"/>
          <w:highlight w:val="none"/>
        </w:rPr>
        <w:fldChar w:fldCharType="end"/>
      </w:r>
      <w:r>
        <w:rPr>
          <w:rFonts w:ascii="Times New Roman" w:hAnsi="Times New Roman" w:eastAsia="宋体"/>
          <w:snapToGrid w:val="0"/>
          <w:color w:val="auto"/>
          <w:spacing w:val="-16"/>
          <w:kern w:val="21"/>
          <w:szCs w:val="21"/>
          <w:highlight w:val="none"/>
        </w:rPr>
        <w:t>-</w:t>
      </w:r>
      <w:r>
        <w:rPr>
          <w:rFonts w:ascii="Times New Roman" w:hAnsi="Times New Roman" w:eastAsia="宋体"/>
          <w:snapToGrid w:val="0"/>
          <w:color w:val="auto"/>
          <w:spacing w:val="-6"/>
          <w:kern w:val="21"/>
          <w:szCs w:val="21"/>
          <w:highlight w:val="none"/>
        </w:rPr>
        <w:fldChar w:fldCharType="begin"/>
      </w:r>
      <w:r>
        <w:rPr>
          <w:rFonts w:ascii="Times New Roman" w:hAnsi="Times New Roman" w:eastAsia="宋体"/>
          <w:snapToGrid w:val="0"/>
          <w:color w:val="auto"/>
          <w:spacing w:val="-6"/>
          <w:kern w:val="21"/>
          <w:szCs w:val="21"/>
          <w:highlight w:val="none"/>
        </w:rPr>
        <w:instrText xml:space="preserve"> = 1 \* GB3 \* MERGEFORMAT </w:instrText>
      </w:r>
      <w:r>
        <w:rPr>
          <w:rFonts w:ascii="Times New Roman" w:hAnsi="Times New Roman" w:eastAsia="宋体"/>
          <w:snapToGrid w:val="0"/>
          <w:color w:val="auto"/>
          <w:spacing w:val="-6"/>
          <w:kern w:val="21"/>
          <w:szCs w:val="21"/>
          <w:highlight w:val="none"/>
        </w:rPr>
        <w:fldChar w:fldCharType="separate"/>
      </w:r>
      <w:r>
        <w:rPr>
          <w:rFonts w:hint="eastAsia" w:ascii="Times New Roman" w:hAnsi="Times New Roman" w:eastAsia="宋体" w:cs="宋体"/>
          <w:color w:val="auto"/>
          <w:szCs w:val="21"/>
          <w:highlight w:val="none"/>
        </w:rPr>
        <w:t>①</w:t>
      </w:r>
      <w:r>
        <w:rPr>
          <w:rFonts w:ascii="Times New Roman" w:hAnsi="Times New Roman" w:eastAsia="宋体"/>
          <w:snapToGrid w:val="0"/>
          <w:color w:val="auto"/>
          <w:spacing w:val="-6"/>
          <w:kern w:val="21"/>
          <w:szCs w:val="21"/>
          <w:highlight w:val="none"/>
        </w:rPr>
        <w:fldChar w:fldCharType="end"/>
      </w:r>
    </w:p>
    <w:p w14:paraId="71DDFCED">
      <w:pPr>
        <w:rPr>
          <w:rFonts w:hint="eastAsia" w:ascii="Times New Roman" w:hAnsi="Times New Roman" w:eastAsia="宋体" w:cs="宋体"/>
          <w:color w:val="auto"/>
          <w:highlight w:val="none"/>
          <w:lang w:eastAsia="zh-CN"/>
        </w:rPr>
        <w:sectPr>
          <w:footerReference r:id="rId10" w:type="default"/>
          <w:pgSz w:w="16838" w:h="11906" w:orient="landscape"/>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14:paraId="064EAE63">
      <w:pPr>
        <w:numPr>
          <w:ilvl w:val="0"/>
          <w:numId w:val="0"/>
        </w:numPr>
        <w:ind w:leftChars="0"/>
        <w:rPr>
          <w:rFonts w:hint="default" w:ascii="Times New Roman" w:hAnsi="Times New Roman" w:eastAsia="宋体" w:cs="Times New Roman"/>
          <w:b/>
          <w:bCs/>
          <w:color w:val="auto"/>
          <w:sz w:val="32"/>
          <w:szCs w:val="32"/>
          <w:highlight w:val="none"/>
        </w:rPr>
      </w:pPr>
      <w:r>
        <w:rPr>
          <w:rFonts w:hint="eastAsia" w:ascii="Times New Roman" w:hAnsi="Times New Roman" w:eastAsia="宋体" w:cs="Times New Roman"/>
          <w:b/>
          <w:bCs/>
          <w:color w:val="auto"/>
          <w:sz w:val="32"/>
          <w:szCs w:val="32"/>
          <w:highlight w:val="none"/>
          <w:lang w:eastAsia="zh-CN"/>
        </w:rPr>
        <w:t>附件清单</w:t>
      </w:r>
    </w:p>
    <w:p w14:paraId="6CB798FD">
      <w:pPr>
        <w:bidi w:val="0"/>
      </w:pPr>
      <w:r>
        <w:rPr>
          <w:color w:val="FF0000"/>
        </w:rPr>
        <w:t xml:space="preserve">附件1 </w:t>
      </w:r>
      <w:r>
        <w:rPr>
          <w:rFonts w:hint="eastAsia"/>
          <w:color w:val="FF0000"/>
        </w:rPr>
        <w:t>委托书</w:t>
      </w:r>
    </w:p>
    <w:p w14:paraId="2DA78CD1">
      <w:pPr>
        <w:bidi w:val="0"/>
      </w:pPr>
      <w:r>
        <w:t xml:space="preserve">附件2 </w:t>
      </w:r>
      <w:r>
        <w:rPr>
          <w:rFonts w:hint="eastAsia"/>
        </w:rPr>
        <w:t>备案证</w:t>
      </w:r>
    </w:p>
    <w:p w14:paraId="311251EE">
      <w:pPr>
        <w:bidi w:val="0"/>
        <w:rPr>
          <w:rFonts w:hint="eastAsia"/>
        </w:rPr>
      </w:pPr>
      <w:r>
        <w:t>附件</w:t>
      </w:r>
      <w:r>
        <w:rPr>
          <w:rFonts w:hint="eastAsia"/>
        </w:rPr>
        <w:t>3</w:t>
      </w:r>
      <w:r>
        <w:t xml:space="preserve"> </w:t>
      </w:r>
      <w:r>
        <w:rPr>
          <w:rFonts w:hint="eastAsia"/>
        </w:rPr>
        <w:t>营业执照</w:t>
      </w:r>
    </w:p>
    <w:p w14:paraId="1A24DEA1">
      <w:pPr>
        <w:bidi w:val="0"/>
        <w:rPr>
          <w:rFonts w:hint="default"/>
          <w:lang w:val="en-US" w:eastAsia="zh-CN"/>
        </w:rPr>
      </w:pPr>
      <w:r>
        <w:rPr>
          <w:rFonts w:hint="eastAsia"/>
          <w:lang w:val="en-US" w:eastAsia="zh-CN"/>
        </w:rPr>
        <w:t>附件4 规划环评审查意见</w:t>
      </w:r>
    </w:p>
    <w:p w14:paraId="74C7E5A5">
      <w:pPr>
        <w:bidi w:val="0"/>
        <w:rPr>
          <w:rFonts w:hint="default"/>
          <w:lang w:val="en-US" w:eastAsia="zh-CN"/>
        </w:rPr>
      </w:pPr>
      <w:r>
        <w:t>附件</w:t>
      </w:r>
      <w:r>
        <w:rPr>
          <w:rFonts w:hint="eastAsia"/>
          <w:lang w:val="en-US" w:eastAsia="zh-CN"/>
        </w:rPr>
        <w:t>5</w:t>
      </w:r>
      <w:r>
        <w:rPr>
          <w:rFonts w:hint="eastAsia"/>
        </w:rPr>
        <w:t xml:space="preserve"> </w:t>
      </w:r>
      <w:r>
        <w:rPr>
          <w:rFonts w:hint="eastAsia"/>
          <w:lang w:val="en-US" w:eastAsia="zh-CN"/>
        </w:rPr>
        <w:t>不动产权证</w:t>
      </w:r>
    </w:p>
    <w:p w14:paraId="0D2E6F32">
      <w:pPr>
        <w:bidi w:val="0"/>
        <w:rPr>
          <w:rFonts w:hint="default"/>
          <w:lang w:val="en-US" w:eastAsia="zh-CN"/>
        </w:rPr>
      </w:pPr>
      <w:r>
        <w:rPr>
          <w:rFonts w:hint="eastAsia"/>
        </w:rPr>
        <w:t>附件</w:t>
      </w:r>
      <w:r>
        <w:rPr>
          <w:rFonts w:hint="eastAsia"/>
          <w:lang w:val="en-US" w:eastAsia="zh-CN"/>
        </w:rPr>
        <w:t>6</w:t>
      </w:r>
      <w:r>
        <w:rPr>
          <w:rFonts w:hint="eastAsia"/>
        </w:rPr>
        <w:t xml:space="preserve"> </w:t>
      </w:r>
      <w:r>
        <w:rPr>
          <w:rFonts w:hint="eastAsia"/>
          <w:lang w:val="en-US" w:eastAsia="zh-CN"/>
        </w:rPr>
        <w:t>往期项目环评及验收资料</w:t>
      </w:r>
    </w:p>
    <w:p w14:paraId="0946CCE6">
      <w:pPr>
        <w:bidi w:val="0"/>
      </w:pPr>
      <w:r>
        <w:rPr>
          <w:rFonts w:hint="eastAsia"/>
          <w:lang w:val="en-US" w:eastAsia="zh-CN"/>
        </w:rPr>
        <w:t xml:space="preserve">附件7 </w:t>
      </w:r>
      <w:r>
        <w:rPr>
          <w:rFonts w:hint="eastAsia"/>
        </w:rPr>
        <w:t>固定污染源排污登记回执</w:t>
      </w:r>
    </w:p>
    <w:p w14:paraId="17F4E5C7">
      <w:pPr>
        <w:bidi w:val="0"/>
        <w:rPr>
          <w:rFonts w:hint="eastAsia"/>
          <w:lang w:val="en-US" w:eastAsia="zh-CN"/>
        </w:rPr>
      </w:pPr>
      <w:r>
        <w:rPr>
          <w:rFonts w:hint="eastAsia"/>
        </w:rPr>
        <w:t>附件</w:t>
      </w:r>
      <w:r>
        <w:rPr>
          <w:rFonts w:hint="eastAsia"/>
          <w:lang w:val="en-US" w:eastAsia="zh-CN"/>
        </w:rPr>
        <w:t>8 验收监测报告</w:t>
      </w:r>
    </w:p>
    <w:p w14:paraId="391D887F">
      <w:pPr>
        <w:bidi w:val="0"/>
        <w:rPr>
          <w:rFonts w:hint="eastAsia"/>
          <w:lang w:val="en-US" w:eastAsia="zh-CN"/>
        </w:rPr>
      </w:pPr>
      <w:r>
        <w:rPr>
          <w:rFonts w:hint="eastAsia"/>
          <w:lang w:val="en-US" w:eastAsia="zh-CN"/>
        </w:rPr>
        <w:t>附件9 危废处置协议</w:t>
      </w:r>
    </w:p>
    <w:p w14:paraId="4C688E54">
      <w:pPr>
        <w:bidi w:val="0"/>
        <w:rPr>
          <w:rFonts w:hint="default"/>
          <w:lang w:val="en-US" w:eastAsia="zh-CN"/>
        </w:rPr>
      </w:pPr>
      <w:r>
        <w:rPr>
          <w:rFonts w:hint="eastAsia"/>
          <w:lang w:val="en-US" w:eastAsia="zh-CN"/>
        </w:rPr>
        <w:t>附件10 应急预案备案表</w:t>
      </w:r>
    </w:p>
    <w:p w14:paraId="4B5877DF">
      <w:pPr>
        <w:bidi w:val="0"/>
        <w:rPr>
          <w:color w:val="FF0000"/>
        </w:rPr>
      </w:pPr>
      <w:r>
        <w:rPr>
          <w:rFonts w:hint="eastAsia"/>
          <w:color w:val="FF0000"/>
          <w:lang w:val="en-US" w:eastAsia="zh-CN"/>
        </w:rPr>
        <w:t xml:space="preserve">附件11 </w:t>
      </w:r>
      <w:r>
        <w:rPr>
          <w:rFonts w:hint="eastAsia"/>
          <w:color w:val="FF0000"/>
        </w:rPr>
        <w:t>现场踏勘照片</w:t>
      </w:r>
    </w:p>
    <w:p w14:paraId="2236A185">
      <w:pPr>
        <w:bidi w:val="0"/>
        <w:rPr>
          <w:color w:val="FF0000"/>
        </w:rPr>
      </w:pPr>
      <w:r>
        <w:rPr>
          <w:rFonts w:hint="eastAsia"/>
          <w:color w:val="FF0000"/>
        </w:rPr>
        <w:t>附件</w:t>
      </w:r>
      <w:r>
        <w:rPr>
          <w:rFonts w:hint="eastAsia"/>
          <w:color w:val="FF0000"/>
          <w:lang w:val="en-US" w:eastAsia="zh-CN"/>
        </w:rPr>
        <w:t>12</w:t>
      </w:r>
      <w:r>
        <w:rPr>
          <w:rFonts w:hint="eastAsia"/>
          <w:color w:val="FF0000"/>
        </w:rPr>
        <w:t xml:space="preserve"> 全本公示截图</w:t>
      </w:r>
    </w:p>
    <w:p w14:paraId="2E6A4FC1">
      <w:pPr>
        <w:bidi w:val="0"/>
        <w:rPr>
          <w:color w:val="FF0000"/>
        </w:rPr>
      </w:pPr>
      <w:r>
        <w:rPr>
          <w:color w:val="FF0000"/>
        </w:rPr>
        <w:t>附件</w:t>
      </w:r>
      <w:r>
        <w:rPr>
          <w:rFonts w:hint="eastAsia"/>
          <w:color w:val="FF0000"/>
          <w:lang w:val="en-US" w:eastAsia="zh-CN"/>
        </w:rPr>
        <w:t>13</w:t>
      </w:r>
      <w:r>
        <w:rPr>
          <w:rFonts w:hint="eastAsia"/>
          <w:color w:val="FF0000"/>
        </w:rPr>
        <w:t xml:space="preserve"> 声明</w:t>
      </w:r>
    </w:p>
    <w:p w14:paraId="66E4EC93">
      <w:pPr>
        <w:bidi w:val="0"/>
        <w:rPr>
          <w:rFonts w:hint="eastAsia"/>
          <w:color w:val="FF0000"/>
        </w:rPr>
      </w:pPr>
      <w:r>
        <w:rPr>
          <w:rFonts w:hint="eastAsia"/>
          <w:color w:val="FF0000"/>
        </w:rPr>
        <w:t>附件</w:t>
      </w:r>
      <w:r>
        <w:rPr>
          <w:rFonts w:hint="eastAsia"/>
          <w:color w:val="FF0000"/>
          <w:lang w:val="en-US" w:eastAsia="zh-CN"/>
        </w:rPr>
        <w:t>14</w:t>
      </w:r>
      <w:r>
        <w:rPr>
          <w:rFonts w:hint="eastAsia"/>
          <w:color w:val="FF0000"/>
        </w:rPr>
        <w:t xml:space="preserve"> 未批先建承诺书</w:t>
      </w:r>
    </w:p>
    <w:p w14:paraId="3663060C">
      <w:pPr>
        <w:bidi w:val="0"/>
        <w:rPr>
          <w:rFonts w:hint="default"/>
          <w:color w:val="FF0000"/>
          <w:lang w:val="en-US" w:eastAsia="zh-CN"/>
        </w:rPr>
      </w:pPr>
      <w:r>
        <w:rPr>
          <w:rFonts w:hint="eastAsia"/>
          <w:color w:val="FF0000"/>
        </w:rPr>
        <w:t>附件</w:t>
      </w:r>
      <w:r>
        <w:rPr>
          <w:rFonts w:hint="eastAsia"/>
          <w:color w:val="FF0000"/>
          <w:lang w:val="en-US" w:eastAsia="zh-CN"/>
        </w:rPr>
        <w:t>15</w:t>
      </w:r>
      <w:r>
        <w:rPr>
          <w:rFonts w:hint="eastAsia"/>
          <w:color w:val="FF0000"/>
        </w:rPr>
        <w:t xml:space="preserve"> </w:t>
      </w:r>
      <w:r>
        <w:rPr>
          <w:rFonts w:hint="eastAsia"/>
          <w:color w:val="FF0000"/>
          <w:lang w:val="en-US" w:eastAsia="zh-CN"/>
        </w:rPr>
        <w:t>报批申请书</w:t>
      </w:r>
    </w:p>
    <w:p w14:paraId="7FB54532">
      <w:pPr>
        <w:bidi w:val="0"/>
        <w:rPr>
          <w:rFonts w:hint="eastAsia"/>
          <w:color w:val="FF0000"/>
          <w:lang w:val="en-US" w:eastAsia="zh-CN"/>
        </w:rPr>
      </w:pPr>
      <w:r>
        <w:rPr>
          <w:rFonts w:hint="eastAsia"/>
          <w:color w:val="FF0000"/>
          <w:lang w:eastAsia="zh-CN"/>
        </w:rPr>
        <w:t>附件</w:t>
      </w:r>
      <w:r>
        <w:rPr>
          <w:rFonts w:hint="eastAsia"/>
          <w:color w:val="FF0000"/>
          <w:lang w:val="en-US" w:eastAsia="zh-CN"/>
        </w:rPr>
        <w:t>16 区域评估承诺书</w:t>
      </w:r>
    </w:p>
    <w:p w14:paraId="114A23E0">
      <w:pPr>
        <w:bidi w:val="0"/>
        <w:rPr>
          <w:rFonts w:hint="eastAsia"/>
          <w:color w:val="FF0000"/>
          <w:lang w:val="en-US" w:eastAsia="zh-CN"/>
        </w:rPr>
      </w:pPr>
      <w:r>
        <w:rPr>
          <w:rFonts w:hint="eastAsia"/>
          <w:color w:val="FF0000"/>
          <w:lang w:val="en-US" w:eastAsia="zh-CN"/>
        </w:rPr>
        <w:t>附件17 校核承诺书</w:t>
      </w:r>
    </w:p>
    <w:p w14:paraId="06DD6B20">
      <w:pPr>
        <w:bidi w:val="0"/>
        <w:rPr>
          <w:rFonts w:hint="eastAsia"/>
          <w:color w:val="FF0000"/>
          <w:lang w:val="en-US" w:eastAsia="zh-CN"/>
        </w:rPr>
      </w:pPr>
      <w:r>
        <w:rPr>
          <w:rFonts w:hint="eastAsia"/>
          <w:color w:val="FF0000"/>
          <w:lang w:val="en-US" w:eastAsia="zh-CN"/>
        </w:rPr>
        <w:t>附件18 质量控制审核单</w:t>
      </w:r>
    </w:p>
    <w:p w14:paraId="7CE97E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Cs/>
          <w:color w:val="auto"/>
          <w:sz w:val="24"/>
          <w:highlight w:val="none"/>
          <w:lang w:val="en-US" w:eastAsia="zh-CN"/>
        </w:rPr>
      </w:pPr>
    </w:p>
    <w:p w14:paraId="2D395FC2">
      <w:pPr>
        <w:numPr>
          <w:ilvl w:val="0"/>
          <w:numId w:val="0"/>
        </w:numPr>
        <w:ind w:leftChars="0"/>
        <w:rPr>
          <w:rFonts w:hint="eastAsia" w:ascii="Times New Roman" w:hAnsi="Times New Roman" w:eastAsia="宋体" w:cs="Times New Roman"/>
          <w:b/>
          <w:bCs/>
          <w:color w:val="auto"/>
          <w:sz w:val="32"/>
          <w:szCs w:val="32"/>
          <w:highlight w:val="none"/>
          <w:lang w:eastAsia="zh-CN"/>
        </w:rPr>
      </w:pPr>
    </w:p>
    <w:p w14:paraId="776B758B">
      <w:pPr>
        <w:numPr>
          <w:ilvl w:val="0"/>
          <w:numId w:val="0"/>
        </w:numPr>
        <w:ind w:leftChars="0"/>
        <w:rPr>
          <w:rFonts w:hint="default" w:ascii="Times New Roman" w:hAnsi="Times New Roman" w:eastAsia="宋体" w:cs="Times New Roman"/>
          <w:b/>
          <w:bCs/>
          <w:color w:val="auto"/>
          <w:sz w:val="32"/>
          <w:szCs w:val="32"/>
          <w:highlight w:val="none"/>
        </w:rPr>
      </w:pPr>
      <w:r>
        <w:rPr>
          <w:rFonts w:hint="eastAsia" w:ascii="Times New Roman" w:hAnsi="Times New Roman" w:eastAsia="宋体" w:cs="Times New Roman"/>
          <w:b/>
          <w:bCs/>
          <w:color w:val="auto"/>
          <w:sz w:val="32"/>
          <w:szCs w:val="32"/>
          <w:highlight w:val="none"/>
          <w:lang w:eastAsia="zh-CN"/>
        </w:rPr>
        <w:t>附图清单</w:t>
      </w:r>
    </w:p>
    <w:p w14:paraId="7314A778">
      <w:pPr>
        <w:bidi w:val="0"/>
      </w:pPr>
      <w:r>
        <w:t>附图1 项目地理位置图</w:t>
      </w:r>
    </w:p>
    <w:p w14:paraId="78F5EAA7">
      <w:pPr>
        <w:bidi w:val="0"/>
        <w:rPr>
          <w:rFonts w:hint="default"/>
          <w:lang w:val="en-US" w:eastAsia="zh-CN"/>
        </w:rPr>
      </w:pPr>
      <w:r>
        <w:t>附图</w:t>
      </w:r>
      <w:r>
        <w:rPr>
          <w:rFonts w:hint="eastAsia"/>
          <w:lang w:val="en-US" w:eastAsia="zh-CN"/>
        </w:rPr>
        <w:t>2</w:t>
      </w:r>
      <w:r>
        <w:t xml:space="preserve"> 厂区</w:t>
      </w:r>
      <w:r>
        <w:rPr>
          <w:rFonts w:hint="eastAsia"/>
          <w:lang w:val="en-US" w:eastAsia="zh-CN"/>
        </w:rPr>
        <w:t>平面布置图</w:t>
      </w:r>
    </w:p>
    <w:p w14:paraId="7A735C80">
      <w:pPr>
        <w:bidi w:val="0"/>
      </w:pPr>
      <w:r>
        <w:rPr>
          <w:rFonts w:hint="eastAsia"/>
          <w:lang w:eastAsia="zh-CN"/>
        </w:rPr>
        <w:t>附图</w:t>
      </w:r>
      <w:r>
        <w:rPr>
          <w:rFonts w:hint="eastAsia"/>
          <w:lang w:val="en-US" w:eastAsia="zh-CN"/>
        </w:rPr>
        <w:t xml:space="preserve">3 </w:t>
      </w:r>
      <w:r>
        <w:rPr>
          <w:rFonts w:hint="eastAsia"/>
        </w:rPr>
        <w:t>环境保护目标分布图</w:t>
      </w:r>
    </w:p>
    <w:p w14:paraId="19873C1D">
      <w:pPr>
        <w:bidi w:val="0"/>
        <w:rPr>
          <w:rFonts w:hint="default"/>
          <w:lang w:val="en-US" w:eastAsia="zh-CN"/>
        </w:rPr>
      </w:pPr>
      <w:r>
        <w:rPr>
          <w:rFonts w:hint="eastAsia"/>
        </w:rPr>
        <w:t>附图</w:t>
      </w:r>
      <w:r>
        <w:rPr>
          <w:rFonts w:hint="eastAsia"/>
          <w:lang w:val="en-US" w:eastAsia="zh-CN"/>
        </w:rPr>
        <w:t>4</w:t>
      </w:r>
      <w:r>
        <w:rPr>
          <w:rFonts w:hint="eastAsia"/>
        </w:rPr>
        <w:t xml:space="preserve">  </w:t>
      </w:r>
      <w:bookmarkStart w:id="72" w:name="pindex7443"/>
      <w:bookmarkEnd w:id="72"/>
      <w:r>
        <w:rPr>
          <w:rFonts w:hint="eastAsia"/>
          <w:lang w:val="en-US" w:eastAsia="zh-CN"/>
        </w:rPr>
        <w:t>江宁区生态保护红线分布图（2023年）</w:t>
      </w:r>
    </w:p>
    <w:p w14:paraId="7F013964">
      <w:pPr>
        <w:bidi w:val="0"/>
        <w:rPr>
          <w:rFonts w:hint="eastAsia"/>
          <w:lang w:eastAsia="zh-CN"/>
        </w:rPr>
      </w:pPr>
      <w:r>
        <w:rPr>
          <w:rFonts w:hint="eastAsia"/>
          <w:lang w:val="en-US" w:eastAsia="zh-CN"/>
        </w:rPr>
        <w:t>附图5  江宁区生态空间管控区域分布图</w:t>
      </w:r>
      <w:r>
        <w:rPr>
          <w:rFonts w:hint="eastAsia"/>
          <w:lang w:eastAsia="zh-CN"/>
        </w:rPr>
        <w:t>（</w:t>
      </w:r>
      <w:r>
        <w:rPr>
          <w:rFonts w:hint="eastAsia"/>
          <w:lang w:val="en-US" w:eastAsia="zh-CN"/>
        </w:rPr>
        <w:t>2023年</w:t>
      </w:r>
      <w:r>
        <w:rPr>
          <w:rFonts w:hint="eastAsia"/>
          <w:lang w:eastAsia="zh-CN"/>
        </w:rPr>
        <w:t>）</w:t>
      </w:r>
    </w:p>
    <w:p w14:paraId="536EA95C">
      <w:pPr>
        <w:bidi w:val="0"/>
        <w:rPr>
          <w:rFonts w:hint="default"/>
          <w:lang w:val="en-US" w:eastAsia="zh-CN"/>
        </w:rPr>
      </w:pPr>
      <w:r>
        <w:rPr>
          <w:rFonts w:hint="eastAsia"/>
          <w:lang w:val="en-US" w:eastAsia="zh-CN"/>
        </w:rPr>
        <w:t xml:space="preserve">附图6  </w:t>
      </w:r>
      <w:r>
        <w:rPr>
          <w:rFonts w:hint="eastAsia"/>
          <w:lang w:eastAsia="zh-CN"/>
        </w:rPr>
        <w:t>江宁经济技术开发区</w:t>
      </w:r>
      <w:r>
        <w:rPr>
          <w:rFonts w:hint="eastAsia"/>
        </w:rPr>
        <w:t>近期土地利用规划图-2025年</w:t>
      </w:r>
      <w:bookmarkStart w:id="73" w:name="pindex7444"/>
      <w:bookmarkEnd w:id="73"/>
    </w:p>
    <w:p w14:paraId="5E905B99">
      <w:pPr>
        <w:bidi w:val="0"/>
        <w:rPr>
          <w:rFonts w:hint="eastAsia"/>
          <w:lang w:eastAsia="zh-CN"/>
        </w:rPr>
      </w:pPr>
      <w:r>
        <w:rPr>
          <w:rFonts w:hint="eastAsia"/>
          <w:lang w:val="en-US" w:eastAsia="zh-CN"/>
        </w:rPr>
        <w:t xml:space="preserve">附图7  </w:t>
      </w:r>
      <w:r>
        <w:rPr>
          <w:rFonts w:hint="eastAsia"/>
          <w:lang w:eastAsia="zh-CN"/>
        </w:rPr>
        <w:t>江宁经济技术开发区</w:t>
      </w:r>
      <w:r>
        <w:rPr>
          <w:rFonts w:hint="eastAsia"/>
          <w:lang w:val="en-US" w:eastAsia="zh-CN"/>
        </w:rPr>
        <w:t>远</w:t>
      </w:r>
      <w:r>
        <w:rPr>
          <w:rFonts w:hint="eastAsia"/>
        </w:rPr>
        <w:t>期土地利用规划图-20</w:t>
      </w:r>
      <w:r>
        <w:rPr>
          <w:rFonts w:hint="eastAsia"/>
          <w:lang w:val="en-US" w:eastAsia="zh-CN"/>
        </w:rPr>
        <w:t>3</w:t>
      </w:r>
      <w:r>
        <w:rPr>
          <w:rFonts w:hint="eastAsia"/>
        </w:rPr>
        <w:t>5年</w:t>
      </w:r>
    </w:p>
    <w:p w14:paraId="71E3368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eastAsia="宋体"/>
          <w:bCs/>
          <w:color w:val="auto"/>
          <w:sz w:val="24"/>
          <w:highlight w:val="none"/>
          <w:lang w:eastAsia="zh-CN"/>
        </w:rPr>
      </w:pPr>
    </w:p>
    <w:sectPr>
      <w:pgSz w:w="11906" w:h="16838"/>
      <w:pgMar w:top="1440" w:right="1800" w:bottom="1440" w:left="1800" w:header="851" w:footer="850" w:gutter="0"/>
      <w:pgBorders>
        <w:top w:val="none" w:sz="0" w:space="0"/>
        <w:left w:val="none" w:sz="0" w:space="0"/>
        <w:bottom w:val="none" w:sz="0" w:space="0"/>
        <w:right w:val="none" w:sz="0" w:space="0"/>
      </w:pgBorders>
      <w:cols w:space="72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_GB2312">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eorgia">
    <w:panose1 w:val="02040502050405020303"/>
    <w:charset w:val="00"/>
    <w:family w:val="roman"/>
    <w:pitch w:val="default"/>
    <w:sig w:usb0="00000287" w:usb1="00000000" w:usb2="00000000" w:usb3="00000000" w:csb0="2000009F"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TimesNewRoman">
    <w:altName w:val="Times New Roman"/>
    <w:panose1 w:val="00000000000000000000"/>
    <w:charset w:val="00"/>
    <w:family w:val="auto"/>
    <w:pitch w:val="default"/>
    <w:sig w:usb0="00000000" w:usb1="00000000" w:usb2="00000000"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方正仿宋_GBK">
    <w:altName w:val="微软雅黑"/>
    <w:panose1 w:val="03000509000000000000"/>
    <w:charset w:val="86"/>
    <w:family w:val="auto"/>
    <w:pitch w:val="default"/>
    <w:sig w:usb0="00000000" w:usb1="00000000" w:usb2="0000000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CF229">
    <w:pPr>
      <w:pStyle w:val="22"/>
      <w:framePr w:wrap="around" w:vAnchor="text" w:hAnchor="margin" w:xAlign="outside" w:y="1"/>
      <w:rPr>
        <w:rStyle w:val="35"/>
        <w:rFonts w:ascii="宋体" w:hAnsi="宋体"/>
        <w:sz w:val="28"/>
        <w:szCs w:val="28"/>
      </w:rPr>
    </w:pPr>
  </w:p>
  <w:p w14:paraId="1E98AA42">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F0EA9">
    <w:pPr>
      <w:pStyle w:val="22"/>
      <w:framePr w:wrap="around" w:vAnchor="text" w:hAnchor="margin" w:xAlign="center" w:y="1"/>
      <w:rPr>
        <w:rStyle w:val="35"/>
      </w:rPr>
    </w:pPr>
    <w:r>
      <w:fldChar w:fldCharType="begin"/>
    </w:r>
    <w:r>
      <w:rPr>
        <w:rStyle w:val="35"/>
      </w:rPr>
      <w:instrText xml:space="preserve">PAGE  </w:instrText>
    </w:r>
    <w:r>
      <w:fldChar w:fldCharType="end"/>
    </w:r>
  </w:p>
  <w:p w14:paraId="4A5CDD76">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99E02">
    <w:pPr>
      <w:pStyle w:val="22"/>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1B1CB8">
                          <w:pPr>
                            <w:pStyle w:val="22"/>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76</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01B1CB8">
                    <w:pPr>
                      <w:pStyle w:val="22"/>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76</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28E85">
    <w:pPr>
      <w:pStyle w:val="2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7F293">
                          <w:pPr>
                            <w:pStyle w:val="22"/>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76</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087F293">
                    <w:pPr>
                      <w:pStyle w:val="22"/>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76</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29F16">
    <w:pPr>
      <w:pStyle w:val="22"/>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422F5A">
                          <w:pPr>
                            <w:pStyle w:val="22"/>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77</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9422F5A">
                    <w:pPr>
                      <w:pStyle w:val="22"/>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77</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16499">
    <w:pPr>
      <w:pStyle w:val="22"/>
      <w:framePr w:wrap="around" w:vAnchor="text" w:hAnchor="margin" w:xAlign="outside" w:y="1"/>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11</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p w14:paraId="2C36646E">
    <w:pPr>
      <w:pStyle w:val="22"/>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F98E5A"/>
    <w:multiLevelType w:val="singleLevel"/>
    <w:tmpl w:val="92F98E5A"/>
    <w:lvl w:ilvl="0" w:tentative="0">
      <w:start w:val="1"/>
      <w:numFmt w:val="decimal"/>
      <w:pStyle w:val="46"/>
      <w:suff w:val="space"/>
      <w:lvlText w:val="图4-%1"/>
      <w:lvlJc w:val="center"/>
      <w:pPr>
        <w:tabs>
          <w:tab w:val="left" w:pos="0"/>
        </w:tabs>
        <w:ind w:left="0" w:leftChars="0" w:firstLine="0" w:firstLineChars="0"/>
      </w:pPr>
      <w:rPr>
        <w:rFonts w:hint="default"/>
      </w:rPr>
    </w:lvl>
  </w:abstractNum>
  <w:abstractNum w:abstractNumId="1">
    <w:nsid w:val="A6C74582"/>
    <w:multiLevelType w:val="singleLevel"/>
    <w:tmpl w:val="A6C74582"/>
    <w:lvl w:ilvl="0" w:tentative="0">
      <w:start w:val="1"/>
      <w:numFmt w:val="decimal"/>
      <w:suff w:val="nothing"/>
      <w:lvlText w:val="%1"/>
      <w:lvlJc w:val="left"/>
      <w:pPr>
        <w:tabs>
          <w:tab w:val="left" w:pos="420"/>
        </w:tabs>
        <w:ind w:left="425" w:leftChars="0" w:hanging="425" w:firstLineChars="0"/>
      </w:pPr>
      <w:rPr>
        <w:rFonts w:hint="default"/>
      </w:rPr>
    </w:lvl>
  </w:abstractNum>
  <w:abstractNum w:abstractNumId="2">
    <w:nsid w:val="B461FCC5"/>
    <w:multiLevelType w:val="singleLevel"/>
    <w:tmpl w:val="B461FCC5"/>
    <w:lvl w:ilvl="0" w:tentative="0">
      <w:start w:val="1"/>
      <w:numFmt w:val="decimal"/>
      <w:suff w:val="nothing"/>
      <w:lvlText w:val="%1）"/>
      <w:lvlJc w:val="left"/>
      <w:rPr>
        <w:rFonts w:hint="default"/>
        <w:b w:val="0"/>
        <w:bCs w:val="0"/>
      </w:rPr>
    </w:lvl>
  </w:abstractNum>
  <w:abstractNum w:abstractNumId="3">
    <w:nsid w:val="B8C7ED6E"/>
    <w:multiLevelType w:val="multilevel"/>
    <w:tmpl w:val="B8C7ED6E"/>
    <w:lvl w:ilvl="0" w:tentative="0">
      <w:start w:val="1"/>
      <w:numFmt w:val="decimal"/>
      <w:suff w:val="space"/>
      <w:lvlText w:val="%1"/>
      <w:lvlJc w:val="left"/>
      <w:pPr>
        <w:tabs>
          <w:tab w:val="left" w:pos="420"/>
        </w:tabs>
        <w:ind w:left="432" w:hanging="432"/>
      </w:pPr>
      <w:rPr>
        <w:rFonts w:hint="default"/>
      </w:rPr>
    </w:lvl>
    <w:lvl w:ilvl="1" w:tentative="0">
      <w:start w:val="1"/>
      <w:numFmt w:val="decimal"/>
      <w:suff w:val="space"/>
      <w:lvlText w:val="%1.%2"/>
      <w:lvlJc w:val="left"/>
      <w:pPr>
        <w:tabs>
          <w:tab w:val="left" w:pos="420"/>
        </w:tabs>
        <w:ind w:left="575" w:hanging="575"/>
      </w:pPr>
      <w:rPr>
        <w:rFonts w:hint="default"/>
      </w:rPr>
    </w:lvl>
    <w:lvl w:ilvl="2" w:tentative="0">
      <w:start w:val="1"/>
      <w:numFmt w:val="decimal"/>
      <w:suff w:val="space"/>
      <w:lvlText w:val="%1.%2.%3"/>
      <w:lvlJc w:val="left"/>
      <w:pPr>
        <w:tabs>
          <w:tab w:val="left" w:pos="420"/>
        </w:tabs>
        <w:ind w:left="720" w:hanging="720"/>
      </w:pPr>
      <w:rPr>
        <w:rFonts w:hint="default"/>
      </w:rPr>
    </w:lvl>
    <w:lvl w:ilvl="3" w:tentative="0">
      <w:start w:val="1"/>
      <w:numFmt w:val="decimal"/>
      <w:suff w:val="space"/>
      <w:lvlText w:val="%1.%2.%3.%4"/>
      <w:lvlJc w:val="left"/>
      <w:pPr>
        <w:tabs>
          <w:tab w:val="left" w:pos="420"/>
        </w:tabs>
        <w:ind w:left="864" w:hanging="864"/>
      </w:pPr>
      <w:rPr>
        <w:rFonts w:hint="default"/>
      </w:rPr>
    </w:lvl>
    <w:lvl w:ilvl="4" w:tentative="0">
      <w:start w:val="1"/>
      <w:numFmt w:val="decimal"/>
      <w:lvlRestart w:val="2"/>
      <w:suff w:val="nothing"/>
      <w:lvlText w:val="表%1.%2-%5  "/>
      <w:lvlJc w:val="left"/>
      <w:pPr>
        <w:tabs>
          <w:tab w:val="left" w:pos="0"/>
        </w:tabs>
        <w:ind w:left="1008" w:hanging="1008"/>
      </w:pPr>
      <w:rPr>
        <w:rFonts w:hint="default"/>
        <w:b/>
        <w:sz w:val="24"/>
      </w:rPr>
    </w:lvl>
    <w:lvl w:ilvl="5" w:tentative="0">
      <w:start w:val="1"/>
      <w:numFmt w:val="decimal"/>
      <w:lvlRestart w:val="2"/>
      <w:pStyle w:val="7"/>
      <w:suff w:val="space"/>
      <w:lvlText w:val="图%1.%2-%6 "/>
      <w:lvlJc w:val="left"/>
      <w:pPr>
        <w:tabs>
          <w:tab w:val="left" w:pos="420"/>
        </w:tabs>
        <w:ind w:left="0" w:leftChars="0" w:firstLine="0" w:firstLineChars="0"/>
      </w:pPr>
      <w:rPr>
        <w:rFonts w:hint="default" w:ascii="Times New Roman" w:hAnsi="Times New Roman" w:eastAsia="宋体" w:cs="宋体"/>
        <w:b/>
        <w:sz w:val="24"/>
      </w:rPr>
    </w:lvl>
    <w:lvl w:ilvl="6" w:tentative="0">
      <w:start w:val="1"/>
      <w:numFmt w:val="decimal"/>
      <w:lvlText w:val="%1.%2.%3.%4.%5.%6.%7."/>
      <w:lvlJc w:val="left"/>
      <w:pPr>
        <w:tabs>
          <w:tab w:val="left" w:pos="420"/>
        </w:tabs>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4">
    <w:nsid w:val="D2B159DF"/>
    <w:multiLevelType w:val="singleLevel"/>
    <w:tmpl w:val="D2B159DF"/>
    <w:lvl w:ilvl="0" w:tentative="0">
      <w:start w:val="1"/>
      <w:numFmt w:val="decimal"/>
      <w:pStyle w:val="44"/>
      <w:suff w:val="space"/>
      <w:lvlText w:val="表2-%1"/>
      <w:lvlJc w:val="left"/>
      <w:pPr>
        <w:tabs>
          <w:tab w:val="left" w:pos="0"/>
        </w:tabs>
        <w:ind w:left="0" w:leftChars="0" w:firstLine="0" w:firstLineChars="0"/>
      </w:pPr>
      <w:rPr>
        <w:rFonts w:hint="default"/>
        <w:color w:val="auto"/>
      </w:rPr>
    </w:lvl>
  </w:abstractNum>
  <w:abstractNum w:abstractNumId="5">
    <w:nsid w:val="D2FBE27A"/>
    <w:multiLevelType w:val="singleLevel"/>
    <w:tmpl w:val="D2FBE27A"/>
    <w:lvl w:ilvl="0" w:tentative="0">
      <w:start w:val="1"/>
      <w:numFmt w:val="decimal"/>
      <w:suff w:val="nothing"/>
      <w:lvlText w:val="%1"/>
      <w:lvlJc w:val="left"/>
      <w:pPr>
        <w:tabs>
          <w:tab w:val="left" w:pos="397"/>
        </w:tabs>
        <w:ind w:left="454" w:leftChars="0" w:hanging="454" w:firstLineChars="0"/>
      </w:pPr>
      <w:rPr>
        <w:rFonts w:hint="default"/>
      </w:rPr>
    </w:lvl>
  </w:abstractNum>
  <w:abstractNum w:abstractNumId="6">
    <w:nsid w:val="E4958998"/>
    <w:multiLevelType w:val="singleLevel"/>
    <w:tmpl w:val="E4958998"/>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7">
    <w:nsid w:val="E63CF285"/>
    <w:multiLevelType w:val="singleLevel"/>
    <w:tmpl w:val="E63CF285"/>
    <w:lvl w:ilvl="0" w:tentative="0">
      <w:start w:val="1"/>
      <w:numFmt w:val="decimal"/>
      <w:pStyle w:val="40"/>
      <w:suff w:val="space"/>
      <w:lvlText w:val="表3-%1"/>
      <w:lvlJc w:val="left"/>
      <w:pPr>
        <w:tabs>
          <w:tab w:val="left" w:pos="420"/>
        </w:tabs>
        <w:ind w:left="0" w:leftChars="0" w:firstLine="0" w:firstLineChars="0"/>
      </w:pPr>
      <w:rPr>
        <w:rFonts w:hint="default"/>
      </w:rPr>
    </w:lvl>
  </w:abstractNum>
  <w:abstractNum w:abstractNumId="8">
    <w:nsid w:val="E7B8B71E"/>
    <w:multiLevelType w:val="singleLevel"/>
    <w:tmpl w:val="E7B8B71E"/>
    <w:lvl w:ilvl="0" w:tentative="0">
      <w:start w:val="1"/>
      <w:numFmt w:val="decimal"/>
      <w:suff w:val="nothing"/>
      <w:lvlText w:val="%1）"/>
      <w:lvlJc w:val="left"/>
    </w:lvl>
  </w:abstractNum>
  <w:abstractNum w:abstractNumId="9">
    <w:nsid w:val="F4D6496B"/>
    <w:multiLevelType w:val="multilevel"/>
    <w:tmpl w:val="F4D6496B"/>
    <w:lvl w:ilvl="0" w:tentative="0">
      <w:start w:val="1"/>
      <w:numFmt w:val="decimal"/>
      <w:suff w:val="space"/>
      <w:lvlText w:val="%1"/>
      <w:lvlJc w:val="left"/>
      <w:pPr>
        <w:tabs>
          <w:tab w:val="left" w:pos="0"/>
        </w:tabs>
        <w:ind w:left="0" w:leftChars="0" w:firstLine="0" w:firstLineChars="0"/>
      </w:pPr>
      <w:rPr>
        <w:rFonts w:hint="default"/>
        <w:b/>
        <w:sz w:val="32"/>
      </w:rPr>
    </w:lvl>
    <w:lvl w:ilvl="1" w:tentative="0">
      <w:start w:val="1"/>
      <w:numFmt w:val="decimal"/>
      <w:suff w:val="space"/>
      <w:lvlText w:val="%1.%2"/>
      <w:lvlJc w:val="left"/>
      <w:pPr>
        <w:tabs>
          <w:tab w:val="left" w:pos="0"/>
        </w:tabs>
        <w:ind w:left="0" w:leftChars="0" w:firstLine="0" w:firstLineChars="0"/>
      </w:pPr>
      <w:rPr>
        <w:rFonts w:hint="default" w:ascii="Times New Roman" w:hAnsi="Times New Roman" w:eastAsia="宋体" w:cs="仿宋"/>
        <w:sz w:val="30"/>
      </w:rPr>
    </w:lvl>
    <w:lvl w:ilvl="2" w:tentative="0">
      <w:start w:val="1"/>
      <w:numFmt w:val="decimal"/>
      <w:suff w:val="space"/>
      <w:lvlText w:val="%1.%2.%3"/>
      <w:lvlJc w:val="left"/>
      <w:pPr>
        <w:tabs>
          <w:tab w:val="left" w:pos="0"/>
        </w:tabs>
        <w:ind w:left="0" w:leftChars="0" w:firstLine="0" w:firstLineChars="0"/>
      </w:pPr>
      <w:rPr>
        <w:rFonts w:hint="default" w:ascii="Times New Roman" w:hAnsi="Times New Roman" w:eastAsia="宋体" w:cs="仿宋"/>
        <w:sz w:val="28"/>
      </w:rPr>
    </w:lvl>
    <w:lvl w:ilvl="3" w:tentative="0">
      <w:start w:val="1"/>
      <w:numFmt w:val="decimal"/>
      <w:suff w:val="space"/>
      <w:lvlText w:val="%1.%2.%3.%4"/>
      <w:lvlJc w:val="left"/>
      <w:pPr>
        <w:tabs>
          <w:tab w:val="left" w:pos="420"/>
        </w:tabs>
        <w:ind w:left="0" w:leftChars="0" w:firstLine="0" w:firstLineChars="0"/>
      </w:pPr>
      <w:rPr>
        <w:rFonts w:hint="default" w:ascii="Times New Roman" w:hAnsi="Times New Roman" w:eastAsia="宋体" w:cs="仿宋"/>
        <w:b/>
        <w:sz w:val="24"/>
      </w:rPr>
    </w:lvl>
    <w:lvl w:ilvl="4" w:tentative="0">
      <w:start w:val="1"/>
      <w:numFmt w:val="decimal"/>
      <w:lvlRestart w:val="2"/>
      <w:suff w:val="nothing"/>
      <w:lvlText w:val="表%1.%2-%5  "/>
      <w:lvlJc w:val="left"/>
      <w:pPr>
        <w:tabs>
          <w:tab w:val="left" w:pos="0"/>
        </w:tabs>
        <w:ind w:left="0" w:leftChars="0" w:firstLine="0" w:firstLineChars="0"/>
      </w:pPr>
      <w:rPr>
        <w:rFonts w:hint="default" w:ascii="Times New Roman" w:hAnsi="Times New Roman" w:eastAsia="宋体" w:cs="仿宋"/>
        <w:b/>
        <w:color w:val="auto"/>
        <w:sz w:val="24"/>
      </w:rPr>
    </w:lvl>
    <w:lvl w:ilvl="5" w:tentative="0">
      <w:start w:val="1"/>
      <w:numFmt w:val="decimal"/>
      <w:lvlRestart w:val="2"/>
      <w:pStyle w:val="6"/>
      <w:suff w:val="space"/>
      <w:lvlText w:val="图%1.%2-%6"/>
      <w:lvlJc w:val="left"/>
      <w:pPr>
        <w:tabs>
          <w:tab w:val="left" w:pos="420"/>
        </w:tabs>
        <w:ind w:left="0" w:leftChars="0" w:firstLine="0" w:firstLineChars="0"/>
      </w:pPr>
      <w:rPr>
        <w:rFonts w:hint="default" w:ascii="Times New Roman" w:hAnsi="Times New Roman" w:eastAsia="宋体" w:cs="Times New Roman"/>
        <w:b/>
        <w:sz w:val="24"/>
        <w:szCs w:val="24"/>
      </w:rPr>
    </w:lvl>
    <w:lvl w:ilvl="6" w:tentative="0">
      <w:start w:val="1"/>
      <w:numFmt w:val="decimal"/>
      <w:lvlRestart w:val="2"/>
      <w:suff w:val="space"/>
      <w:lvlText w:val="表%1.%2-%7."/>
      <w:lvlJc w:val="left"/>
      <w:pPr>
        <w:tabs>
          <w:tab w:val="left" w:pos="0"/>
        </w:tabs>
        <w:ind w:left="425" w:hanging="425"/>
      </w:pPr>
      <w:rPr>
        <w:rFonts w:hint="default" w:ascii="Times New Roman" w:hAnsi="Times New Roman" w:eastAsia="宋体" w:cs="仿宋"/>
        <w:b/>
        <w:sz w:val="21"/>
        <w:szCs w:val="21"/>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F660B5D9"/>
    <w:multiLevelType w:val="multilevel"/>
    <w:tmpl w:val="F660B5D9"/>
    <w:lvl w:ilvl="0" w:tentative="0">
      <w:start w:val="1"/>
      <w:numFmt w:val="decimal"/>
      <w:pStyle w:val="3"/>
      <w:suff w:val="nothing"/>
      <w:lvlText w:val="表4-%1  "/>
      <w:lvlJc w:val="center"/>
      <w:pPr>
        <w:tabs>
          <w:tab w:val="left" w:pos="0"/>
        </w:tabs>
        <w:ind w:left="0"/>
      </w:pPr>
      <w:rPr>
        <w:rFonts w:hint="default" w:ascii="Times New Roman" w:hAnsi="Times New Roman" w:eastAsia="宋体" w:cs="宋体"/>
        <w:b/>
        <w:bCs/>
        <w:sz w:val="21"/>
        <w:szCs w:val="24"/>
      </w:rPr>
    </w:lvl>
    <w:lvl w:ilvl="1" w:tentative="0">
      <w:start w:val="1"/>
      <w:numFmt w:val="lowerLetter"/>
      <w:lvlText w:val="%2)"/>
      <w:lvlJc w:val="left"/>
      <w:pPr>
        <w:tabs>
          <w:tab w:val="left" w:pos="-840"/>
        </w:tabs>
        <w:ind w:left="-840" w:hanging="420"/>
      </w:pPr>
      <w:rPr>
        <w:rFonts w:hint="default" w:ascii="宋体" w:hAnsi="宋体" w:eastAsia="宋体"/>
      </w:rPr>
    </w:lvl>
    <w:lvl w:ilvl="2" w:tentative="0">
      <w:start w:val="1"/>
      <w:numFmt w:val="decimal"/>
      <w:pStyle w:val="4"/>
      <w:suff w:val="nothing"/>
      <w:lvlText w:val="图4-%3  "/>
      <w:lvlJc w:val="left"/>
      <w:pPr>
        <w:tabs>
          <w:tab w:val="left" w:pos="0"/>
        </w:tabs>
        <w:ind w:left="-420" w:hanging="420"/>
      </w:pPr>
      <w:rPr>
        <w:rFonts w:hint="default" w:ascii="Times New Roman" w:hAnsi="Times New Roman" w:eastAsia="宋体" w:cs="Times New Roman"/>
        <w:b/>
        <w:bCs/>
        <w:sz w:val="24"/>
        <w:szCs w:val="24"/>
      </w:rPr>
    </w:lvl>
    <w:lvl w:ilvl="3" w:tentative="0">
      <w:start w:val="1"/>
      <w:numFmt w:val="decimal"/>
      <w:lvlText w:val="%4."/>
      <w:lvlJc w:val="left"/>
      <w:pPr>
        <w:tabs>
          <w:tab w:val="left" w:pos="0"/>
        </w:tabs>
        <w:ind w:left="0" w:hanging="420"/>
      </w:pPr>
      <w:rPr>
        <w:rFonts w:hint="default" w:ascii="宋体" w:hAnsi="宋体" w:eastAsia="宋体"/>
      </w:rPr>
    </w:lvl>
    <w:lvl w:ilvl="4" w:tentative="0">
      <w:start w:val="1"/>
      <w:numFmt w:val="lowerLetter"/>
      <w:lvlText w:val="%5)"/>
      <w:lvlJc w:val="left"/>
      <w:pPr>
        <w:tabs>
          <w:tab w:val="left" w:pos="420"/>
        </w:tabs>
        <w:ind w:left="420" w:hanging="420"/>
      </w:pPr>
      <w:rPr>
        <w:rFonts w:hint="default" w:ascii="宋体" w:hAnsi="宋体" w:eastAsia="宋体"/>
      </w:rPr>
    </w:lvl>
    <w:lvl w:ilvl="5" w:tentative="0">
      <w:start w:val="1"/>
      <w:numFmt w:val="lowerRoman"/>
      <w:lvlText w:val="%6."/>
      <w:lvlJc w:val="left"/>
      <w:pPr>
        <w:tabs>
          <w:tab w:val="left" w:pos="840"/>
        </w:tabs>
        <w:ind w:left="840" w:hanging="420"/>
      </w:pPr>
      <w:rPr>
        <w:rFonts w:hint="default" w:ascii="宋体" w:hAnsi="宋体" w:eastAsia="宋体"/>
      </w:rPr>
    </w:lvl>
    <w:lvl w:ilvl="6" w:tentative="0">
      <w:start w:val="1"/>
      <w:numFmt w:val="decimal"/>
      <w:lvlText w:val="%7."/>
      <w:lvlJc w:val="left"/>
      <w:pPr>
        <w:tabs>
          <w:tab w:val="left" w:pos="1260"/>
        </w:tabs>
        <w:ind w:left="1260" w:hanging="420"/>
      </w:pPr>
      <w:rPr>
        <w:rFonts w:hint="default" w:ascii="宋体" w:hAnsi="宋体" w:eastAsia="宋体"/>
      </w:rPr>
    </w:lvl>
    <w:lvl w:ilvl="7" w:tentative="0">
      <w:start w:val="1"/>
      <w:numFmt w:val="lowerLetter"/>
      <w:lvlText w:val="%8)"/>
      <w:lvlJc w:val="left"/>
      <w:pPr>
        <w:tabs>
          <w:tab w:val="left" w:pos="1680"/>
        </w:tabs>
        <w:ind w:left="1680" w:hanging="420"/>
      </w:pPr>
      <w:rPr>
        <w:rFonts w:hint="default" w:ascii="宋体" w:hAnsi="宋体" w:eastAsia="宋体"/>
      </w:rPr>
    </w:lvl>
    <w:lvl w:ilvl="8" w:tentative="0">
      <w:start w:val="1"/>
      <w:numFmt w:val="lowerRoman"/>
      <w:lvlText w:val="%9."/>
      <w:lvlJc w:val="left"/>
      <w:pPr>
        <w:tabs>
          <w:tab w:val="left" w:pos="2100"/>
        </w:tabs>
        <w:ind w:left="2100" w:hanging="420"/>
      </w:pPr>
      <w:rPr>
        <w:rFonts w:hint="default" w:ascii="宋体" w:hAnsi="宋体" w:eastAsia="宋体"/>
      </w:rPr>
    </w:lvl>
  </w:abstractNum>
  <w:abstractNum w:abstractNumId="11">
    <w:nsid w:val="FFFFFFFB"/>
    <w:multiLevelType w:val="multilevel"/>
    <w:tmpl w:val="FFFFFFFB"/>
    <w:lvl w:ilvl="0" w:tentative="0">
      <w:start w:val="1"/>
      <w:numFmt w:val="upperRoman"/>
      <w:lvlText w:val="6-%1."/>
      <w:legacy w:legacy="1" w:legacySpace="0" w:legacyIndent="425"/>
      <w:lvlJc w:val="left"/>
      <w:pPr>
        <w:ind w:left="425" w:hanging="425"/>
      </w:pPr>
    </w:lvl>
    <w:lvl w:ilvl="1" w:tentative="0">
      <w:start w:val="1"/>
      <w:numFmt w:val="upperLetter"/>
      <w:lvlText w:val="%2."/>
      <w:legacy w:legacy="1" w:legacySpace="0" w:legacyIndent="425"/>
      <w:lvlJc w:val="left"/>
      <w:pPr>
        <w:ind w:left="850" w:hanging="425"/>
      </w:pPr>
    </w:lvl>
    <w:lvl w:ilvl="2" w:tentative="0">
      <w:start w:val="1"/>
      <w:numFmt w:val="decimal"/>
      <w:lvlText w:val="%3."/>
      <w:legacy w:legacy="1" w:legacySpace="0" w:legacyIndent="425"/>
      <w:lvlJc w:val="left"/>
      <w:pPr>
        <w:ind w:left="1275" w:hanging="425"/>
      </w:pPr>
    </w:lvl>
    <w:lvl w:ilvl="3" w:tentative="0">
      <w:start w:val="1"/>
      <w:numFmt w:val="lowerLetter"/>
      <w:pStyle w:val="5"/>
      <w:lvlText w:val="%4)"/>
      <w:legacy w:legacy="1" w:legacySpace="0" w:legacyIndent="425"/>
      <w:lvlJc w:val="left"/>
      <w:pPr>
        <w:ind w:left="1700" w:hanging="425"/>
      </w:pPr>
    </w:lvl>
    <w:lvl w:ilvl="4" w:tentative="0">
      <w:start w:val="1"/>
      <w:numFmt w:val="decimal"/>
      <w:lvlText w:val="(%5)"/>
      <w:legacy w:legacy="1" w:legacySpace="0" w:legacyIndent="425"/>
      <w:lvlJc w:val="left"/>
      <w:pPr>
        <w:ind w:left="2125" w:hanging="425"/>
      </w:pPr>
    </w:lvl>
    <w:lvl w:ilvl="5" w:tentative="0">
      <w:start w:val="1"/>
      <w:numFmt w:val="lowerLetter"/>
      <w:lvlText w:val="(%6)"/>
      <w:legacy w:legacy="1" w:legacySpace="0" w:legacyIndent="425"/>
      <w:lvlJc w:val="left"/>
      <w:pPr>
        <w:ind w:left="2550" w:hanging="425"/>
      </w:pPr>
    </w:lvl>
    <w:lvl w:ilvl="6" w:tentative="0">
      <w:start w:val="1"/>
      <w:numFmt w:val="lowerRoman"/>
      <w:lvlText w:val="(%7)"/>
      <w:legacy w:legacy="1" w:legacySpace="0" w:legacyIndent="425"/>
      <w:lvlJc w:val="left"/>
      <w:pPr>
        <w:ind w:left="2975" w:hanging="425"/>
      </w:pPr>
    </w:lvl>
    <w:lvl w:ilvl="7" w:tentative="0">
      <w:start w:val="1"/>
      <w:numFmt w:val="lowerLetter"/>
      <w:lvlText w:val="(%8)"/>
      <w:legacy w:legacy="1" w:legacySpace="0" w:legacyIndent="425"/>
      <w:lvlJc w:val="left"/>
      <w:pPr>
        <w:ind w:left="3400" w:hanging="425"/>
      </w:pPr>
    </w:lvl>
    <w:lvl w:ilvl="8" w:tentative="0">
      <w:start w:val="1"/>
      <w:numFmt w:val="lowerRoman"/>
      <w:lvlText w:val="(%9)"/>
      <w:legacy w:legacy="1" w:legacySpace="0" w:legacyIndent="425"/>
      <w:lvlJc w:val="left"/>
      <w:pPr>
        <w:ind w:left="3825" w:hanging="425"/>
      </w:pPr>
    </w:lvl>
  </w:abstractNum>
  <w:abstractNum w:abstractNumId="12">
    <w:nsid w:val="0B3FCBC2"/>
    <w:multiLevelType w:val="singleLevel"/>
    <w:tmpl w:val="0B3FCBC2"/>
    <w:lvl w:ilvl="0" w:tentative="0">
      <w:start w:val="1"/>
      <w:numFmt w:val="decimal"/>
      <w:pStyle w:val="162"/>
      <w:suff w:val="space"/>
      <w:lvlText w:val="表4-%1"/>
      <w:lvlJc w:val="center"/>
      <w:pPr>
        <w:tabs>
          <w:tab w:val="left" w:pos="0"/>
        </w:tabs>
        <w:ind w:left="0" w:leftChars="0" w:firstLine="0" w:firstLineChars="0"/>
      </w:pPr>
      <w:rPr>
        <w:rFonts w:hint="default"/>
      </w:rPr>
    </w:lvl>
  </w:abstractNum>
  <w:abstractNum w:abstractNumId="13">
    <w:nsid w:val="1023D97A"/>
    <w:multiLevelType w:val="singleLevel"/>
    <w:tmpl w:val="1023D97A"/>
    <w:lvl w:ilvl="0" w:tentative="0">
      <w:start w:val="1"/>
      <w:numFmt w:val="decimal"/>
      <w:suff w:val="nothing"/>
      <w:lvlText w:val="%1"/>
      <w:lvlJc w:val="left"/>
      <w:pPr>
        <w:tabs>
          <w:tab w:val="left" w:pos="0"/>
        </w:tabs>
        <w:ind w:left="454" w:leftChars="0" w:hanging="454" w:firstLineChars="0"/>
      </w:pPr>
      <w:rPr>
        <w:rFonts w:hint="default"/>
      </w:rPr>
    </w:lvl>
  </w:abstractNum>
  <w:abstractNum w:abstractNumId="14">
    <w:nsid w:val="1D4C6F87"/>
    <w:multiLevelType w:val="singleLevel"/>
    <w:tmpl w:val="1D4C6F87"/>
    <w:lvl w:ilvl="0" w:tentative="0">
      <w:start w:val="1"/>
      <w:numFmt w:val="decimal"/>
      <w:suff w:val="nothing"/>
      <w:lvlText w:val="%1"/>
      <w:lvlJc w:val="left"/>
      <w:pPr>
        <w:tabs>
          <w:tab w:val="left" w:pos="397"/>
        </w:tabs>
        <w:ind w:left="454" w:leftChars="0" w:hanging="454" w:firstLineChars="0"/>
      </w:pPr>
      <w:rPr>
        <w:rFonts w:hint="default"/>
      </w:rPr>
    </w:lvl>
  </w:abstractNum>
  <w:abstractNum w:abstractNumId="15">
    <w:nsid w:val="3DE3CEFA"/>
    <w:multiLevelType w:val="singleLevel"/>
    <w:tmpl w:val="3DE3CEFA"/>
    <w:lvl w:ilvl="0" w:tentative="0">
      <w:start w:val="1"/>
      <w:numFmt w:val="decimal"/>
      <w:pStyle w:val="20"/>
      <w:suff w:val="space"/>
      <w:lvlText w:val="图2-%1"/>
      <w:lvlJc w:val="center"/>
      <w:pPr>
        <w:tabs>
          <w:tab w:val="left" w:pos="0"/>
        </w:tabs>
        <w:ind w:left="0" w:leftChars="0" w:firstLine="0" w:firstLineChars="0"/>
      </w:pPr>
      <w:rPr>
        <w:rFonts w:hint="default"/>
      </w:rPr>
    </w:lvl>
  </w:abstractNum>
  <w:abstractNum w:abstractNumId="16">
    <w:nsid w:val="45906356"/>
    <w:multiLevelType w:val="singleLevel"/>
    <w:tmpl w:val="45906356"/>
    <w:lvl w:ilvl="0" w:tentative="0">
      <w:start w:val="1"/>
      <w:numFmt w:val="decimal"/>
      <w:pStyle w:val="43"/>
      <w:suff w:val="space"/>
      <w:lvlText w:val="表1-%1"/>
      <w:lvlJc w:val="center"/>
      <w:pPr>
        <w:tabs>
          <w:tab w:val="left" w:pos="0"/>
        </w:tabs>
        <w:ind w:left="0" w:leftChars="0" w:firstLine="0" w:firstLineChars="0"/>
      </w:pPr>
      <w:rPr>
        <w:rFonts w:hint="default"/>
      </w:rPr>
    </w:lvl>
  </w:abstractNum>
  <w:abstractNum w:abstractNumId="17">
    <w:nsid w:val="68777650"/>
    <w:multiLevelType w:val="multilevel"/>
    <w:tmpl w:val="68777650"/>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6521" w:firstLine="0"/>
      </w:pPr>
      <w:rPr>
        <w:rFonts w:hint="eastAsia"/>
      </w:rPr>
    </w:lvl>
    <w:lvl w:ilvl="3" w:tentative="0">
      <w:start w:val="1"/>
      <w:numFmt w:val="decimal"/>
      <w:pStyle w:val="148"/>
      <w:suff w:val="space"/>
      <w:lvlText w:val="%1.%2.%3.%4"/>
      <w:lvlJc w:val="left"/>
      <w:pPr>
        <w:ind w:left="0" w:firstLine="0"/>
      </w:pPr>
      <w:rPr>
        <w:rFonts w:hint="eastAsia"/>
      </w:rPr>
    </w:lvl>
    <w:lvl w:ilvl="4" w:tentative="0">
      <w:start w:val="1"/>
      <w:numFmt w:val="decimal"/>
      <w:lvlRestart w:val="0"/>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0"/>
  </w:num>
  <w:num w:numId="2">
    <w:abstractNumId w:val="11"/>
  </w:num>
  <w:num w:numId="3">
    <w:abstractNumId w:val="9"/>
  </w:num>
  <w:num w:numId="4">
    <w:abstractNumId w:val="3"/>
  </w:num>
  <w:num w:numId="5">
    <w:abstractNumId w:val="6"/>
  </w:num>
  <w:num w:numId="6">
    <w:abstractNumId w:val="15"/>
  </w:num>
  <w:num w:numId="7">
    <w:abstractNumId w:val="7"/>
  </w:num>
  <w:num w:numId="8">
    <w:abstractNumId w:val="16"/>
  </w:num>
  <w:num w:numId="9">
    <w:abstractNumId w:val="4"/>
  </w:num>
  <w:num w:numId="10">
    <w:abstractNumId w:val="0"/>
  </w:num>
  <w:num w:numId="11">
    <w:abstractNumId w:val="17"/>
  </w:num>
  <w:num w:numId="12">
    <w:abstractNumId w:val="12"/>
  </w:num>
  <w:num w:numId="13">
    <w:abstractNumId w:val="5"/>
  </w:num>
  <w:num w:numId="14">
    <w:abstractNumId w:val="13"/>
  </w:num>
  <w:num w:numId="15">
    <w:abstractNumId w:val="2"/>
  </w:num>
  <w:num w:numId="16">
    <w:abstractNumId w:val="8"/>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kMTg1ODVjMjc4NjQ4OWFjYmU2ZjkyNTkzOGVkMzMifQ=="/>
  </w:docVars>
  <w:rsids>
    <w:rsidRoot w:val="00172A27"/>
    <w:rsid w:val="00000233"/>
    <w:rsid w:val="000060B3"/>
    <w:rsid w:val="00037AA9"/>
    <w:rsid w:val="000432E2"/>
    <w:rsid w:val="0004364B"/>
    <w:rsid w:val="00061B1F"/>
    <w:rsid w:val="000733C4"/>
    <w:rsid w:val="00074783"/>
    <w:rsid w:val="0008070B"/>
    <w:rsid w:val="000810AC"/>
    <w:rsid w:val="00081A02"/>
    <w:rsid w:val="00082231"/>
    <w:rsid w:val="00092D38"/>
    <w:rsid w:val="0009377B"/>
    <w:rsid w:val="000969AD"/>
    <w:rsid w:val="000A20C9"/>
    <w:rsid w:val="000B058F"/>
    <w:rsid w:val="000B4467"/>
    <w:rsid w:val="000B4DB9"/>
    <w:rsid w:val="000C09AC"/>
    <w:rsid w:val="000C767F"/>
    <w:rsid w:val="000D5A44"/>
    <w:rsid w:val="000E3ED2"/>
    <w:rsid w:val="00100BA4"/>
    <w:rsid w:val="00124744"/>
    <w:rsid w:val="00124F2E"/>
    <w:rsid w:val="00131F42"/>
    <w:rsid w:val="001357F1"/>
    <w:rsid w:val="00140FA8"/>
    <w:rsid w:val="00142FEB"/>
    <w:rsid w:val="00143A2D"/>
    <w:rsid w:val="00145A41"/>
    <w:rsid w:val="00151675"/>
    <w:rsid w:val="00156761"/>
    <w:rsid w:val="00157435"/>
    <w:rsid w:val="00172A27"/>
    <w:rsid w:val="0017504D"/>
    <w:rsid w:val="0017671A"/>
    <w:rsid w:val="00177422"/>
    <w:rsid w:val="00184590"/>
    <w:rsid w:val="001870D1"/>
    <w:rsid w:val="0018781E"/>
    <w:rsid w:val="0019262D"/>
    <w:rsid w:val="001A1B35"/>
    <w:rsid w:val="001A48A2"/>
    <w:rsid w:val="001A6F61"/>
    <w:rsid w:val="001B2FF3"/>
    <w:rsid w:val="001B72B8"/>
    <w:rsid w:val="001C4056"/>
    <w:rsid w:val="001C69B3"/>
    <w:rsid w:val="001D4206"/>
    <w:rsid w:val="001D5595"/>
    <w:rsid w:val="001D7874"/>
    <w:rsid w:val="001D7F22"/>
    <w:rsid w:val="001E6071"/>
    <w:rsid w:val="001F0F17"/>
    <w:rsid w:val="001F3347"/>
    <w:rsid w:val="001F69E4"/>
    <w:rsid w:val="002125B4"/>
    <w:rsid w:val="002155B8"/>
    <w:rsid w:val="00216529"/>
    <w:rsid w:val="00220E76"/>
    <w:rsid w:val="00224839"/>
    <w:rsid w:val="002249B2"/>
    <w:rsid w:val="00226574"/>
    <w:rsid w:val="002278EC"/>
    <w:rsid w:val="0023280E"/>
    <w:rsid w:val="002377D1"/>
    <w:rsid w:val="002506BC"/>
    <w:rsid w:val="00254345"/>
    <w:rsid w:val="00260B3E"/>
    <w:rsid w:val="00264557"/>
    <w:rsid w:val="002805AB"/>
    <w:rsid w:val="00284204"/>
    <w:rsid w:val="0028561A"/>
    <w:rsid w:val="00291773"/>
    <w:rsid w:val="002A01B0"/>
    <w:rsid w:val="002A168C"/>
    <w:rsid w:val="002A3DC7"/>
    <w:rsid w:val="002A5103"/>
    <w:rsid w:val="002B49E2"/>
    <w:rsid w:val="002B7B00"/>
    <w:rsid w:val="002B7C44"/>
    <w:rsid w:val="002C2B17"/>
    <w:rsid w:val="002D3DD0"/>
    <w:rsid w:val="002E1F3A"/>
    <w:rsid w:val="002E298A"/>
    <w:rsid w:val="002F37DB"/>
    <w:rsid w:val="00301978"/>
    <w:rsid w:val="0030332C"/>
    <w:rsid w:val="003051C2"/>
    <w:rsid w:val="00312296"/>
    <w:rsid w:val="00314F0E"/>
    <w:rsid w:val="00321D8E"/>
    <w:rsid w:val="00325928"/>
    <w:rsid w:val="00332863"/>
    <w:rsid w:val="0033684D"/>
    <w:rsid w:val="00337B42"/>
    <w:rsid w:val="00340FEB"/>
    <w:rsid w:val="00341B42"/>
    <w:rsid w:val="0034348F"/>
    <w:rsid w:val="00356653"/>
    <w:rsid w:val="0035743F"/>
    <w:rsid w:val="00357BE2"/>
    <w:rsid w:val="0036170C"/>
    <w:rsid w:val="00366E0F"/>
    <w:rsid w:val="00381A72"/>
    <w:rsid w:val="00384676"/>
    <w:rsid w:val="00390857"/>
    <w:rsid w:val="003A4BF3"/>
    <w:rsid w:val="003B420D"/>
    <w:rsid w:val="003C6C16"/>
    <w:rsid w:val="003D1F77"/>
    <w:rsid w:val="003D794D"/>
    <w:rsid w:val="003E1E6E"/>
    <w:rsid w:val="003E3058"/>
    <w:rsid w:val="003E76A9"/>
    <w:rsid w:val="003F0809"/>
    <w:rsid w:val="003F6A8C"/>
    <w:rsid w:val="003F755C"/>
    <w:rsid w:val="00406F01"/>
    <w:rsid w:val="004155EC"/>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77ED7"/>
    <w:rsid w:val="00590A9A"/>
    <w:rsid w:val="00594D77"/>
    <w:rsid w:val="00595ADF"/>
    <w:rsid w:val="005969E4"/>
    <w:rsid w:val="005A06B7"/>
    <w:rsid w:val="005A1759"/>
    <w:rsid w:val="005A68A7"/>
    <w:rsid w:val="005D36AB"/>
    <w:rsid w:val="005E0A86"/>
    <w:rsid w:val="00616D7C"/>
    <w:rsid w:val="00617CC3"/>
    <w:rsid w:val="006377A6"/>
    <w:rsid w:val="00637A3D"/>
    <w:rsid w:val="006411EF"/>
    <w:rsid w:val="006748B8"/>
    <w:rsid w:val="006775C3"/>
    <w:rsid w:val="006802E0"/>
    <w:rsid w:val="006861CA"/>
    <w:rsid w:val="0069290A"/>
    <w:rsid w:val="0069775A"/>
    <w:rsid w:val="00697813"/>
    <w:rsid w:val="006A3EE8"/>
    <w:rsid w:val="006A72BF"/>
    <w:rsid w:val="006A73D1"/>
    <w:rsid w:val="006B03F2"/>
    <w:rsid w:val="006B30AF"/>
    <w:rsid w:val="006B37DC"/>
    <w:rsid w:val="006B4F68"/>
    <w:rsid w:val="006C0592"/>
    <w:rsid w:val="006C23F1"/>
    <w:rsid w:val="006C272E"/>
    <w:rsid w:val="006C5479"/>
    <w:rsid w:val="006D13B5"/>
    <w:rsid w:val="006D4D40"/>
    <w:rsid w:val="006E12FF"/>
    <w:rsid w:val="006E607E"/>
    <w:rsid w:val="006F160E"/>
    <w:rsid w:val="00706C5D"/>
    <w:rsid w:val="007113CA"/>
    <w:rsid w:val="00732922"/>
    <w:rsid w:val="007424E2"/>
    <w:rsid w:val="00744FDD"/>
    <w:rsid w:val="0075162E"/>
    <w:rsid w:val="00754034"/>
    <w:rsid w:val="00756556"/>
    <w:rsid w:val="007618C4"/>
    <w:rsid w:val="00767980"/>
    <w:rsid w:val="00770B19"/>
    <w:rsid w:val="007716B4"/>
    <w:rsid w:val="0077463F"/>
    <w:rsid w:val="007836EA"/>
    <w:rsid w:val="007848C8"/>
    <w:rsid w:val="00784CDA"/>
    <w:rsid w:val="00785368"/>
    <w:rsid w:val="007906C4"/>
    <w:rsid w:val="007940EA"/>
    <w:rsid w:val="007967E8"/>
    <w:rsid w:val="007A2170"/>
    <w:rsid w:val="007A22BF"/>
    <w:rsid w:val="007A3323"/>
    <w:rsid w:val="007A44E8"/>
    <w:rsid w:val="007B72B8"/>
    <w:rsid w:val="007B7A58"/>
    <w:rsid w:val="007C21B5"/>
    <w:rsid w:val="007D0F25"/>
    <w:rsid w:val="007E3C2D"/>
    <w:rsid w:val="007E4BD2"/>
    <w:rsid w:val="00801393"/>
    <w:rsid w:val="00802F88"/>
    <w:rsid w:val="0081293E"/>
    <w:rsid w:val="00815465"/>
    <w:rsid w:val="00817E9A"/>
    <w:rsid w:val="008306BD"/>
    <w:rsid w:val="00831A80"/>
    <w:rsid w:val="00833743"/>
    <w:rsid w:val="008340A4"/>
    <w:rsid w:val="00857E10"/>
    <w:rsid w:val="0087135F"/>
    <w:rsid w:val="00872D94"/>
    <w:rsid w:val="00875620"/>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54E2"/>
    <w:rsid w:val="0091736D"/>
    <w:rsid w:val="0093037A"/>
    <w:rsid w:val="009351BE"/>
    <w:rsid w:val="009411A5"/>
    <w:rsid w:val="0094154D"/>
    <w:rsid w:val="0095155F"/>
    <w:rsid w:val="00954429"/>
    <w:rsid w:val="009563CE"/>
    <w:rsid w:val="00976328"/>
    <w:rsid w:val="0097680D"/>
    <w:rsid w:val="00982438"/>
    <w:rsid w:val="009826F3"/>
    <w:rsid w:val="0098404C"/>
    <w:rsid w:val="00985283"/>
    <w:rsid w:val="009930E2"/>
    <w:rsid w:val="00995992"/>
    <w:rsid w:val="009A03E5"/>
    <w:rsid w:val="009A0F3B"/>
    <w:rsid w:val="009A1BB4"/>
    <w:rsid w:val="009A2628"/>
    <w:rsid w:val="009A3200"/>
    <w:rsid w:val="009B0897"/>
    <w:rsid w:val="009B7BD9"/>
    <w:rsid w:val="009C7DD5"/>
    <w:rsid w:val="009D016E"/>
    <w:rsid w:val="009D3E9D"/>
    <w:rsid w:val="009E0C89"/>
    <w:rsid w:val="009E227D"/>
    <w:rsid w:val="009E5019"/>
    <w:rsid w:val="00A02ABE"/>
    <w:rsid w:val="00A04F1B"/>
    <w:rsid w:val="00A0501B"/>
    <w:rsid w:val="00A103F0"/>
    <w:rsid w:val="00A1411D"/>
    <w:rsid w:val="00A14947"/>
    <w:rsid w:val="00A21CEB"/>
    <w:rsid w:val="00A32A83"/>
    <w:rsid w:val="00A368DB"/>
    <w:rsid w:val="00A423AA"/>
    <w:rsid w:val="00A52B9D"/>
    <w:rsid w:val="00A53EC6"/>
    <w:rsid w:val="00A55C0F"/>
    <w:rsid w:val="00A576EF"/>
    <w:rsid w:val="00A6652F"/>
    <w:rsid w:val="00A8713F"/>
    <w:rsid w:val="00A90BA1"/>
    <w:rsid w:val="00A930EB"/>
    <w:rsid w:val="00A97A9A"/>
    <w:rsid w:val="00AA0671"/>
    <w:rsid w:val="00AA2531"/>
    <w:rsid w:val="00AB1E09"/>
    <w:rsid w:val="00AB5330"/>
    <w:rsid w:val="00AB7747"/>
    <w:rsid w:val="00AC14CE"/>
    <w:rsid w:val="00AC2593"/>
    <w:rsid w:val="00AC2A56"/>
    <w:rsid w:val="00AD055E"/>
    <w:rsid w:val="00AD47A7"/>
    <w:rsid w:val="00AD7F65"/>
    <w:rsid w:val="00AE1850"/>
    <w:rsid w:val="00AF0CBF"/>
    <w:rsid w:val="00AF257F"/>
    <w:rsid w:val="00AF33CF"/>
    <w:rsid w:val="00AF4D50"/>
    <w:rsid w:val="00AF6179"/>
    <w:rsid w:val="00AF64DF"/>
    <w:rsid w:val="00B01F63"/>
    <w:rsid w:val="00B054DC"/>
    <w:rsid w:val="00B071DB"/>
    <w:rsid w:val="00B1295A"/>
    <w:rsid w:val="00B1611B"/>
    <w:rsid w:val="00B20A45"/>
    <w:rsid w:val="00B22C5C"/>
    <w:rsid w:val="00B24F30"/>
    <w:rsid w:val="00B25BD1"/>
    <w:rsid w:val="00B31ABF"/>
    <w:rsid w:val="00B33BE3"/>
    <w:rsid w:val="00B53B5D"/>
    <w:rsid w:val="00B6055E"/>
    <w:rsid w:val="00B6317D"/>
    <w:rsid w:val="00B7723F"/>
    <w:rsid w:val="00B80534"/>
    <w:rsid w:val="00B8433C"/>
    <w:rsid w:val="00B86F83"/>
    <w:rsid w:val="00B87491"/>
    <w:rsid w:val="00BA29E9"/>
    <w:rsid w:val="00BA7142"/>
    <w:rsid w:val="00BB237C"/>
    <w:rsid w:val="00BB41A3"/>
    <w:rsid w:val="00BC1C1C"/>
    <w:rsid w:val="00BC32DC"/>
    <w:rsid w:val="00BC35B6"/>
    <w:rsid w:val="00BD1B51"/>
    <w:rsid w:val="00BD4596"/>
    <w:rsid w:val="00BE1405"/>
    <w:rsid w:val="00BE312D"/>
    <w:rsid w:val="00BF1C20"/>
    <w:rsid w:val="00C04471"/>
    <w:rsid w:val="00C064CD"/>
    <w:rsid w:val="00C10578"/>
    <w:rsid w:val="00C135BC"/>
    <w:rsid w:val="00C15C95"/>
    <w:rsid w:val="00C169F4"/>
    <w:rsid w:val="00C2596A"/>
    <w:rsid w:val="00C27537"/>
    <w:rsid w:val="00C328FE"/>
    <w:rsid w:val="00C33507"/>
    <w:rsid w:val="00C4409D"/>
    <w:rsid w:val="00C44E72"/>
    <w:rsid w:val="00C45A06"/>
    <w:rsid w:val="00C47E5B"/>
    <w:rsid w:val="00C53D5E"/>
    <w:rsid w:val="00C540FC"/>
    <w:rsid w:val="00C569BA"/>
    <w:rsid w:val="00C61E4B"/>
    <w:rsid w:val="00C64BFF"/>
    <w:rsid w:val="00C704E9"/>
    <w:rsid w:val="00C763C9"/>
    <w:rsid w:val="00C80057"/>
    <w:rsid w:val="00C82232"/>
    <w:rsid w:val="00C82913"/>
    <w:rsid w:val="00C972B1"/>
    <w:rsid w:val="00CA2CCE"/>
    <w:rsid w:val="00CA43FD"/>
    <w:rsid w:val="00CA7EF8"/>
    <w:rsid w:val="00CC489B"/>
    <w:rsid w:val="00CD2BCD"/>
    <w:rsid w:val="00CD2F3C"/>
    <w:rsid w:val="00CD39BF"/>
    <w:rsid w:val="00CD3A4C"/>
    <w:rsid w:val="00CE10E9"/>
    <w:rsid w:val="00CE2910"/>
    <w:rsid w:val="00CE5393"/>
    <w:rsid w:val="00CF361D"/>
    <w:rsid w:val="00CF36BE"/>
    <w:rsid w:val="00CF6000"/>
    <w:rsid w:val="00D003F3"/>
    <w:rsid w:val="00D0364F"/>
    <w:rsid w:val="00D06834"/>
    <w:rsid w:val="00D122F5"/>
    <w:rsid w:val="00D308ED"/>
    <w:rsid w:val="00D36D86"/>
    <w:rsid w:val="00D428AA"/>
    <w:rsid w:val="00D50A34"/>
    <w:rsid w:val="00D53EFA"/>
    <w:rsid w:val="00D81C2F"/>
    <w:rsid w:val="00D94A7C"/>
    <w:rsid w:val="00D95896"/>
    <w:rsid w:val="00D974C0"/>
    <w:rsid w:val="00DA7FCA"/>
    <w:rsid w:val="00DB2983"/>
    <w:rsid w:val="00DB67E4"/>
    <w:rsid w:val="00DC1257"/>
    <w:rsid w:val="00DC3DC0"/>
    <w:rsid w:val="00DC5B2B"/>
    <w:rsid w:val="00DD318D"/>
    <w:rsid w:val="00DE4347"/>
    <w:rsid w:val="00DE5F78"/>
    <w:rsid w:val="00DF2E12"/>
    <w:rsid w:val="00DF514A"/>
    <w:rsid w:val="00DF6690"/>
    <w:rsid w:val="00DF6804"/>
    <w:rsid w:val="00E0358D"/>
    <w:rsid w:val="00E04323"/>
    <w:rsid w:val="00E070A2"/>
    <w:rsid w:val="00E25D3E"/>
    <w:rsid w:val="00E2656A"/>
    <w:rsid w:val="00E30113"/>
    <w:rsid w:val="00E34492"/>
    <w:rsid w:val="00E412D0"/>
    <w:rsid w:val="00E4574A"/>
    <w:rsid w:val="00E56322"/>
    <w:rsid w:val="00E60982"/>
    <w:rsid w:val="00E62C62"/>
    <w:rsid w:val="00E654C1"/>
    <w:rsid w:val="00E65D97"/>
    <w:rsid w:val="00E72A5A"/>
    <w:rsid w:val="00E73354"/>
    <w:rsid w:val="00E77BA2"/>
    <w:rsid w:val="00E9242D"/>
    <w:rsid w:val="00EB5255"/>
    <w:rsid w:val="00EB5C47"/>
    <w:rsid w:val="00EB7D96"/>
    <w:rsid w:val="00ED0639"/>
    <w:rsid w:val="00ED5CB7"/>
    <w:rsid w:val="00EE4764"/>
    <w:rsid w:val="00EF4755"/>
    <w:rsid w:val="00EF7135"/>
    <w:rsid w:val="00F027DB"/>
    <w:rsid w:val="00F14A7A"/>
    <w:rsid w:val="00F16D3B"/>
    <w:rsid w:val="00F20D34"/>
    <w:rsid w:val="00F22985"/>
    <w:rsid w:val="00F3383E"/>
    <w:rsid w:val="00F465A7"/>
    <w:rsid w:val="00F50B7C"/>
    <w:rsid w:val="00F550E6"/>
    <w:rsid w:val="00F74345"/>
    <w:rsid w:val="00F80A0A"/>
    <w:rsid w:val="00F82B19"/>
    <w:rsid w:val="00F9212D"/>
    <w:rsid w:val="00F93305"/>
    <w:rsid w:val="00F965DA"/>
    <w:rsid w:val="00FA406A"/>
    <w:rsid w:val="00FA7C2E"/>
    <w:rsid w:val="00FB20F5"/>
    <w:rsid w:val="00FB503A"/>
    <w:rsid w:val="00FB516C"/>
    <w:rsid w:val="00FB792D"/>
    <w:rsid w:val="00FD0236"/>
    <w:rsid w:val="00FD18F4"/>
    <w:rsid w:val="00FD49BC"/>
    <w:rsid w:val="00FD54DB"/>
    <w:rsid w:val="00FD619F"/>
    <w:rsid w:val="00FE34BA"/>
    <w:rsid w:val="00FE76C8"/>
    <w:rsid w:val="0100390C"/>
    <w:rsid w:val="01085388"/>
    <w:rsid w:val="0123457A"/>
    <w:rsid w:val="01290F7E"/>
    <w:rsid w:val="0133666D"/>
    <w:rsid w:val="013A549F"/>
    <w:rsid w:val="013E61E2"/>
    <w:rsid w:val="014C3834"/>
    <w:rsid w:val="01520EFC"/>
    <w:rsid w:val="015D1E09"/>
    <w:rsid w:val="01703458"/>
    <w:rsid w:val="01763BCE"/>
    <w:rsid w:val="01852063"/>
    <w:rsid w:val="0192652E"/>
    <w:rsid w:val="01933E3A"/>
    <w:rsid w:val="019B53E2"/>
    <w:rsid w:val="019F1CAA"/>
    <w:rsid w:val="01A7647D"/>
    <w:rsid w:val="01A83280"/>
    <w:rsid w:val="01B31AD4"/>
    <w:rsid w:val="01B42575"/>
    <w:rsid w:val="01B71380"/>
    <w:rsid w:val="01C46048"/>
    <w:rsid w:val="01CE57B8"/>
    <w:rsid w:val="01D01640"/>
    <w:rsid w:val="01D37272"/>
    <w:rsid w:val="01D6494A"/>
    <w:rsid w:val="01EB45BC"/>
    <w:rsid w:val="01F26DAA"/>
    <w:rsid w:val="01F41815"/>
    <w:rsid w:val="01FF1E15"/>
    <w:rsid w:val="020A486E"/>
    <w:rsid w:val="02240494"/>
    <w:rsid w:val="02274EC8"/>
    <w:rsid w:val="02290C40"/>
    <w:rsid w:val="022C6982"/>
    <w:rsid w:val="024E06A7"/>
    <w:rsid w:val="02511473"/>
    <w:rsid w:val="02551A35"/>
    <w:rsid w:val="025753CB"/>
    <w:rsid w:val="025F3161"/>
    <w:rsid w:val="02671768"/>
    <w:rsid w:val="02697903"/>
    <w:rsid w:val="027221B1"/>
    <w:rsid w:val="02767D23"/>
    <w:rsid w:val="02776485"/>
    <w:rsid w:val="029A38EC"/>
    <w:rsid w:val="029D275A"/>
    <w:rsid w:val="029E162E"/>
    <w:rsid w:val="02A5291A"/>
    <w:rsid w:val="02A73CC1"/>
    <w:rsid w:val="02B04EBD"/>
    <w:rsid w:val="02B42D08"/>
    <w:rsid w:val="02CE1887"/>
    <w:rsid w:val="02D043E5"/>
    <w:rsid w:val="02D7069C"/>
    <w:rsid w:val="02E132C9"/>
    <w:rsid w:val="02E828A9"/>
    <w:rsid w:val="02F35A01"/>
    <w:rsid w:val="02F9577E"/>
    <w:rsid w:val="02F96569"/>
    <w:rsid w:val="03094D75"/>
    <w:rsid w:val="031040E2"/>
    <w:rsid w:val="0314369E"/>
    <w:rsid w:val="03327180"/>
    <w:rsid w:val="03363BF1"/>
    <w:rsid w:val="033C5278"/>
    <w:rsid w:val="0341020B"/>
    <w:rsid w:val="0352241D"/>
    <w:rsid w:val="03564A83"/>
    <w:rsid w:val="03594142"/>
    <w:rsid w:val="03654473"/>
    <w:rsid w:val="037C690A"/>
    <w:rsid w:val="03821EB8"/>
    <w:rsid w:val="038B742A"/>
    <w:rsid w:val="039A3F9C"/>
    <w:rsid w:val="039B791C"/>
    <w:rsid w:val="039C3694"/>
    <w:rsid w:val="039E11BA"/>
    <w:rsid w:val="039F5F30"/>
    <w:rsid w:val="03C81927"/>
    <w:rsid w:val="03D14AC0"/>
    <w:rsid w:val="03D177E1"/>
    <w:rsid w:val="03DD4403"/>
    <w:rsid w:val="03DF1EFE"/>
    <w:rsid w:val="03E5328D"/>
    <w:rsid w:val="03E849E8"/>
    <w:rsid w:val="03EA7B21"/>
    <w:rsid w:val="03EC40E8"/>
    <w:rsid w:val="03EC6993"/>
    <w:rsid w:val="03EF522C"/>
    <w:rsid w:val="03F9217A"/>
    <w:rsid w:val="04003C23"/>
    <w:rsid w:val="04074FB1"/>
    <w:rsid w:val="04193D2E"/>
    <w:rsid w:val="041B0A5C"/>
    <w:rsid w:val="041F0071"/>
    <w:rsid w:val="04241951"/>
    <w:rsid w:val="04283CDB"/>
    <w:rsid w:val="042E07AD"/>
    <w:rsid w:val="04422013"/>
    <w:rsid w:val="04485C4F"/>
    <w:rsid w:val="044D0148"/>
    <w:rsid w:val="044E4FE5"/>
    <w:rsid w:val="044F42E0"/>
    <w:rsid w:val="04516354"/>
    <w:rsid w:val="0451777C"/>
    <w:rsid w:val="046314A3"/>
    <w:rsid w:val="04635599"/>
    <w:rsid w:val="0466617C"/>
    <w:rsid w:val="047618BE"/>
    <w:rsid w:val="047C599F"/>
    <w:rsid w:val="04805821"/>
    <w:rsid w:val="048903A2"/>
    <w:rsid w:val="0498595F"/>
    <w:rsid w:val="049A2927"/>
    <w:rsid w:val="04A3117E"/>
    <w:rsid w:val="04B073F7"/>
    <w:rsid w:val="04B46FA8"/>
    <w:rsid w:val="04B74C29"/>
    <w:rsid w:val="04B8274F"/>
    <w:rsid w:val="04B84394"/>
    <w:rsid w:val="04BB4985"/>
    <w:rsid w:val="04C82992"/>
    <w:rsid w:val="04CE3F5F"/>
    <w:rsid w:val="04E1740C"/>
    <w:rsid w:val="04E83035"/>
    <w:rsid w:val="04E9512A"/>
    <w:rsid w:val="04ED41A7"/>
    <w:rsid w:val="04FE4606"/>
    <w:rsid w:val="05031C1C"/>
    <w:rsid w:val="051016F9"/>
    <w:rsid w:val="051C2CDE"/>
    <w:rsid w:val="0523406D"/>
    <w:rsid w:val="052A6161"/>
    <w:rsid w:val="05373204"/>
    <w:rsid w:val="05373D7D"/>
    <w:rsid w:val="053A3D78"/>
    <w:rsid w:val="05436200"/>
    <w:rsid w:val="054C4881"/>
    <w:rsid w:val="054D10EA"/>
    <w:rsid w:val="05540355"/>
    <w:rsid w:val="055A0E5E"/>
    <w:rsid w:val="05777F14"/>
    <w:rsid w:val="057D71E9"/>
    <w:rsid w:val="058825F3"/>
    <w:rsid w:val="05905F50"/>
    <w:rsid w:val="059953F5"/>
    <w:rsid w:val="059E1945"/>
    <w:rsid w:val="05A056BD"/>
    <w:rsid w:val="05A20627"/>
    <w:rsid w:val="05D548F9"/>
    <w:rsid w:val="05D65CF2"/>
    <w:rsid w:val="05D65EC7"/>
    <w:rsid w:val="05DE174F"/>
    <w:rsid w:val="05EE467B"/>
    <w:rsid w:val="05F30B65"/>
    <w:rsid w:val="05F83EAE"/>
    <w:rsid w:val="06020126"/>
    <w:rsid w:val="06110369"/>
    <w:rsid w:val="061225E7"/>
    <w:rsid w:val="06127C3D"/>
    <w:rsid w:val="06150906"/>
    <w:rsid w:val="06292051"/>
    <w:rsid w:val="06357A0E"/>
    <w:rsid w:val="063619E2"/>
    <w:rsid w:val="063B586B"/>
    <w:rsid w:val="063E0174"/>
    <w:rsid w:val="063E7D85"/>
    <w:rsid w:val="06566804"/>
    <w:rsid w:val="065716C1"/>
    <w:rsid w:val="06677F89"/>
    <w:rsid w:val="066A22B5"/>
    <w:rsid w:val="06717FB2"/>
    <w:rsid w:val="068278C1"/>
    <w:rsid w:val="068869C4"/>
    <w:rsid w:val="068B011B"/>
    <w:rsid w:val="068E3AC5"/>
    <w:rsid w:val="0695017F"/>
    <w:rsid w:val="06977EB2"/>
    <w:rsid w:val="069D48BA"/>
    <w:rsid w:val="06A34404"/>
    <w:rsid w:val="06A66D03"/>
    <w:rsid w:val="06AC0092"/>
    <w:rsid w:val="06C2266B"/>
    <w:rsid w:val="06EB6E0C"/>
    <w:rsid w:val="070D2DA3"/>
    <w:rsid w:val="07293586"/>
    <w:rsid w:val="07295285"/>
    <w:rsid w:val="072F276F"/>
    <w:rsid w:val="074836CB"/>
    <w:rsid w:val="074F1149"/>
    <w:rsid w:val="07500A1D"/>
    <w:rsid w:val="07636392"/>
    <w:rsid w:val="07637C82"/>
    <w:rsid w:val="07654225"/>
    <w:rsid w:val="07680067"/>
    <w:rsid w:val="07737F81"/>
    <w:rsid w:val="07757B48"/>
    <w:rsid w:val="07770C56"/>
    <w:rsid w:val="07A82565"/>
    <w:rsid w:val="07A86AAB"/>
    <w:rsid w:val="07D44764"/>
    <w:rsid w:val="07E52856"/>
    <w:rsid w:val="080D17FF"/>
    <w:rsid w:val="082B4D13"/>
    <w:rsid w:val="082E6621"/>
    <w:rsid w:val="0835263E"/>
    <w:rsid w:val="083D0787"/>
    <w:rsid w:val="08466192"/>
    <w:rsid w:val="08561FDD"/>
    <w:rsid w:val="08587F15"/>
    <w:rsid w:val="085A3B6F"/>
    <w:rsid w:val="085D4882"/>
    <w:rsid w:val="086A7960"/>
    <w:rsid w:val="0874698D"/>
    <w:rsid w:val="08752E31"/>
    <w:rsid w:val="087C729C"/>
    <w:rsid w:val="08907563"/>
    <w:rsid w:val="08A90D2D"/>
    <w:rsid w:val="08B153E0"/>
    <w:rsid w:val="08C016AB"/>
    <w:rsid w:val="08D56D0B"/>
    <w:rsid w:val="09063A89"/>
    <w:rsid w:val="09086AE6"/>
    <w:rsid w:val="090E7743"/>
    <w:rsid w:val="09104908"/>
    <w:rsid w:val="092217DD"/>
    <w:rsid w:val="0926246C"/>
    <w:rsid w:val="093A7294"/>
    <w:rsid w:val="094365E5"/>
    <w:rsid w:val="09732570"/>
    <w:rsid w:val="097D4126"/>
    <w:rsid w:val="097D4C60"/>
    <w:rsid w:val="099C263F"/>
    <w:rsid w:val="099F5C8C"/>
    <w:rsid w:val="09AD32BA"/>
    <w:rsid w:val="09B47C29"/>
    <w:rsid w:val="09B60F56"/>
    <w:rsid w:val="09C37E6E"/>
    <w:rsid w:val="09CD31D7"/>
    <w:rsid w:val="09DF7550"/>
    <w:rsid w:val="09F66979"/>
    <w:rsid w:val="0A0A3BA3"/>
    <w:rsid w:val="0A19702C"/>
    <w:rsid w:val="0A1D0AFD"/>
    <w:rsid w:val="0A263993"/>
    <w:rsid w:val="0A2D3AC2"/>
    <w:rsid w:val="0A3F20E7"/>
    <w:rsid w:val="0A5C1FC7"/>
    <w:rsid w:val="0A5C592B"/>
    <w:rsid w:val="0A617356"/>
    <w:rsid w:val="0A644C89"/>
    <w:rsid w:val="0A6842D0"/>
    <w:rsid w:val="0A6E089D"/>
    <w:rsid w:val="0A762E91"/>
    <w:rsid w:val="0A7669ED"/>
    <w:rsid w:val="0A782765"/>
    <w:rsid w:val="0A782C81"/>
    <w:rsid w:val="0A9D21CB"/>
    <w:rsid w:val="0AA755DF"/>
    <w:rsid w:val="0AAB0D8C"/>
    <w:rsid w:val="0AD438F1"/>
    <w:rsid w:val="0ADD2F5A"/>
    <w:rsid w:val="0AE93662"/>
    <w:rsid w:val="0B051F89"/>
    <w:rsid w:val="0B113F67"/>
    <w:rsid w:val="0B120D44"/>
    <w:rsid w:val="0B1C3A38"/>
    <w:rsid w:val="0B1D155E"/>
    <w:rsid w:val="0B2367D5"/>
    <w:rsid w:val="0B2823DD"/>
    <w:rsid w:val="0B3348DE"/>
    <w:rsid w:val="0B372620"/>
    <w:rsid w:val="0B393E28"/>
    <w:rsid w:val="0B446AEB"/>
    <w:rsid w:val="0B46072D"/>
    <w:rsid w:val="0B460E75"/>
    <w:rsid w:val="0B67235F"/>
    <w:rsid w:val="0B7078E0"/>
    <w:rsid w:val="0B75078E"/>
    <w:rsid w:val="0B9F6417"/>
    <w:rsid w:val="0BA92A3A"/>
    <w:rsid w:val="0BB04CBB"/>
    <w:rsid w:val="0BB809FA"/>
    <w:rsid w:val="0BBA5125"/>
    <w:rsid w:val="0BC52645"/>
    <w:rsid w:val="0BC65752"/>
    <w:rsid w:val="0BC67DCD"/>
    <w:rsid w:val="0BC7395B"/>
    <w:rsid w:val="0BD27BF6"/>
    <w:rsid w:val="0BE8391A"/>
    <w:rsid w:val="0BED79DB"/>
    <w:rsid w:val="0BF40DF1"/>
    <w:rsid w:val="0BF56EF9"/>
    <w:rsid w:val="0BFB2FF8"/>
    <w:rsid w:val="0BFE313E"/>
    <w:rsid w:val="0C225F90"/>
    <w:rsid w:val="0C34090D"/>
    <w:rsid w:val="0C362632"/>
    <w:rsid w:val="0C36412F"/>
    <w:rsid w:val="0C3B3C7D"/>
    <w:rsid w:val="0C3F1469"/>
    <w:rsid w:val="0C564D28"/>
    <w:rsid w:val="0C7D5234"/>
    <w:rsid w:val="0C881B6C"/>
    <w:rsid w:val="0C8B439A"/>
    <w:rsid w:val="0C8E1F1E"/>
    <w:rsid w:val="0C900DE5"/>
    <w:rsid w:val="0C945850"/>
    <w:rsid w:val="0C946E5B"/>
    <w:rsid w:val="0C965124"/>
    <w:rsid w:val="0C981326"/>
    <w:rsid w:val="0CAB2EAE"/>
    <w:rsid w:val="0CAC7107"/>
    <w:rsid w:val="0CAF17E2"/>
    <w:rsid w:val="0CC351FE"/>
    <w:rsid w:val="0CD45916"/>
    <w:rsid w:val="0CD65E68"/>
    <w:rsid w:val="0CEC6F49"/>
    <w:rsid w:val="0D0438BB"/>
    <w:rsid w:val="0D103128"/>
    <w:rsid w:val="0D127F49"/>
    <w:rsid w:val="0D166265"/>
    <w:rsid w:val="0D253CC7"/>
    <w:rsid w:val="0D3037CB"/>
    <w:rsid w:val="0D332A19"/>
    <w:rsid w:val="0D366907"/>
    <w:rsid w:val="0D4252AC"/>
    <w:rsid w:val="0D5262E3"/>
    <w:rsid w:val="0D5E6DAE"/>
    <w:rsid w:val="0D5F3A7D"/>
    <w:rsid w:val="0D621C7D"/>
    <w:rsid w:val="0D6825B8"/>
    <w:rsid w:val="0D7854D1"/>
    <w:rsid w:val="0D7A1A80"/>
    <w:rsid w:val="0D863FE4"/>
    <w:rsid w:val="0D8E6743"/>
    <w:rsid w:val="0D9E6986"/>
    <w:rsid w:val="0DA938EF"/>
    <w:rsid w:val="0DAB4BFF"/>
    <w:rsid w:val="0DAE649D"/>
    <w:rsid w:val="0DBC56D0"/>
    <w:rsid w:val="0DC043CD"/>
    <w:rsid w:val="0DD34156"/>
    <w:rsid w:val="0DD7314F"/>
    <w:rsid w:val="0DDC74AE"/>
    <w:rsid w:val="0DF54B85"/>
    <w:rsid w:val="0E0B1B42"/>
    <w:rsid w:val="0E132D25"/>
    <w:rsid w:val="0E1627B8"/>
    <w:rsid w:val="0E1903B8"/>
    <w:rsid w:val="0E1F4392"/>
    <w:rsid w:val="0E283753"/>
    <w:rsid w:val="0E2C62DC"/>
    <w:rsid w:val="0E345035"/>
    <w:rsid w:val="0E354C8C"/>
    <w:rsid w:val="0E3F3599"/>
    <w:rsid w:val="0E440BB0"/>
    <w:rsid w:val="0E4F5125"/>
    <w:rsid w:val="0E5A1C7C"/>
    <w:rsid w:val="0E6611AE"/>
    <w:rsid w:val="0E6F6A73"/>
    <w:rsid w:val="0E705C75"/>
    <w:rsid w:val="0E713C39"/>
    <w:rsid w:val="0E73034D"/>
    <w:rsid w:val="0E772D33"/>
    <w:rsid w:val="0E7A570A"/>
    <w:rsid w:val="0E7C659C"/>
    <w:rsid w:val="0E7D7D1D"/>
    <w:rsid w:val="0E87566C"/>
    <w:rsid w:val="0E91385F"/>
    <w:rsid w:val="0E9447C6"/>
    <w:rsid w:val="0E9733D5"/>
    <w:rsid w:val="0EA31D7A"/>
    <w:rsid w:val="0EA602D7"/>
    <w:rsid w:val="0ED07F8E"/>
    <w:rsid w:val="0ED32ADA"/>
    <w:rsid w:val="0EED7337"/>
    <w:rsid w:val="0EFC2BFE"/>
    <w:rsid w:val="0F13775A"/>
    <w:rsid w:val="0F27512C"/>
    <w:rsid w:val="0F2C6214"/>
    <w:rsid w:val="0F3550C8"/>
    <w:rsid w:val="0F3D5D2B"/>
    <w:rsid w:val="0F4F0D14"/>
    <w:rsid w:val="0F5F45FE"/>
    <w:rsid w:val="0F69214B"/>
    <w:rsid w:val="0F6F0ECE"/>
    <w:rsid w:val="0F711E78"/>
    <w:rsid w:val="0F721E3F"/>
    <w:rsid w:val="0F761301"/>
    <w:rsid w:val="0F865924"/>
    <w:rsid w:val="0F956310"/>
    <w:rsid w:val="0F986DC6"/>
    <w:rsid w:val="0F9A112B"/>
    <w:rsid w:val="0FA64C3F"/>
    <w:rsid w:val="0FAA55BF"/>
    <w:rsid w:val="0FAB4CF4"/>
    <w:rsid w:val="0FB25571"/>
    <w:rsid w:val="0FB87AA7"/>
    <w:rsid w:val="0FBA55CD"/>
    <w:rsid w:val="0FD10879"/>
    <w:rsid w:val="0FD71281"/>
    <w:rsid w:val="0FF70FF0"/>
    <w:rsid w:val="0FFC5BE6"/>
    <w:rsid w:val="10014FAA"/>
    <w:rsid w:val="100E095C"/>
    <w:rsid w:val="102F7D69"/>
    <w:rsid w:val="104135F9"/>
    <w:rsid w:val="10437371"/>
    <w:rsid w:val="10467BA6"/>
    <w:rsid w:val="10530BE0"/>
    <w:rsid w:val="105C6C6A"/>
    <w:rsid w:val="10640941"/>
    <w:rsid w:val="106D2640"/>
    <w:rsid w:val="106D2F64"/>
    <w:rsid w:val="107E484D"/>
    <w:rsid w:val="108505DE"/>
    <w:rsid w:val="10942D15"/>
    <w:rsid w:val="10967133"/>
    <w:rsid w:val="10A047C3"/>
    <w:rsid w:val="10A14FCD"/>
    <w:rsid w:val="10A17E2E"/>
    <w:rsid w:val="10B63710"/>
    <w:rsid w:val="10B66CD9"/>
    <w:rsid w:val="10BB0D42"/>
    <w:rsid w:val="10C50D63"/>
    <w:rsid w:val="10C62E7E"/>
    <w:rsid w:val="10CB6AC9"/>
    <w:rsid w:val="10CB6BD9"/>
    <w:rsid w:val="10CC5CE8"/>
    <w:rsid w:val="10CD49B1"/>
    <w:rsid w:val="10CF582D"/>
    <w:rsid w:val="10E54CB1"/>
    <w:rsid w:val="10EE7DF7"/>
    <w:rsid w:val="10F10820"/>
    <w:rsid w:val="10F468BD"/>
    <w:rsid w:val="110C00AB"/>
    <w:rsid w:val="111C2F7A"/>
    <w:rsid w:val="11264B9F"/>
    <w:rsid w:val="113044E0"/>
    <w:rsid w:val="11380EA0"/>
    <w:rsid w:val="11535CDA"/>
    <w:rsid w:val="1158509E"/>
    <w:rsid w:val="11665CA1"/>
    <w:rsid w:val="118A4028"/>
    <w:rsid w:val="119A56B6"/>
    <w:rsid w:val="11A67634"/>
    <w:rsid w:val="11B43609"/>
    <w:rsid w:val="11BB2405"/>
    <w:rsid w:val="11D010D8"/>
    <w:rsid w:val="11D51F7D"/>
    <w:rsid w:val="11D64A53"/>
    <w:rsid w:val="11D861DF"/>
    <w:rsid w:val="11DD37F5"/>
    <w:rsid w:val="11E3497D"/>
    <w:rsid w:val="11EB3968"/>
    <w:rsid w:val="11F33019"/>
    <w:rsid w:val="11F528ED"/>
    <w:rsid w:val="120C7C36"/>
    <w:rsid w:val="120D1050"/>
    <w:rsid w:val="120E1C01"/>
    <w:rsid w:val="12190BF0"/>
    <w:rsid w:val="123A0521"/>
    <w:rsid w:val="12411FD6"/>
    <w:rsid w:val="12447577"/>
    <w:rsid w:val="12490E8B"/>
    <w:rsid w:val="12555C5C"/>
    <w:rsid w:val="1272218F"/>
    <w:rsid w:val="127C6B6A"/>
    <w:rsid w:val="127D5EEC"/>
    <w:rsid w:val="127F48AC"/>
    <w:rsid w:val="127F665A"/>
    <w:rsid w:val="128268E4"/>
    <w:rsid w:val="12896208"/>
    <w:rsid w:val="128B32F5"/>
    <w:rsid w:val="12946F44"/>
    <w:rsid w:val="12D6271E"/>
    <w:rsid w:val="12EA544F"/>
    <w:rsid w:val="13023034"/>
    <w:rsid w:val="13051255"/>
    <w:rsid w:val="13090A01"/>
    <w:rsid w:val="130A1F7A"/>
    <w:rsid w:val="13114584"/>
    <w:rsid w:val="1311486C"/>
    <w:rsid w:val="133C3017"/>
    <w:rsid w:val="13451652"/>
    <w:rsid w:val="13647FE9"/>
    <w:rsid w:val="13653AA2"/>
    <w:rsid w:val="137B524F"/>
    <w:rsid w:val="13820F05"/>
    <w:rsid w:val="13853533"/>
    <w:rsid w:val="13951726"/>
    <w:rsid w:val="13A4281C"/>
    <w:rsid w:val="13C3467D"/>
    <w:rsid w:val="13C46A1B"/>
    <w:rsid w:val="13DA57E8"/>
    <w:rsid w:val="13F55E01"/>
    <w:rsid w:val="13F84916"/>
    <w:rsid w:val="142854AF"/>
    <w:rsid w:val="142D2273"/>
    <w:rsid w:val="143220E4"/>
    <w:rsid w:val="143721B3"/>
    <w:rsid w:val="14391867"/>
    <w:rsid w:val="14393D42"/>
    <w:rsid w:val="14393DAB"/>
    <w:rsid w:val="14396509"/>
    <w:rsid w:val="144659F6"/>
    <w:rsid w:val="144E46E5"/>
    <w:rsid w:val="1454513C"/>
    <w:rsid w:val="146B6E96"/>
    <w:rsid w:val="146D1BAF"/>
    <w:rsid w:val="14795A57"/>
    <w:rsid w:val="147D77DA"/>
    <w:rsid w:val="148811C3"/>
    <w:rsid w:val="14891A12"/>
    <w:rsid w:val="148C420C"/>
    <w:rsid w:val="14930823"/>
    <w:rsid w:val="14965BB7"/>
    <w:rsid w:val="14B26F05"/>
    <w:rsid w:val="14B4083D"/>
    <w:rsid w:val="14C43016"/>
    <w:rsid w:val="14CA203D"/>
    <w:rsid w:val="14CB3DD9"/>
    <w:rsid w:val="14D525DB"/>
    <w:rsid w:val="14DD2C3C"/>
    <w:rsid w:val="15017F3A"/>
    <w:rsid w:val="15067C3B"/>
    <w:rsid w:val="15092B8D"/>
    <w:rsid w:val="151503FE"/>
    <w:rsid w:val="151632A6"/>
    <w:rsid w:val="15292570"/>
    <w:rsid w:val="152B6667"/>
    <w:rsid w:val="153D293D"/>
    <w:rsid w:val="153F36C3"/>
    <w:rsid w:val="15435490"/>
    <w:rsid w:val="15447A13"/>
    <w:rsid w:val="15477903"/>
    <w:rsid w:val="154E3A7F"/>
    <w:rsid w:val="15572B30"/>
    <w:rsid w:val="156049B7"/>
    <w:rsid w:val="15685FFA"/>
    <w:rsid w:val="157134DE"/>
    <w:rsid w:val="1578154F"/>
    <w:rsid w:val="15790626"/>
    <w:rsid w:val="157C2DBF"/>
    <w:rsid w:val="158A77F0"/>
    <w:rsid w:val="159348F7"/>
    <w:rsid w:val="15975DD3"/>
    <w:rsid w:val="15B66837"/>
    <w:rsid w:val="15C42D02"/>
    <w:rsid w:val="15CB770D"/>
    <w:rsid w:val="15D60C87"/>
    <w:rsid w:val="15D86E85"/>
    <w:rsid w:val="15E17151"/>
    <w:rsid w:val="15E300E0"/>
    <w:rsid w:val="15F1229B"/>
    <w:rsid w:val="15FA5F74"/>
    <w:rsid w:val="160367FF"/>
    <w:rsid w:val="16087E1D"/>
    <w:rsid w:val="16094BB9"/>
    <w:rsid w:val="1618793F"/>
    <w:rsid w:val="16225C7A"/>
    <w:rsid w:val="163C4F8E"/>
    <w:rsid w:val="1665480F"/>
    <w:rsid w:val="166D339A"/>
    <w:rsid w:val="16797F90"/>
    <w:rsid w:val="16813FBD"/>
    <w:rsid w:val="168F1F48"/>
    <w:rsid w:val="169B6860"/>
    <w:rsid w:val="169F5FD0"/>
    <w:rsid w:val="16AD7C3A"/>
    <w:rsid w:val="16B066CF"/>
    <w:rsid w:val="16B12149"/>
    <w:rsid w:val="16BF2C8E"/>
    <w:rsid w:val="16D04A13"/>
    <w:rsid w:val="16D05CCA"/>
    <w:rsid w:val="16D626F4"/>
    <w:rsid w:val="16D64F5D"/>
    <w:rsid w:val="16E13FE0"/>
    <w:rsid w:val="16F10695"/>
    <w:rsid w:val="16F52F12"/>
    <w:rsid w:val="17002794"/>
    <w:rsid w:val="170F61FF"/>
    <w:rsid w:val="171E4694"/>
    <w:rsid w:val="17275DBB"/>
    <w:rsid w:val="1732013F"/>
    <w:rsid w:val="1735378C"/>
    <w:rsid w:val="17395E31"/>
    <w:rsid w:val="1753444C"/>
    <w:rsid w:val="1754797C"/>
    <w:rsid w:val="175E0222"/>
    <w:rsid w:val="17701D14"/>
    <w:rsid w:val="17735226"/>
    <w:rsid w:val="17794CA3"/>
    <w:rsid w:val="177E3384"/>
    <w:rsid w:val="178F10EE"/>
    <w:rsid w:val="17946704"/>
    <w:rsid w:val="179B49B5"/>
    <w:rsid w:val="179D496E"/>
    <w:rsid w:val="17A471A8"/>
    <w:rsid w:val="17A67BF6"/>
    <w:rsid w:val="17AA539A"/>
    <w:rsid w:val="17AB5A02"/>
    <w:rsid w:val="17AE3C6A"/>
    <w:rsid w:val="17B30D49"/>
    <w:rsid w:val="17BF5E77"/>
    <w:rsid w:val="17C3164A"/>
    <w:rsid w:val="17C70888"/>
    <w:rsid w:val="17D60D05"/>
    <w:rsid w:val="17DB1382"/>
    <w:rsid w:val="17F65611"/>
    <w:rsid w:val="17F83D6F"/>
    <w:rsid w:val="17FD074D"/>
    <w:rsid w:val="18014C7F"/>
    <w:rsid w:val="18041ADC"/>
    <w:rsid w:val="180C0607"/>
    <w:rsid w:val="180C273E"/>
    <w:rsid w:val="182207E2"/>
    <w:rsid w:val="18267CA4"/>
    <w:rsid w:val="1835153A"/>
    <w:rsid w:val="18463A00"/>
    <w:rsid w:val="184808DB"/>
    <w:rsid w:val="185760AF"/>
    <w:rsid w:val="18642CD5"/>
    <w:rsid w:val="18710204"/>
    <w:rsid w:val="18736A44"/>
    <w:rsid w:val="189F624C"/>
    <w:rsid w:val="18B041FD"/>
    <w:rsid w:val="18B16C3F"/>
    <w:rsid w:val="18DD72D0"/>
    <w:rsid w:val="18E35CC4"/>
    <w:rsid w:val="18ED1D3B"/>
    <w:rsid w:val="18FC3EDD"/>
    <w:rsid w:val="18FD5139"/>
    <w:rsid w:val="18FE61F9"/>
    <w:rsid w:val="190D731D"/>
    <w:rsid w:val="19153875"/>
    <w:rsid w:val="191D2EE9"/>
    <w:rsid w:val="1927274C"/>
    <w:rsid w:val="192B5DDF"/>
    <w:rsid w:val="192C1F35"/>
    <w:rsid w:val="193D493D"/>
    <w:rsid w:val="194265E8"/>
    <w:rsid w:val="194B4076"/>
    <w:rsid w:val="19556AD1"/>
    <w:rsid w:val="195E6FCA"/>
    <w:rsid w:val="19747E53"/>
    <w:rsid w:val="1976725A"/>
    <w:rsid w:val="19786EE9"/>
    <w:rsid w:val="198F3627"/>
    <w:rsid w:val="199F6B9D"/>
    <w:rsid w:val="19A8293B"/>
    <w:rsid w:val="19AB10D6"/>
    <w:rsid w:val="19BD7563"/>
    <w:rsid w:val="19C5722C"/>
    <w:rsid w:val="19C84045"/>
    <w:rsid w:val="19C96F38"/>
    <w:rsid w:val="19D454DE"/>
    <w:rsid w:val="19D65272"/>
    <w:rsid w:val="19EC6CCB"/>
    <w:rsid w:val="19F53EE4"/>
    <w:rsid w:val="19FB67FC"/>
    <w:rsid w:val="1A15383B"/>
    <w:rsid w:val="1A1C66C0"/>
    <w:rsid w:val="1A217A80"/>
    <w:rsid w:val="1A282623"/>
    <w:rsid w:val="1A346939"/>
    <w:rsid w:val="1A354037"/>
    <w:rsid w:val="1A386533"/>
    <w:rsid w:val="1A42393B"/>
    <w:rsid w:val="1A530AF8"/>
    <w:rsid w:val="1A5E126E"/>
    <w:rsid w:val="1A606D71"/>
    <w:rsid w:val="1A8B6CC3"/>
    <w:rsid w:val="1A9D58E5"/>
    <w:rsid w:val="1A9F0935"/>
    <w:rsid w:val="1AAD45DE"/>
    <w:rsid w:val="1AB64BE3"/>
    <w:rsid w:val="1ACE7B00"/>
    <w:rsid w:val="1B046F80"/>
    <w:rsid w:val="1B0A6E49"/>
    <w:rsid w:val="1B140288"/>
    <w:rsid w:val="1B18764C"/>
    <w:rsid w:val="1B3267B5"/>
    <w:rsid w:val="1B390DF7"/>
    <w:rsid w:val="1B40161D"/>
    <w:rsid w:val="1B441859"/>
    <w:rsid w:val="1B497D4A"/>
    <w:rsid w:val="1B530684"/>
    <w:rsid w:val="1B5B2CF3"/>
    <w:rsid w:val="1B6606B1"/>
    <w:rsid w:val="1B666609"/>
    <w:rsid w:val="1B6F7808"/>
    <w:rsid w:val="1B764745"/>
    <w:rsid w:val="1B7F1479"/>
    <w:rsid w:val="1B9039A1"/>
    <w:rsid w:val="1B906B54"/>
    <w:rsid w:val="1B925650"/>
    <w:rsid w:val="1B9D6AB8"/>
    <w:rsid w:val="1BA809D0"/>
    <w:rsid w:val="1BA9708A"/>
    <w:rsid w:val="1BB83309"/>
    <w:rsid w:val="1BB90E2F"/>
    <w:rsid w:val="1BCA67EA"/>
    <w:rsid w:val="1C0E1EFB"/>
    <w:rsid w:val="1C145010"/>
    <w:rsid w:val="1C406E5A"/>
    <w:rsid w:val="1C4A2479"/>
    <w:rsid w:val="1C5E3283"/>
    <w:rsid w:val="1C5E7925"/>
    <w:rsid w:val="1C5F1F5D"/>
    <w:rsid w:val="1C642EF0"/>
    <w:rsid w:val="1C654B13"/>
    <w:rsid w:val="1C6D5E0F"/>
    <w:rsid w:val="1C757C0F"/>
    <w:rsid w:val="1C7C14FD"/>
    <w:rsid w:val="1C8166F6"/>
    <w:rsid w:val="1C850D11"/>
    <w:rsid w:val="1C906CB1"/>
    <w:rsid w:val="1C9378D2"/>
    <w:rsid w:val="1C940F54"/>
    <w:rsid w:val="1C9E684C"/>
    <w:rsid w:val="1CAB2797"/>
    <w:rsid w:val="1CBA15E8"/>
    <w:rsid w:val="1CE1725D"/>
    <w:rsid w:val="1CFC5477"/>
    <w:rsid w:val="1CFD070F"/>
    <w:rsid w:val="1D0D2DE2"/>
    <w:rsid w:val="1D173982"/>
    <w:rsid w:val="1D1B7547"/>
    <w:rsid w:val="1D320E99"/>
    <w:rsid w:val="1D3363FF"/>
    <w:rsid w:val="1D3B3EA2"/>
    <w:rsid w:val="1D5F6196"/>
    <w:rsid w:val="1D6132A5"/>
    <w:rsid w:val="1D671BB3"/>
    <w:rsid w:val="1D6F36DC"/>
    <w:rsid w:val="1D815285"/>
    <w:rsid w:val="1D84721B"/>
    <w:rsid w:val="1D8719E8"/>
    <w:rsid w:val="1D872B37"/>
    <w:rsid w:val="1D8E56D5"/>
    <w:rsid w:val="1DA46985"/>
    <w:rsid w:val="1DA862CA"/>
    <w:rsid w:val="1DA90A2F"/>
    <w:rsid w:val="1DB8698F"/>
    <w:rsid w:val="1DBC0763"/>
    <w:rsid w:val="1DBC16FF"/>
    <w:rsid w:val="1DC02E89"/>
    <w:rsid w:val="1DC128CE"/>
    <w:rsid w:val="1DD2247E"/>
    <w:rsid w:val="1DE32587"/>
    <w:rsid w:val="1DEE3A06"/>
    <w:rsid w:val="1E09057B"/>
    <w:rsid w:val="1E0935B7"/>
    <w:rsid w:val="1E0B5246"/>
    <w:rsid w:val="1E0C5E1E"/>
    <w:rsid w:val="1E0C793C"/>
    <w:rsid w:val="1E1E4F79"/>
    <w:rsid w:val="1E2F7628"/>
    <w:rsid w:val="1E3649B9"/>
    <w:rsid w:val="1E4A5D6E"/>
    <w:rsid w:val="1E6A1DDD"/>
    <w:rsid w:val="1E7A43DA"/>
    <w:rsid w:val="1E7C2ECF"/>
    <w:rsid w:val="1E7E1EBC"/>
    <w:rsid w:val="1E8007F1"/>
    <w:rsid w:val="1E875215"/>
    <w:rsid w:val="1E966C18"/>
    <w:rsid w:val="1E9D5173"/>
    <w:rsid w:val="1EB903D9"/>
    <w:rsid w:val="1ECF7F5B"/>
    <w:rsid w:val="1EDF6DFF"/>
    <w:rsid w:val="1EEB6FD0"/>
    <w:rsid w:val="1EEC6C4A"/>
    <w:rsid w:val="1EEE53EA"/>
    <w:rsid w:val="1EF511AA"/>
    <w:rsid w:val="1EFB52BB"/>
    <w:rsid w:val="1F03681B"/>
    <w:rsid w:val="1F043C89"/>
    <w:rsid w:val="1F115904"/>
    <w:rsid w:val="1F171752"/>
    <w:rsid w:val="1F230AB6"/>
    <w:rsid w:val="1F392912"/>
    <w:rsid w:val="1F3D0204"/>
    <w:rsid w:val="1F457720"/>
    <w:rsid w:val="1F464788"/>
    <w:rsid w:val="1F5A40E7"/>
    <w:rsid w:val="1F703EFB"/>
    <w:rsid w:val="1F7D3F22"/>
    <w:rsid w:val="1F8138F5"/>
    <w:rsid w:val="1F8510BD"/>
    <w:rsid w:val="1F8A05AA"/>
    <w:rsid w:val="1F8E0197"/>
    <w:rsid w:val="1F9643AD"/>
    <w:rsid w:val="1F985FFF"/>
    <w:rsid w:val="1F9B521E"/>
    <w:rsid w:val="1FA350A3"/>
    <w:rsid w:val="1FA94D17"/>
    <w:rsid w:val="1FAD0CAB"/>
    <w:rsid w:val="1FCC06CD"/>
    <w:rsid w:val="1FCC40BE"/>
    <w:rsid w:val="1FD47E7E"/>
    <w:rsid w:val="1FDF7CB9"/>
    <w:rsid w:val="1FE7539E"/>
    <w:rsid w:val="1FE76E91"/>
    <w:rsid w:val="20126BA4"/>
    <w:rsid w:val="20160F62"/>
    <w:rsid w:val="20163F98"/>
    <w:rsid w:val="20370574"/>
    <w:rsid w:val="203E5CB7"/>
    <w:rsid w:val="203F3499"/>
    <w:rsid w:val="20454202"/>
    <w:rsid w:val="204822CD"/>
    <w:rsid w:val="20547D18"/>
    <w:rsid w:val="20557037"/>
    <w:rsid w:val="205904EB"/>
    <w:rsid w:val="205B7284"/>
    <w:rsid w:val="2063189B"/>
    <w:rsid w:val="20671BE0"/>
    <w:rsid w:val="20672C08"/>
    <w:rsid w:val="206C46C2"/>
    <w:rsid w:val="20841758"/>
    <w:rsid w:val="208B5311"/>
    <w:rsid w:val="208C4403"/>
    <w:rsid w:val="20963CB8"/>
    <w:rsid w:val="209C2B53"/>
    <w:rsid w:val="209C689A"/>
    <w:rsid w:val="209F6A85"/>
    <w:rsid w:val="20A42368"/>
    <w:rsid w:val="20A81A1B"/>
    <w:rsid w:val="20AC0F62"/>
    <w:rsid w:val="20B07FB6"/>
    <w:rsid w:val="20B2073A"/>
    <w:rsid w:val="20B646FB"/>
    <w:rsid w:val="20B95A66"/>
    <w:rsid w:val="20C50DA2"/>
    <w:rsid w:val="20C977DE"/>
    <w:rsid w:val="20D64231"/>
    <w:rsid w:val="20E72732"/>
    <w:rsid w:val="20EB5EB9"/>
    <w:rsid w:val="210A34B5"/>
    <w:rsid w:val="21110DC5"/>
    <w:rsid w:val="21281867"/>
    <w:rsid w:val="21295502"/>
    <w:rsid w:val="213B74B1"/>
    <w:rsid w:val="215A2310"/>
    <w:rsid w:val="215A59BE"/>
    <w:rsid w:val="21656D5F"/>
    <w:rsid w:val="21696E53"/>
    <w:rsid w:val="216A13B7"/>
    <w:rsid w:val="216C181E"/>
    <w:rsid w:val="21735FAB"/>
    <w:rsid w:val="21826CDD"/>
    <w:rsid w:val="219C6EAA"/>
    <w:rsid w:val="21A97A46"/>
    <w:rsid w:val="21AA36F4"/>
    <w:rsid w:val="21AF0D0A"/>
    <w:rsid w:val="21B0798A"/>
    <w:rsid w:val="21D97B35"/>
    <w:rsid w:val="21DA1AFF"/>
    <w:rsid w:val="21DE318A"/>
    <w:rsid w:val="21DE53E3"/>
    <w:rsid w:val="21EF5B80"/>
    <w:rsid w:val="21F85855"/>
    <w:rsid w:val="21F901D7"/>
    <w:rsid w:val="22033084"/>
    <w:rsid w:val="222C2ED1"/>
    <w:rsid w:val="222E55FE"/>
    <w:rsid w:val="2238218D"/>
    <w:rsid w:val="223E208E"/>
    <w:rsid w:val="223F667A"/>
    <w:rsid w:val="224A0A33"/>
    <w:rsid w:val="2250591D"/>
    <w:rsid w:val="22576990"/>
    <w:rsid w:val="22593D66"/>
    <w:rsid w:val="226118D9"/>
    <w:rsid w:val="2265317B"/>
    <w:rsid w:val="22786190"/>
    <w:rsid w:val="228475FC"/>
    <w:rsid w:val="228F6446"/>
    <w:rsid w:val="22902D6A"/>
    <w:rsid w:val="229A2CE8"/>
    <w:rsid w:val="22A2261D"/>
    <w:rsid w:val="22AC524A"/>
    <w:rsid w:val="22AC6B9F"/>
    <w:rsid w:val="22C76548"/>
    <w:rsid w:val="22D130B5"/>
    <w:rsid w:val="22D402FC"/>
    <w:rsid w:val="22E32D38"/>
    <w:rsid w:val="22F47480"/>
    <w:rsid w:val="2309444A"/>
    <w:rsid w:val="230F734B"/>
    <w:rsid w:val="23166BD7"/>
    <w:rsid w:val="231F7BA8"/>
    <w:rsid w:val="232268B4"/>
    <w:rsid w:val="232775DE"/>
    <w:rsid w:val="232C2DD6"/>
    <w:rsid w:val="233837D5"/>
    <w:rsid w:val="233A00E9"/>
    <w:rsid w:val="234050C4"/>
    <w:rsid w:val="23427322"/>
    <w:rsid w:val="234A5FD0"/>
    <w:rsid w:val="235A0D1F"/>
    <w:rsid w:val="23777B65"/>
    <w:rsid w:val="237C10C0"/>
    <w:rsid w:val="237F64BA"/>
    <w:rsid w:val="238166D6"/>
    <w:rsid w:val="238F5025"/>
    <w:rsid w:val="23963A4B"/>
    <w:rsid w:val="23A75E07"/>
    <w:rsid w:val="23CA343F"/>
    <w:rsid w:val="23CB3DCD"/>
    <w:rsid w:val="23DD135C"/>
    <w:rsid w:val="23DE1C48"/>
    <w:rsid w:val="23E629DD"/>
    <w:rsid w:val="23E76A7C"/>
    <w:rsid w:val="23EC60B9"/>
    <w:rsid w:val="23EE53EE"/>
    <w:rsid w:val="23F937D6"/>
    <w:rsid w:val="23FC7B0B"/>
    <w:rsid w:val="240210CD"/>
    <w:rsid w:val="240F3CE2"/>
    <w:rsid w:val="24146720"/>
    <w:rsid w:val="241A162D"/>
    <w:rsid w:val="24226987"/>
    <w:rsid w:val="242973A6"/>
    <w:rsid w:val="24476E69"/>
    <w:rsid w:val="244A4D1A"/>
    <w:rsid w:val="24591394"/>
    <w:rsid w:val="245F3F4E"/>
    <w:rsid w:val="24735117"/>
    <w:rsid w:val="24750F6E"/>
    <w:rsid w:val="24773635"/>
    <w:rsid w:val="2479115B"/>
    <w:rsid w:val="247B3126"/>
    <w:rsid w:val="247B477C"/>
    <w:rsid w:val="247C414A"/>
    <w:rsid w:val="24857B00"/>
    <w:rsid w:val="24920FC3"/>
    <w:rsid w:val="249917FE"/>
    <w:rsid w:val="24A3442A"/>
    <w:rsid w:val="24B018B4"/>
    <w:rsid w:val="24B410D5"/>
    <w:rsid w:val="24B969C3"/>
    <w:rsid w:val="24BB5BD0"/>
    <w:rsid w:val="24BE1264"/>
    <w:rsid w:val="24BF09F7"/>
    <w:rsid w:val="24C1488C"/>
    <w:rsid w:val="24C223EC"/>
    <w:rsid w:val="24D42429"/>
    <w:rsid w:val="24DB0068"/>
    <w:rsid w:val="24DD53D4"/>
    <w:rsid w:val="24F541F8"/>
    <w:rsid w:val="24F66C50"/>
    <w:rsid w:val="24F81A37"/>
    <w:rsid w:val="250F1AC0"/>
    <w:rsid w:val="251610A0"/>
    <w:rsid w:val="251773DC"/>
    <w:rsid w:val="25217F06"/>
    <w:rsid w:val="25281178"/>
    <w:rsid w:val="252A0B3F"/>
    <w:rsid w:val="252D53FE"/>
    <w:rsid w:val="25302686"/>
    <w:rsid w:val="25344A93"/>
    <w:rsid w:val="254C46C8"/>
    <w:rsid w:val="254F1289"/>
    <w:rsid w:val="25570D27"/>
    <w:rsid w:val="257B7624"/>
    <w:rsid w:val="2582272E"/>
    <w:rsid w:val="258F566A"/>
    <w:rsid w:val="25910727"/>
    <w:rsid w:val="25951FC5"/>
    <w:rsid w:val="25A1007F"/>
    <w:rsid w:val="25A55F80"/>
    <w:rsid w:val="25B276E5"/>
    <w:rsid w:val="25B42CBF"/>
    <w:rsid w:val="25BC53DC"/>
    <w:rsid w:val="25BD7B8D"/>
    <w:rsid w:val="25C0018F"/>
    <w:rsid w:val="25C04081"/>
    <w:rsid w:val="25CE1E33"/>
    <w:rsid w:val="25DA4F2C"/>
    <w:rsid w:val="25DB4E7C"/>
    <w:rsid w:val="25DC5E46"/>
    <w:rsid w:val="25DF0ACE"/>
    <w:rsid w:val="25EA0F78"/>
    <w:rsid w:val="25EC2D81"/>
    <w:rsid w:val="25EF3DCB"/>
    <w:rsid w:val="25FF38E2"/>
    <w:rsid w:val="26193048"/>
    <w:rsid w:val="26306F1A"/>
    <w:rsid w:val="263F63D5"/>
    <w:rsid w:val="26502910"/>
    <w:rsid w:val="26575ED6"/>
    <w:rsid w:val="265D1C24"/>
    <w:rsid w:val="265F7BE3"/>
    <w:rsid w:val="266918EC"/>
    <w:rsid w:val="267843F3"/>
    <w:rsid w:val="26881C6F"/>
    <w:rsid w:val="268F110A"/>
    <w:rsid w:val="269014D2"/>
    <w:rsid w:val="26903760"/>
    <w:rsid w:val="269077E3"/>
    <w:rsid w:val="26A34BB6"/>
    <w:rsid w:val="26B83C52"/>
    <w:rsid w:val="26B9799E"/>
    <w:rsid w:val="26CE55E3"/>
    <w:rsid w:val="26E43A80"/>
    <w:rsid w:val="26E6421C"/>
    <w:rsid w:val="26EC20B9"/>
    <w:rsid w:val="26F05B99"/>
    <w:rsid w:val="270F3FF9"/>
    <w:rsid w:val="272140A1"/>
    <w:rsid w:val="272D10FC"/>
    <w:rsid w:val="27384F7A"/>
    <w:rsid w:val="27484CC0"/>
    <w:rsid w:val="27543A9F"/>
    <w:rsid w:val="2762237B"/>
    <w:rsid w:val="27624129"/>
    <w:rsid w:val="276460F3"/>
    <w:rsid w:val="276A5F64"/>
    <w:rsid w:val="277057A2"/>
    <w:rsid w:val="277458A3"/>
    <w:rsid w:val="278355D7"/>
    <w:rsid w:val="278622C0"/>
    <w:rsid w:val="278C6E18"/>
    <w:rsid w:val="279B763B"/>
    <w:rsid w:val="27AA2CA7"/>
    <w:rsid w:val="27AB3D22"/>
    <w:rsid w:val="27AC5CEC"/>
    <w:rsid w:val="27B30D85"/>
    <w:rsid w:val="27C631B3"/>
    <w:rsid w:val="27C9064C"/>
    <w:rsid w:val="27D36C40"/>
    <w:rsid w:val="27D55C8E"/>
    <w:rsid w:val="27DA5313"/>
    <w:rsid w:val="27DB3365"/>
    <w:rsid w:val="27E234BC"/>
    <w:rsid w:val="27EB7243"/>
    <w:rsid w:val="27EC3DBB"/>
    <w:rsid w:val="27EF2215"/>
    <w:rsid w:val="27FE5472"/>
    <w:rsid w:val="28060F58"/>
    <w:rsid w:val="280671AA"/>
    <w:rsid w:val="28194FE3"/>
    <w:rsid w:val="28202C20"/>
    <w:rsid w:val="282225BE"/>
    <w:rsid w:val="282357C8"/>
    <w:rsid w:val="28245882"/>
    <w:rsid w:val="282814F2"/>
    <w:rsid w:val="282C44DD"/>
    <w:rsid w:val="285E0D94"/>
    <w:rsid w:val="2860410A"/>
    <w:rsid w:val="28706D19"/>
    <w:rsid w:val="287F2A7E"/>
    <w:rsid w:val="288635BB"/>
    <w:rsid w:val="2895251F"/>
    <w:rsid w:val="289D3FF8"/>
    <w:rsid w:val="28A75A26"/>
    <w:rsid w:val="28B9470F"/>
    <w:rsid w:val="28D65326"/>
    <w:rsid w:val="28E53263"/>
    <w:rsid w:val="290C6C3B"/>
    <w:rsid w:val="290D726D"/>
    <w:rsid w:val="2916341D"/>
    <w:rsid w:val="291E49C7"/>
    <w:rsid w:val="29206EB8"/>
    <w:rsid w:val="29265D83"/>
    <w:rsid w:val="292D3017"/>
    <w:rsid w:val="292E0036"/>
    <w:rsid w:val="29335D5C"/>
    <w:rsid w:val="29451F54"/>
    <w:rsid w:val="295757E3"/>
    <w:rsid w:val="29595666"/>
    <w:rsid w:val="296028EA"/>
    <w:rsid w:val="2967709E"/>
    <w:rsid w:val="296B041C"/>
    <w:rsid w:val="29786A47"/>
    <w:rsid w:val="29804D3A"/>
    <w:rsid w:val="29874881"/>
    <w:rsid w:val="29904347"/>
    <w:rsid w:val="29971977"/>
    <w:rsid w:val="299804DC"/>
    <w:rsid w:val="299B7DC6"/>
    <w:rsid w:val="29A80A66"/>
    <w:rsid w:val="29BB5F6E"/>
    <w:rsid w:val="29C72969"/>
    <w:rsid w:val="29CA2459"/>
    <w:rsid w:val="29CF1C4A"/>
    <w:rsid w:val="29D05CC2"/>
    <w:rsid w:val="29D41207"/>
    <w:rsid w:val="29D52A33"/>
    <w:rsid w:val="29E11C7D"/>
    <w:rsid w:val="29E325E0"/>
    <w:rsid w:val="29E77685"/>
    <w:rsid w:val="29F506A8"/>
    <w:rsid w:val="29F84E12"/>
    <w:rsid w:val="2A044C92"/>
    <w:rsid w:val="2A047719"/>
    <w:rsid w:val="2A0932CC"/>
    <w:rsid w:val="2A1738F0"/>
    <w:rsid w:val="2A297180"/>
    <w:rsid w:val="2A3036EA"/>
    <w:rsid w:val="2A3219F9"/>
    <w:rsid w:val="2A365A44"/>
    <w:rsid w:val="2A3C50BD"/>
    <w:rsid w:val="2A3F5D40"/>
    <w:rsid w:val="2A452503"/>
    <w:rsid w:val="2A4B359A"/>
    <w:rsid w:val="2A5304A7"/>
    <w:rsid w:val="2A584001"/>
    <w:rsid w:val="2A6401B8"/>
    <w:rsid w:val="2A692F6C"/>
    <w:rsid w:val="2A7258B7"/>
    <w:rsid w:val="2A792F48"/>
    <w:rsid w:val="2A7B3EF3"/>
    <w:rsid w:val="2A7E334D"/>
    <w:rsid w:val="2A97233B"/>
    <w:rsid w:val="2AA97149"/>
    <w:rsid w:val="2AC07707"/>
    <w:rsid w:val="2AD93C61"/>
    <w:rsid w:val="2ADD52F4"/>
    <w:rsid w:val="2AEE27C8"/>
    <w:rsid w:val="2AF9227E"/>
    <w:rsid w:val="2AFB6D6E"/>
    <w:rsid w:val="2B02634F"/>
    <w:rsid w:val="2B0325BA"/>
    <w:rsid w:val="2B0A5203"/>
    <w:rsid w:val="2B177920"/>
    <w:rsid w:val="2B221DCA"/>
    <w:rsid w:val="2B2D64AD"/>
    <w:rsid w:val="2B3359CC"/>
    <w:rsid w:val="2B400778"/>
    <w:rsid w:val="2B4104F9"/>
    <w:rsid w:val="2B631006"/>
    <w:rsid w:val="2B6D12EE"/>
    <w:rsid w:val="2B731777"/>
    <w:rsid w:val="2B853938"/>
    <w:rsid w:val="2B881BE1"/>
    <w:rsid w:val="2B8C6323"/>
    <w:rsid w:val="2B98283F"/>
    <w:rsid w:val="2B9D7E25"/>
    <w:rsid w:val="2B9F5A45"/>
    <w:rsid w:val="2BA936A8"/>
    <w:rsid w:val="2BB138D1"/>
    <w:rsid w:val="2BCA6741"/>
    <w:rsid w:val="2BD20A78"/>
    <w:rsid w:val="2BE772F2"/>
    <w:rsid w:val="2BF16110"/>
    <w:rsid w:val="2BF328E9"/>
    <w:rsid w:val="2BFB2D9E"/>
    <w:rsid w:val="2C041C52"/>
    <w:rsid w:val="2C0C6D59"/>
    <w:rsid w:val="2C136339"/>
    <w:rsid w:val="2C2408B7"/>
    <w:rsid w:val="2C254C4B"/>
    <w:rsid w:val="2C315A5A"/>
    <w:rsid w:val="2C4B1C25"/>
    <w:rsid w:val="2C4C12CF"/>
    <w:rsid w:val="2C536736"/>
    <w:rsid w:val="2C770E39"/>
    <w:rsid w:val="2C9B1223"/>
    <w:rsid w:val="2CA537C7"/>
    <w:rsid w:val="2CAD3BC3"/>
    <w:rsid w:val="2CBA1565"/>
    <w:rsid w:val="2CBF3DCB"/>
    <w:rsid w:val="2CC6572B"/>
    <w:rsid w:val="2CDC4ECD"/>
    <w:rsid w:val="2CF75E6A"/>
    <w:rsid w:val="2D0026D7"/>
    <w:rsid w:val="2D0068BE"/>
    <w:rsid w:val="2D055557"/>
    <w:rsid w:val="2D0972AA"/>
    <w:rsid w:val="2D1A0AA6"/>
    <w:rsid w:val="2D2325AC"/>
    <w:rsid w:val="2D265A3B"/>
    <w:rsid w:val="2D2A5040"/>
    <w:rsid w:val="2D3002F7"/>
    <w:rsid w:val="2D447E18"/>
    <w:rsid w:val="2D4B069C"/>
    <w:rsid w:val="2D651C7E"/>
    <w:rsid w:val="2D7D7F0E"/>
    <w:rsid w:val="2D7E51CA"/>
    <w:rsid w:val="2D7F772C"/>
    <w:rsid w:val="2D875B2C"/>
    <w:rsid w:val="2D8C0151"/>
    <w:rsid w:val="2D8D3A84"/>
    <w:rsid w:val="2D9B647D"/>
    <w:rsid w:val="2D9E56F5"/>
    <w:rsid w:val="2DA13FE0"/>
    <w:rsid w:val="2DBB0A37"/>
    <w:rsid w:val="2DC86CB0"/>
    <w:rsid w:val="2DDB2E87"/>
    <w:rsid w:val="2DDD275B"/>
    <w:rsid w:val="2DE77757"/>
    <w:rsid w:val="2DEC5DE0"/>
    <w:rsid w:val="2DEF09F9"/>
    <w:rsid w:val="2DF12CDA"/>
    <w:rsid w:val="2DFF2F56"/>
    <w:rsid w:val="2E020414"/>
    <w:rsid w:val="2E09765F"/>
    <w:rsid w:val="2E0E0B66"/>
    <w:rsid w:val="2E1411F7"/>
    <w:rsid w:val="2E1A3C08"/>
    <w:rsid w:val="2E1D6AD1"/>
    <w:rsid w:val="2E1E6883"/>
    <w:rsid w:val="2E26103D"/>
    <w:rsid w:val="2E3F69EA"/>
    <w:rsid w:val="2E404D70"/>
    <w:rsid w:val="2E4D2F54"/>
    <w:rsid w:val="2E583300"/>
    <w:rsid w:val="2E5A3607"/>
    <w:rsid w:val="2E667F96"/>
    <w:rsid w:val="2E8226AB"/>
    <w:rsid w:val="2E8D3C40"/>
    <w:rsid w:val="2E9C7A72"/>
    <w:rsid w:val="2EB236A1"/>
    <w:rsid w:val="2EB865A2"/>
    <w:rsid w:val="2EBA484A"/>
    <w:rsid w:val="2EBA7866"/>
    <w:rsid w:val="2ECD1462"/>
    <w:rsid w:val="2EE31FF3"/>
    <w:rsid w:val="2F20205B"/>
    <w:rsid w:val="2F224DB6"/>
    <w:rsid w:val="2F4929CF"/>
    <w:rsid w:val="2F4F1437"/>
    <w:rsid w:val="2F577877"/>
    <w:rsid w:val="2F630483"/>
    <w:rsid w:val="2F754C15"/>
    <w:rsid w:val="2F765E16"/>
    <w:rsid w:val="2F8E1243"/>
    <w:rsid w:val="2F935E55"/>
    <w:rsid w:val="2F94454B"/>
    <w:rsid w:val="2FA77776"/>
    <w:rsid w:val="2FAB0637"/>
    <w:rsid w:val="2FB3260B"/>
    <w:rsid w:val="2FBD0A96"/>
    <w:rsid w:val="2FBD55F1"/>
    <w:rsid w:val="2FC75111"/>
    <w:rsid w:val="2FC82F97"/>
    <w:rsid w:val="2FD065E6"/>
    <w:rsid w:val="2FD96870"/>
    <w:rsid w:val="2FF43D8C"/>
    <w:rsid w:val="2FF51AA5"/>
    <w:rsid w:val="2FFB15BE"/>
    <w:rsid w:val="300700E5"/>
    <w:rsid w:val="301B3A0F"/>
    <w:rsid w:val="3023556D"/>
    <w:rsid w:val="3025488D"/>
    <w:rsid w:val="3030428D"/>
    <w:rsid w:val="3033217B"/>
    <w:rsid w:val="30332A68"/>
    <w:rsid w:val="30580BC9"/>
    <w:rsid w:val="305A60B1"/>
    <w:rsid w:val="305A62E5"/>
    <w:rsid w:val="305D17EE"/>
    <w:rsid w:val="306049E4"/>
    <w:rsid w:val="30667CA2"/>
    <w:rsid w:val="307750E9"/>
    <w:rsid w:val="30812858"/>
    <w:rsid w:val="30823A8E"/>
    <w:rsid w:val="308416C0"/>
    <w:rsid w:val="308B72F5"/>
    <w:rsid w:val="309B6433"/>
    <w:rsid w:val="30B8258D"/>
    <w:rsid w:val="30DF3D65"/>
    <w:rsid w:val="30EA6B58"/>
    <w:rsid w:val="30EB32AF"/>
    <w:rsid w:val="30FC55EE"/>
    <w:rsid w:val="31177307"/>
    <w:rsid w:val="311A3CC6"/>
    <w:rsid w:val="311E2ED7"/>
    <w:rsid w:val="3123473C"/>
    <w:rsid w:val="312D4453"/>
    <w:rsid w:val="312F620E"/>
    <w:rsid w:val="31325567"/>
    <w:rsid w:val="313A0F49"/>
    <w:rsid w:val="313B6A49"/>
    <w:rsid w:val="31491D1C"/>
    <w:rsid w:val="31517289"/>
    <w:rsid w:val="315619EE"/>
    <w:rsid w:val="315C449C"/>
    <w:rsid w:val="316B2774"/>
    <w:rsid w:val="3175776C"/>
    <w:rsid w:val="317A1DC0"/>
    <w:rsid w:val="317B5BDB"/>
    <w:rsid w:val="31864EB8"/>
    <w:rsid w:val="31977D26"/>
    <w:rsid w:val="31A76B96"/>
    <w:rsid w:val="31B22151"/>
    <w:rsid w:val="31B32367"/>
    <w:rsid w:val="31B81F98"/>
    <w:rsid w:val="31B82709"/>
    <w:rsid w:val="31BB41CD"/>
    <w:rsid w:val="31C61451"/>
    <w:rsid w:val="31C85368"/>
    <w:rsid w:val="31CD0D39"/>
    <w:rsid w:val="31D05482"/>
    <w:rsid w:val="31D40C9F"/>
    <w:rsid w:val="31D44525"/>
    <w:rsid w:val="31D8728B"/>
    <w:rsid w:val="31FF3149"/>
    <w:rsid w:val="320656A9"/>
    <w:rsid w:val="32096215"/>
    <w:rsid w:val="320A3C0B"/>
    <w:rsid w:val="321E637B"/>
    <w:rsid w:val="3225069D"/>
    <w:rsid w:val="32255DDC"/>
    <w:rsid w:val="322E0888"/>
    <w:rsid w:val="323E5792"/>
    <w:rsid w:val="32400B34"/>
    <w:rsid w:val="32456A2D"/>
    <w:rsid w:val="324C534F"/>
    <w:rsid w:val="324D69E2"/>
    <w:rsid w:val="325A7A5F"/>
    <w:rsid w:val="32621481"/>
    <w:rsid w:val="32786EF6"/>
    <w:rsid w:val="32847649"/>
    <w:rsid w:val="328C5600"/>
    <w:rsid w:val="32937FC8"/>
    <w:rsid w:val="32963820"/>
    <w:rsid w:val="329B2BE5"/>
    <w:rsid w:val="329E6876"/>
    <w:rsid w:val="329F4483"/>
    <w:rsid w:val="32B54BF1"/>
    <w:rsid w:val="32B90117"/>
    <w:rsid w:val="32CF3C28"/>
    <w:rsid w:val="32D30FC5"/>
    <w:rsid w:val="32D52195"/>
    <w:rsid w:val="32E26EBC"/>
    <w:rsid w:val="33022C64"/>
    <w:rsid w:val="33030EB6"/>
    <w:rsid w:val="330534D2"/>
    <w:rsid w:val="330D4084"/>
    <w:rsid w:val="332D5B03"/>
    <w:rsid w:val="333015F2"/>
    <w:rsid w:val="33435756"/>
    <w:rsid w:val="334741A4"/>
    <w:rsid w:val="334B6320"/>
    <w:rsid w:val="334E7C57"/>
    <w:rsid w:val="33534E24"/>
    <w:rsid w:val="335A5C35"/>
    <w:rsid w:val="33703A35"/>
    <w:rsid w:val="338B4A07"/>
    <w:rsid w:val="338F2FD8"/>
    <w:rsid w:val="33962CFC"/>
    <w:rsid w:val="339805FD"/>
    <w:rsid w:val="33AA7583"/>
    <w:rsid w:val="33D934D4"/>
    <w:rsid w:val="33DC0FA5"/>
    <w:rsid w:val="33E575CD"/>
    <w:rsid w:val="33EF5BB8"/>
    <w:rsid w:val="33FC40F1"/>
    <w:rsid w:val="33FE2F6A"/>
    <w:rsid w:val="340178E8"/>
    <w:rsid w:val="340E07E5"/>
    <w:rsid w:val="341751E0"/>
    <w:rsid w:val="34200B8A"/>
    <w:rsid w:val="34235BF7"/>
    <w:rsid w:val="34237E30"/>
    <w:rsid w:val="34570990"/>
    <w:rsid w:val="345C52C3"/>
    <w:rsid w:val="345D0BF8"/>
    <w:rsid w:val="346F4329"/>
    <w:rsid w:val="3474171E"/>
    <w:rsid w:val="34812F31"/>
    <w:rsid w:val="34897199"/>
    <w:rsid w:val="348E3D3E"/>
    <w:rsid w:val="34A30B51"/>
    <w:rsid w:val="34AB3958"/>
    <w:rsid w:val="34AC2E87"/>
    <w:rsid w:val="34B23FAB"/>
    <w:rsid w:val="34B561E0"/>
    <w:rsid w:val="34C01406"/>
    <w:rsid w:val="34C431CB"/>
    <w:rsid w:val="34CA6E34"/>
    <w:rsid w:val="34CD0AE2"/>
    <w:rsid w:val="34CE6502"/>
    <w:rsid w:val="34D128EE"/>
    <w:rsid w:val="34D90A0C"/>
    <w:rsid w:val="34DA3023"/>
    <w:rsid w:val="34F93ECF"/>
    <w:rsid w:val="351B1C78"/>
    <w:rsid w:val="352610F8"/>
    <w:rsid w:val="35380BBF"/>
    <w:rsid w:val="35395D1F"/>
    <w:rsid w:val="35472B8A"/>
    <w:rsid w:val="35487054"/>
    <w:rsid w:val="356C7D75"/>
    <w:rsid w:val="35804C81"/>
    <w:rsid w:val="35805CBC"/>
    <w:rsid w:val="358C5FA8"/>
    <w:rsid w:val="359D5C08"/>
    <w:rsid w:val="35A83952"/>
    <w:rsid w:val="35B32DB7"/>
    <w:rsid w:val="35BB5A78"/>
    <w:rsid w:val="35C15DF1"/>
    <w:rsid w:val="35C87C0B"/>
    <w:rsid w:val="35E45DF7"/>
    <w:rsid w:val="35F01303"/>
    <w:rsid w:val="35F40F8A"/>
    <w:rsid w:val="35FC7C35"/>
    <w:rsid w:val="3605298F"/>
    <w:rsid w:val="36074A7F"/>
    <w:rsid w:val="36147919"/>
    <w:rsid w:val="361A4892"/>
    <w:rsid w:val="361C7ECB"/>
    <w:rsid w:val="362F542D"/>
    <w:rsid w:val="36312101"/>
    <w:rsid w:val="363875EC"/>
    <w:rsid w:val="36392E40"/>
    <w:rsid w:val="36421615"/>
    <w:rsid w:val="36484E32"/>
    <w:rsid w:val="364A3DCA"/>
    <w:rsid w:val="36520F5E"/>
    <w:rsid w:val="3654172E"/>
    <w:rsid w:val="36592B9B"/>
    <w:rsid w:val="366F23BE"/>
    <w:rsid w:val="367B30C4"/>
    <w:rsid w:val="367E0B65"/>
    <w:rsid w:val="36923549"/>
    <w:rsid w:val="369537DD"/>
    <w:rsid w:val="36AA68BD"/>
    <w:rsid w:val="36B424C7"/>
    <w:rsid w:val="36B75FBF"/>
    <w:rsid w:val="36BD0C45"/>
    <w:rsid w:val="36D36DF1"/>
    <w:rsid w:val="36DC112E"/>
    <w:rsid w:val="36E5793C"/>
    <w:rsid w:val="36E637BF"/>
    <w:rsid w:val="36E96615"/>
    <w:rsid w:val="370E607B"/>
    <w:rsid w:val="371C1690"/>
    <w:rsid w:val="372673BE"/>
    <w:rsid w:val="372961DA"/>
    <w:rsid w:val="373F2E45"/>
    <w:rsid w:val="37465815"/>
    <w:rsid w:val="375D1F78"/>
    <w:rsid w:val="376712E7"/>
    <w:rsid w:val="37716F8B"/>
    <w:rsid w:val="37735EDE"/>
    <w:rsid w:val="377B7EDC"/>
    <w:rsid w:val="377D0B0B"/>
    <w:rsid w:val="37824373"/>
    <w:rsid w:val="3785779C"/>
    <w:rsid w:val="378B7DD7"/>
    <w:rsid w:val="379F0A81"/>
    <w:rsid w:val="37A117EE"/>
    <w:rsid w:val="37A61E10"/>
    <w:rsid w:val="37AE56AC"/>
    <w:rsid w:val="37B16FB4"/>
    <w:rsid w:val="37B36E99"/>
    <w:rsid w:val="37BF2ED1"/>
    <w:rsid w:val="37C14E9C"/>
    <w:rsid w:val="37C82D9C"/>
    <w:rsid w:val="37CF064B"/>
    <w:rsid w:val="37D366CE"/>
    <w:rsid w:val="37E00298"/>
    <w:rsid w:val="37F47148"/>
    <w:rsid w:val="37F621B1"/>
    <w:rsid w:val="37F70F00"/>
    <w:rsid w:val="37F82D93"/>
    <w:rsid w:val="37F92887"/>
    <w:rsid w:val="37FA054C"/>
    <w:rsid w:val="380A05F1"/>
    <w:rsid w:val="38462086"/>
    <w:rsid w:val="38502673"/>
    <w:rsid w:val="38514471"/>
    <w:rsid w:val="38563836"/>
    <w:rsid w:val="386E2DF2"/>
    <w:rsid w:val="38767A34"/>
    <w:rsid w:val="38797524"/>
    <w:rsid w:val="3882287D"/>
    <w:rsid w:val="388834D5"/>
    <w:rsid w:val="388D1222"/>
    <w:rsid w:val="389F07E6"/>
    <w:rsid w:val="38A10787"/>
    <w:rsid w:val="38AD2846"/>
    <w:rsid w:val="38B302F9"/>
    <w:rsid w:val="38CF4383"/>
    <w:rsid w:val="38D46E50"/>
    <w:rsid w:val="38EB014E"/>
    <w:rsid w:val="38F12CD3"/>
    <w:rsid w:val="38F17A02"/>
    <w:rsid w:val="38F94775"/>
    <w:rsid w:val="38FB660B"/>
    <w:rsid w:val="391B270E"/>
    <w:rsid w:val="391C6BF8"/>
    <w:rsid w:val="391F1660"/>
    <w:rsid w:val="39203E44"/>
    <w:rsid w:val="39243934"/>
    <w:rsid w:val="392971ED"/>
    <w:rsid w:val="39316051"/>
    <w:rsid w:val="39325651"/>
    <w:rsid w:val="39457BDA"/>
    <w:rsid w:val="394962A6"/>
    <w:rsid w:val="394F0285"/>
    <w:rsid w:val="3950579F"/>
    <w:rsid w:val="395104A1"/>
    <w:rsid w:val="39551D3F"/>
    <w:rsid w:val="39595A65"/>
    <w:rsid w:val="395F671A"/>
    <w:rsid w:val="39600595"/>
    <w:rsid w:val="396874AA"/>
    <w:rsid w:val="396A50BF"/>
    <w:rsid w:val="39822409"/>
    <w:rsid w:val="39866472"/>
    <w:rsid w:val="399214CD"/>
    <w:rsid w:val="399C4DA7"/>
    <w:rsid w:val="39B8159B"/>
    <w:rsid w:val="39C35FBC"/>
    <w:rsid w:val="39C42A21"/>
    <w:rsid w:val="39CD28CD"/>
    <w:rsid w:val="39D442FE"/>
    <w:rsid w:val="39DD03FD"/>
    <w:rsid w:val="39E52F0B"/>
    <w:rsid w:val="39FC665F"/>
    <w:rsid w:val="3A0151DE"/>
    <w:rsid w:val="3A071400"/>
    <w:rsid w:val="3A276CFA"/>
    <w:rsid w:val="3A2D05C6"/>
    <w:rsid w:val="3A460524"/>
    <w:rsid w:val="3A5E439C"/>
    <w:rsid w:val="3A6F5083"/>
    <w:rsid w:val="3A7056A2"/>
    <w:rsid w:val="3A7601BF"/>
    <w:rsid w:val="3A810AE6"/>
    <w:rsid w:val="3A872856"/>
    <w:rsid w:val="3A8D0BB0"/>
    <w:rsid w:val="3A8E51CB"/>
    <w:rsid w:val="3A9448C8"/>
    <w:rsid w:val="3A995C5C"/>
    <w:rsid w:val="3A9B5E78"/>
    <w:rsid w:val="3AA12D62"/>
    <w:rsid w:val="3AA54015"/>
    <w:rsid w:val="3AAB3CDE"/>
    <w:rsid w:val="3AAD7959"/>
    <w:rsid w:val="3ACA050B"/>
    <w:rsid w:val="3ACE6F70"/>
    <w:rsid w:val="3AD13648"/>
    <w:rsid w:val="3ADE7B13"/>
    <w:rsid w:val="3AE6335E"/>
    <w:rsid w:val="3AEC54A9"/>
    <w:rsid w:val="3AFE373D"/>
    <w:rsid w:val="3B05171C"/>
    <w:rsid w:val="3B0E6926"/>
    <w:rsid w:val="3B0F321B"/>
    <w:rsid w:val="3B10771F"/>
    <w:rsid w:val="3B190B4B"/>
    <w:rsid w:val="3B196D9D"/>
    <w:rsid w:val="3B2A0217"/>
    <w:rsid w:val="3B3140E6"/>
    <w:rsid w:val="3B3763D1"/>
    <w:rsid w:val="3B3D2837"/>
    <w:rsid w:val="3B863838"/>
    <w:rsid w:val="3B911029"/>
    <w:rsid w:val="3B915764"/>
    <w:rsid w:val="3BA9335C"/>
    <w:rsid w:val="3BAE5737"/>
    <w:rsid w:val="3BAF2DFE"/>
    <w:rsid w:val="3BBA0580"/>
    <w:rsid w:val="3BCA2C60"/>
    <w:rsid w:val="3BE162B3"/>
    <w:rsid w:val="3BEB24E7"/>
    <w:rsid w:val="3C106549"/>
    <w:rsid w:val="3C14531F"/>
    <w:rsid w:val="3C14590D"/>
    <w:rsid w:val="3C1D4647"/>
    <w:rsid w:val="3C215413"/>
    <w:rsid w:val="3C29300F"/>
    <w:rsid w:val="3C2974B3"/>
    <w:rsid w:val="3C2F6E1E"/>
    <w:rsid w:val="3C4F64BA"/>
    <w:rsid w:val="3C573C41"/>
    <w:rsid w:val="3C6310BE"/>
    <w:rsid w:val="3C840A57"/>
    <w:rsid w:val="3C951610"/>
    <w:rsid w:val="3C9C00A9"/>
    <w:rsid w:val="3CBA5FB4"/>
    <w:rsid w:val="3CDA245A"/>
    <w:rsid w:val="3CDE5A89"/>
    <w:rsid w:val="3CEC29BB"/>
    <w:rsid w:val="3CED40E8"/>
    <w:rsid w:val="3CF052E5"/>
    <w:rsid w:val="3CF26A18"/>
    <w:rsid w:val="3CFF0272"/>
    <w:rsid w:val="3D163594"/>
    <w:rsid w:val="3D192E8F"/>
    <w:rsid w:val="3D1931B5"/>
    <w:rsid w:val="3D1E06B7"/>
    <w:rsid w:val="3D281519"/>
    <w:rsid w:val="3D350D10"/>
    <w:rsid w:val="3D3C6FC7"/>
    <w:rsid w:val="3D3E2AEA"/>
    <w:rsid w:val="3D4A2BD7"/>
    <w:rsid w:val="3D4D28FC"/>
    <w:rsid w:val="3D567E34"/>
    <w:rsid w:val="3D600CB3"/>
    <w:rsid w:val="3D670076"/>
    <w:rsid w:val="3D723F52"/>
    <w:rsid w:val="3D7C186F"/>
    <w:rsid w:val="3D864BBD"/>
    <w:rsid w:val="3D8C5F4C"/>
    <w:rsid w:val="3D963E98"/>
    <w:rsid w:val="3D9E37F6"/>
    <w:rsid w:val="3DA908AC"/>
    <w:rsid w:val="3DBB238D"/>
    <w:rsid w:val="3DBD780F"/>
    <w:rsid w:val="3DC664A1"/>
    <w:rsid w:val="3DC72679"/>
    <w:rsid w:val="3DC821E0"/>
    <w:rsid w:val="3DD671C7"/>
    <w:rsid w:val="3DEC503E"/>
    <w:rsid w:val="3E03620E"/>
    <w:rsid w:val="3E0A59C0"/>
    <w:rsid w:val="3E285C74"/>
    <w:rsid w:val="3E3525AF"/>
    <w:rsid w:val="3E390F17"/>
    <w:rsid w:val="3E3E52FE"/>
    <w:rsid w:val="3E3F2FBE"/>
    <w:rsid w:val="3E4A5E07"/>
    <w:rsid w:val="3E4E2457"/>
    <w:rsid w:val="3E6546DA"/>
    <w:rsid w:val="3E744ACA"/>
    <w:rsid w:val="3E883029"/>
    <w:rsid w:val="3E8B1D5F"/>
    <w:rsid w:val="3E8E1705"/>
    <w:rsid w:val="3E904C34"/>
    <w:rsid w:val="3E990920"/>
    <w:rsid w:val="3EA03A5D"/>
    <w:rsid w:val="3EA0477D"/>
    <w:rsid w:val="3EA66B99"/>
    <w:rsid w:val="3EB72B54"/>
    <w:rsid w:val="3EBC44A2"/>
    <w:rsid w:val="3ECE698A"/>
    <w:rsid w:val="3ED43E0A"/>
    <w:rsid w:val="3EDA0523"/>
    <w:rsid w:val="3EE02A2D"/>
    <w:rsid w:val="3EE80F60"/>
    <w:rsid w:val="3EF1250A"/>
    <w:rsid w:val="3EF96FDB"/>
    <w:rsid w:val="3EFF73B1"/>
    <w:rsid w:val="3F026DFE"/>
    <w:rsid w:val="3F035D9A"/>
    <w:rsid w:val="3F0833B0"/>
    <w:rsid w:val="3F0F02C0"/>
    <w:rsid w:val="3F0F0BE2"/>
    <w:rsid w:val="3F241029"/>
    <w:rsid w:val="3F3146B5"/>
    <w:rsid w:val="3F3D2A63"/>
    <w:rsid w:val="3F422D66"/>
    <w:rsid w:val="3F5A2468"/>
    <w:rsid w:val="3F6E6E72"/>
    <w:rsid w:val="3F9335C1"/>
    <w:rsid w:val="3FA3594B"/>
    <w:rsid w:val="3FAF1A7E"/>
    <w:rsid w:val="3FB90EF1"/>
    <w:rsid w:val="3FB97082"/>
    <w:rsid w:val="3FD836EA"/>
    <w:rsid w:val="3FE43E1D"/>
    <w:rsid w:val="3FE72EDE"/>
    <w:rsid w:val="4004626D"/>
    <w:rsid w:val="40152984"/>
    <w:rsid w:val="40180BA4"/>
    <w:rsid w:val="40503FC9"/>
    <w:rsid w:val="40694663"/>
    <w:rsid w:val="406E7B8B"/>
    <w:rsid w:val="4071000B"/>
    <w:rsid w:val="407A6407"/>
    <w:rsid w:val="4096163D"/>
    <w:rsid w:val="409A6309"/>
    <w:rsid w:val="40AA3703"/>
    <w:rsid w:val="40CC6DE0"/>
    <w:rsid w:val="40E216F1"/>
    <w:rsid w:val="40E340D5"/>
    <w:rsid w:val="41016309"/>
    <w:rsid w:val="41097B78"/>
    <w:rsid w:val="4125649B"/>
    <w:rsid w:val="412D35A2"/>
    <w:rsid w:val="412E12E8"/>
    <w:rsid w:val="413752CC"/>
    <w:rsid w:val="41393A2A"/>
    <w:rsid w:val="41417D4D"/>
    <w:rsid w:val="414A5F02"/>
    <w:rsid w:val="414E30A6"/>
    <w:rsid w:val="41546D52"/>
    <w:rsid w:val="41656898"/>
    <w:rsid w:val="416C231C"/>
    <w:rsid w:val="41717932"/>
    <w:rsid w:val="41BD4926"/>
    <w:rsid w:val="41BE0DBE"/>
    <w:rsid w:val="41D16812"/>
    <w:rsid w:val="41E20621"/>
    <w:rsid w:val="41F61BE6"/>
    <w:rsid w:val="41F85926"/>
    <w:rsid w:val="41F9275B"/>
    <w:rsid w:val="42000FD7"/>
    <w:rsid w:val="4200449D"/>
    <w:rsid w:val="420E7390"/>
    <w:rsid w:val="42207F49"/>
    <w:rsid w:val="423A3BCC"/>
    <w:rsid w:val="424E57D2"/>
    <w:rsid w:val="42541EA4"/>
    <w:rsid w:val="425B1945"/>
    <w:rsid w:val="42721AD1"/>
    <w:rsid w:val="42727C11"/>
    <w:rsid w:val="428D786A"/>
    <w:rsid w:val="429F29E6"/>
    <w:rsid w:val="42A25350"/>
    <w:rsid w:val="42AF126D"/>
    <w:rsid w:val="42B20CEA"/>
    <w:rsid w:val="42B26C49"/>
    <w:rsid w:val="42B4494B"/>
    <w:rsid w:val="42BE3C45"/>
    <w:rsid w:val="42C61F18"/>
    <w:rsid w:val="42D76841"/>
    <w:rsid w:val="42E13A0E"/>
    <w:rsid w:val="42EF1440"/>
    <w:rsid w:val="42F966C2"/>
    <w:rsid w:val="42FE0D52"/>
    <w:rsid w:val="430F4C35"/>
    <w:rsid w:val="431875ED"/>
    <w:rsid w:val="431E7AC6"/>
    <w:rsid w:val="432244CE"/>
    <w:rsid w:val="432E524C"/>
    <w:rsid w:val="43390C32"/>
    <w:rsid w:val="433A6FE6"/>
    <w:rsid w:val="43480868"/>
    <w:rsid w:val="434A3F97"/>
    <w:rsid w:val="4350713C"/>
    <w:rsid w:val="436653E0"/>
    <w:rsid w:val="436B7220"/>
    <w:rsid w:val="436D237B"/>
    <w:rsid w:val="437B6846"/>
    <w:rsid w:val="43892C28"/>
    <w:rsid w:val="43923F26"/>
    <w:rsid w:val="43A15B81"/>
    <w:rsid w:val="43AA0EDA"/>
    <w:rsid w:val="43B95483"/>
    <w:rsid w:val="43BB6D12"/>
    <w:rsid w:val="43BF3F44"/>
    <w:rsid w:val="43C2202E"/>
    <w:rsid w:val="43C4431A"/>
    <w:rsid w:val="43D62652"/>
    <w:rsid w:val="43DE120D"/>
    <w:rsid w:val="43F006C0"/>
    <w:rsid w:val="44044A8E"/>
    <w:rsid w:val="440664EC"/>
    <w:rsid w:val="44146766"/>
    <w:rsid w:val="44194E97"/>
    <w:rsid w:val="4439400C"/>
    <w:rsid w:val="44456C4C"/>
    <w:rsid w:val="44677EF7"/>
    <w:rsid w:val="44692B43"/>
    <w:rsid w:val="446F605A"/>
    <w:rsid w:val="447D1992"/>
    <w:rsid w:val="448160DE"/>
    <w:rsid w:val="4484797D"/>
    <w:rsid w:val="44957494"/>
    <w:rsid w:val="4498523F"/>
    <w:rsid w:val="44A504D3"/>
    <w:rsid w:val="44B32010"/>
    <w:rsid w:val="44B85449"/>
    <w:rsid w:val="44B951CC"/>
    <w:rsid w:val="44CD14E0"/>
    <w:rsid w:val="44D73F50"/>
    <w:rsid w:val="44DF0E1B"/>
    <w:rsid w:val="44E57914"/>
    <w:rsid w:val="44EB20E5"/>
    <w:rsid w:val="44EB7AD2"/>
    <w:rsid w:val="44F20B0B"/>
    <w:rsid w:val="44F5662B"/>
    <w:rsid w:val="44F96D50"/>
    <w:rsid w:val="451C1963"/>
    <w:rsid w:val="45230F44"/>
    <w:rsid w:val="452E5F4C"/>
    <w:rsid w:val="45321758"/>
    <w:rsid w:val="4549264C"/>
    <w:rsid w:val="454A41C6"/>
    <w:rsid w:val="454E788F"/>
    <w:rsid w:val="455619B6"/>
    <w:rsid w:val="455961F4"/>
    <w:rsid w:val="455D2C29"/>
    <w:rsid w:val="45612018"/>
    <w:rsid w:val="456A1945"/>
    <w:rsid w:val="45717F01"/>
    <w:rsid w:val="45725A27"/>
    <w:rsid w:val="45773B38"/>
    <w:rsid w:val="4585575A"/>
    <w:rsid w:val="458946E9"/>
    <w:rsid w:val="458D0AB3"/>
    <w:rsid w:val="45997458"/>
    <w:rsid w:val="45A47C0E"/>
    <w:rsid w:val="45AC718B"/>
    <w:rsid w:val="45B70EF4"/>
    <w:rsid w:val="45B778DE"/>
    <w:rsid w:val="45BB117C"/>
    <w:rsid w:val="45C1250B"/>
    <w:rsid w:val="45D466E2"/>
    <w:rsid w:val="45E041F6"/>
    <w:rsid w:val="45E051CE"/>
    <w:rsid w:val="45EA38A2"/>
    <w:rsid w:val="45ED0D4C"/>
    <w:rsid w:val="45ED50AE"/>
    <w:rsid w:val="45F424BE"/>
    <w:rsid w:val="45FC2673"/>
    <w:rsid w:val="46056D86"/>
    <w:rsid w:val="460A457A"/>
    <w:rsid w:val="46142198"/>
    <w:rsid w:val="46146993"/>
    <w:rsid w:val="461C7151"/>
    <w:rsid w:val="46252A99"/>
    <w:rsid w:val="46362A71"/>
    <w:rsid w:val="463C219A"/>
    <w:rsid w:val="46437838"/>
    <w:rsid w:val="4645344E"/>
    <w:rsid w:val="46463556"/>
    <w:rsid w:val="46517F3F"/>
    <w:rsid w:val="46535859"/>
    <w:rsid w:val="46577FD6"/>
    <w:rsid w:val="465D0485"/>
    <w:rsid w:val="46705FB3"/>
    <w:rsid w:val="46723188"/>
    <w:rsid w:val="46827614"/>
    <w:rsid w:val="46840182"/>
    <w:rsid w:val="46935C55"/>
    <w:rsid w:val="469843E8"/>
    <w:rsid w:val="469F3A60"/>
    <w:rsid w:val="46A34157"/>
    <w:rsid w:val="46B23D99"/>
    <w:rsid w:val="46B67B95"/>
    <w:rsid w:val="46BF523F"/>
    <w:rsid w:val="46D955A7"/>
    <w:rsid w:val="46DA3884"/>
    <w:rsid w:val="46E91AA7"/>
    <w:rsid w:val="46F21692"/>
    <w:rsid w:val="47123B4A"/>
    <w:rsid w:val="47133957"/>
    <w:rsid w:val="47190850"/>
    <w:rsid w:val="47215727"/>
    <w:rsid w:val="472E49F6"/>
    <w:rsid w:val="47452B7E"/>
    <w:rsid w:val="474A44F1"/>
    <w:rsid w:val="475F022D"/>
    <w:rsid w:val="477C0DDF"/>
    <w:rsid w:val="477E4B57"/>
    <w:rsid w:val="47835CCA"/>
    <w:rsid w:val="478C5AB6"/>
    <w:rsid w:val="4792415F"/>
    <w:rsid w:val="47961D26"/>
    <w:rsid w:val="479A2B9F"/>
    <w:rsid w:val="47A07E0C"/>
    <w:rsid w:val="47A25B0C"/>
    <w:rsid w:val="47D927B4"/>
    <w:rsid w:val="47DF6654"/>
    <w:rsid w:val="47E10C5C"/>
    <w:rsid w:val="47F34B9E"/>
    <w:rsid w:val="47F73A49"/>
    <w:rsid w:val="4800556C"/>
    <w:rsid w:val="4803505C"/>
    <w:rsid w:val="480F0FF0"/>
    <w:rsid w:val="4818739D"/>
    <w:rsid w:val="48272AF9"/>
    <w:rsid w:val="483129D3"/>
    <w:rsid w:val="484439A0"/>
    <w:rsid w:val="484B3458"/>
    <w:rsid w:val="4861046B"/>
    <w:rsid w:val="486421E8"/>
    <w:rsid w:val="48653A70"/>
    <w:rsid w:val="486A0C38"/>
    <w:rsid w:val="4870272E"/>
    <w:rsid w:val="48854794"/>
    <w:rsid w:val="488C45F0"/>
    <w:rsid w:val="488C6D4D"/>
    <w:rsid w:val="48900642"/>
    <w:rsid w:val="48993C01"/>
    <w:rsid w:val="48AC74A2"/>
    <w:rsid w:val="48B15443"/>
    <w:rsid w:val="48BE3FA7"/>
    <w:rsid w:val="48C463FC"/>
    <w:rsid w:val="48C64C86"/>
    <w:rsid w:val="48D46F33"/>
    <w:rsid w:val="48D83FED"/>
    <w:rsid w:val="48DD533C"/>
    <w:rsid w:val="48E432C2"/>
    <w:rsid w:val="48E56510"/>
    <w:rsid w:val="48F2116C"/>
    <w:rsid w:val="48FF3ACE"/>
    <w:rsid w:val="491237A9"/>
    <w:rsid w:val="49184B37"/>
    <w:rsid w:val="49202F19"/>
    <w:rsid w:val="492049AD"/>
    <w:rsid w:val="493E459E"/>
    <w:rsid w:val="49451A7D"/>
    <w:rsid w:val="49576F59"/>
    <w:rsid w:val="495909FE"/>
    <w:rsid w:val="49794CAD"/>
    <w:rsid w:val="49867CF3"/>
    <w:rsid w:val="498A7DBB"/>
    <w:rsid w:val="49957F36"/>
    <w:rsid w:val="49961C68"/>
    <w:rsid w:val="499723A9"/>
    <w:rsid w:val="49976A23"/>
    <w:rsid w:val="49A34BDC"/>
    <w:rsid w:val="49A81A17"/>
    <w:rsid w:val="49AD702E"/>
    <w:rsid w:val="49B303BC"/>
    <w:rsid w:val="49BA7D72"/>
    <w:rsid w:val="49D46CB0"/>
    <w:rsid w:val="49DC7715"/>
    <w:rsid w:val="49E13BDE"/>
    <w:rsid w:val="49E8425B"/>
    <w:rsid w:val="49EF5898"/>
    <w:rsid w:val="49FB248F"/>
    <w:rsid w:val="49FE4EA1"/>
    <w:rsid w:val="4A023139"/>
    <w:rsid w:val="4A04505A"/>
    <w:rsid w:val="4A172EE4"/>
    <w:rsid w:val="4A3966A0"/>
    <w:rsid w:val="4A455A4A"/>
    <w:rsid w:val="4A617742"/>
    <w:rsid w:val="4A6B213D"/>
    <w:rsid w:val="4A73142D"/>
    <w:rsid w:val="4A7B576F"/>
    <w:rsid w:val="4A911BF7"/>
    <w:rsid w:val="4AA523FB"/>
    <w:rsid w:val="4AAD305D"/>
    <w:rsid w:val="4AB03279"/>
    <w:rsid w:val="4AB2427F"/>
    <w:rsid w:val="4AC24DD0"/>
    <w:rsid w:val="4AC83961"/>
    <w:rsid w:val="4AD83232"/>
    <w:rsid w:val="4ADF590D"/>
    <w:rsid w:val="4AE47C47"/>
    <w:rsid w:val="4AEC5E18"/>
    <w:rsid w:val="4AF561A9"/>
    <w:rsid w:val="4AF96F1F"/>
    <w:rsid w:val="4AFF4F3A"/>
    <w:rsid w:val="4B0A134F"/>
    <w:rsid w:val="4B1C65EF"/>
    <w:rsid w:val="4B232DA2"/>
    <w:rsid w:val="4B30788C"/>
    <w:rsid w:val="4B313C8F"/>
    <w:rsid w:val="4B3317B5"/>
    <w:rsid w:val="4B356891"/>
    <w:rsid w:val="4B433C46"/>
    <w:rsid w:val="4B451957"/>
    <w:rsid w:val="4B46505B"/>
    <w:rsid w:val="4B4B2FA2"/>
    <w:rsid w:val="4B6D24E2"/>
    <w:rsid w:val="4B6E60E6"/>
    <w:rsid w:val="4B7C7B34"/>
    <w:rsid w:val="4B7F49FA"/>
    <w:rsid w:val="4B7F62CD"/>
    <w:rsid w:val="4B8232BA"/>
    <w:rsid w:val="4B92297F"/>
    <w:rsid w:val="4B971D44"/>
    <w:rsid w:val="4B9F3E6A"/>
    <w:rsid w:val="4BB072F9"/>
    <w:rsid w:val="4BBE361B"/>
    <w:rsid w:val="4BC14C96"/>
    <w:rsid w:val="4BC863A1"/>
    <w:rsid w:val="4BD411EA"/>
    <w:rsid w:val="4BEA187A"/>
    <w:rsid w:val="4BFC707F"/>
    <w:rsid w:val="4C023185"/>
    <w:rsid w:val="4C113007"/>
    <w:rsid w:val="4C1635B0"/>
    <w:rsid w:val="4C1B3A07"/>
    <w:rsid w:val="4C2B14ED"/>
    <w:rsid w:val="4C312F97"/>
    <w:rsid w:val="4C327CBE"/>
    <w:rsid w:val="4C340EFA"/>
    <w:rsid w:val="4C4A0649"/>
    <w:rsid w:val="4C524503"/>
    <w:rsid w:val="4C5A27E2"/>
    <w:rsid w:val="4C6A68C8"/>
    <w:rsid w:val="4C793B3F"/>
    <w:rsid w:val="4C7E5ECA"/>
    <w:rsid w:val="4C7F08F0"/>
    <w:rsid w:val="4C876AA5"/>
    <w:rsid w:val="4C8A2770"/>
    <w:rsid w:val="4C9D5A7F"/>
    <w:rsid w:val="4CAD58B2"/>
    <w:rsid w:val="4CB55B0D"/>
    <w:rsid w:val="4CC03702"/>
    <w:rsid w:val="4CD07C03"/>
    <w:rsid w:val="4CD46E31"/>
    <w:rsid w:val="4CE32253"/>
    <w:rsid w:val="4CEC4311"/>
    <w:rsid w:val="4CEF7308"/>
    <w:rsid w:val="4CFA6A2E"/>
    <w:rsid w:val="4D007DBC"/>
    <w:rsid w:val="4D0913CF"/>
    <w:rsid w:val="4D0E00FB"/>
    <w:rsid w:val="4D176606"/>
    <w:rsid w:val="4D1D271C"/>
    <w:rsid w:val="4D2B1F63"/>
    <w:rsid w:val="4D2D4BAA"/>
    <w:rsid w:val="4D3C0A50"/>
    <w:rsid w:val="4D3F05B0"/>
    <w:rsid w:val="4D4D115A"/>
    <w:rsid w:val="4D5919CF"/>
    <w:rsid w:val="4D592C59"/>
    <w:rsid w:val="4D61085B"/>
    <w:rsid w:val="4D7773A6"/>
    <w:rsid w:val="4D7E3E1A"/>
    <w:rsid w:val="4D83654B"/>
    <w:rsid w:val="4D861753"/>
    <w:rsid w:val="4D865866"/>
    <w:rsid w:val="4D866514"/>
    <w:rsid w:val="4D89648C"/>
    <w:rsid w:val="4D8C4A55"/>
    <w:rsid w:val="4D907392"/>
    <w:rsid w:val="4D92310A"/>
    <w:rsid w:val="4DA01874"/>
    <w:rsid w:val="4DB017E2"/>
    <w:rsid w:val="4DBE0B4E"/>
    <w:rsid w:val="4DC165B4"/>
    <w:rsid w:val="4DC40DEA"/>
    <w:rsid w:val="4DE61DBB"/>
    <w:rsid w:val="4DEC4FB0"/>
    <w:rsid w:val="4DFC0584"/>
    <w:rsid w:val="4E056F33"/>
    <w:rsid w:val="4E075D8A"/>
    <w:rsid w:val="4E197388"/>
    <w:rsid w:val="4E2D698F"/>
    <w:rsid w:val="4E2E228E"/>
    <w:rsid w:val="4E3C4320"/>
    <w:rsid w:val="4E4029FE"/>
    <w:rsid w:val="4E43506F"/>
    <w:rsid w:val="4E4A5793"/>
    <w:rsid w:val="4E5E2FEC"/>
    <w:rsid w:val="4E927759"/>
    <w:rsid w:val="4EA35DE3"/>
    <w:rsid w:val="4EB00632"/>
    <w:rsid w:val="4EC00FAD"/>
    <w:rsid w:val="4EC45545"/>
    <w:rsid w:val="4ED778B3"/>
    <w:rsid w:val="4ED80FF1"/>
    <w:rsid w:val="4ED84B4D"/>
    <w:rsid w:val="4EE03A01"/>
    <w:rsid w:val="4EFC1694"/>
    <w:rsid w:val="4EFD2FE9"/>
    <w:rsid w:val="4F0364A9"/>
    <w:rsid w:val="4F071E7F"/>
    <w:rsid w:val="4F0E4A13"/>
    <w:rsid w:val="4F0F42E7"/>
    <w:rsid w:val="4F0F5C5D"/>
    <w:rsid w:val="4F212CAA"/>
    <w:rsid w:val="4F2555EE"/>
    <w:rsid w:val="4F277882"/>
    <w:rsid w:val="4F284704"/>
    <w:rsid w:val="4F2B1E6B"/>
    <w:rsid w:val="4F2D407E"/>
    <w:rsid w:val="4F351F9F"/>
    <w:rsid w:val="4F532425"/>
    <w:rsid w:val="4F622668"/>
    <w:rsid w:val="4F6D4961"/>
    <w:rsid w:val="4F812B87"/>
    <w:rsid w:val="4F9843DC"/>
    <w:rsid w:val="4F987560"/>
    <w:rsid w:val="4F9D18F3"/>
    <w:rsid w:val="4F9F566B"/>
    <w:rsid w:val="4FAA7E52"/>
    <w:rsid w:val="4FBB095F"/>
    <w:rsid w:val="4FC62A8C"/>
    <w:rsid w:val="4FCA0769"/>
    <w:rsid w:val="4FD47B8C"/>
    <w:rsid w:val="4FDA2B47"/>
    <w:rsid w:val="4FE20F0D"/>
    <w:rsid w:val="4FE51552"/>
    <w:rsid w:val="4FF04118"/>
    <w:rsid w:val="4FF43C08"/>
    <w:rsid w:val="500652AD"/>
    <w:rsid w:val="500B5CBE"/>
    <w:rsid w:val="50225B4A"/>
    <w:rsid w:val="50395ABF"/>
    <w:rsid w:val="503C735D"/>
    <w:rsid w:val="503E30D6"/>
    <w:rsid w:val="50412BC6"/>
    <w:rsid w:val="50414E97"/>
    <w:rsid w:val="50504C4B"/>
    <w:rsid w:val="505774C0"/>
    <w:rsid w:val="50690121"/>
    <w:rsid w:val="50902C85"/>
    <w:rsid w:val="509625FD"/>
    <w:rsid w:val="509C6E7C"/>
    <w:rsid w:val="509F7B6F"/>
    <w:rsid w:val="50AC430F"/>
    <w:rsid w:val="50BA380F"/>
    <w:rsid w:val="50BF79CC"/>
    <w:rsid w:val="50C16CBB"/>
    <w:rsid w:val="50C208F5"/>
    <w:rsid w:val="50CE001A"/>
    <w:rsid w:val="50CE7A68"/>
    <w:rsid w:val="50D476A1"/>
    <w:rsid w:val="50D75D5C"/>
    <w:rsid w:val="50DE21C3"/>
    <w:rsid w:val="50E439E4"/>
    <w:rsid w:val="50EA344B"/>
    <w:rsid w:val="51087240"/>
    <w:rsid w:val="511B3417"/>
    <w:rsid w:val="51392871"/>
    <w:rsid w:val="513F0D87"/>
    <w:rsid w:val="514324A3"/>
    <w:rsid w:val="51452A1F"/>
    <w:rsid w:val="51462780"/>
    <w:rsid w:val="514D0397"/>
    <w:rsid w:val="51525A50"/>
    <w:rsid w:val="51567F7F"/>
    <w:rsid w:val="515F39AF"/>
    <w:rsid w:val="5162104E"/>
    <w:rsid w:val="51656440"/>
    <w:rsid w:val="516A598A"/>
    <w:rsid w:val="5170241F"/>
    <w:rsid w:val="51727EFE"/>
    <w:rsid w:val="518A7D99"/>
    <w:rsid w:val="519C4558"/>
    <w:rsid w:val="519D3E2C"/>
    <w:rsid w:val="51A62FDA"/>
    <w:rsid w:val="51AD20BB"/>
    <w:rsid w:val="51B01DB1"/>
    <w:rsid w:val="51BA49DE"/>
    <w:rsid w:val="51BB2504"/>
    <w:rsid w:val="51C413B8"/>
    <w:rsid w:val="51C4585C"/>
    <w:rsid w:val="51D26EE6"/>
    <w:rsid w:val="51D51818"/>
    <w:rsid w:val="51DB6702"/>
    <w:rsid w:val="51DF0DCC"/>
    <w:rsid w:val="51DF2696"/>
    <w:rsid w:val="51E67581"/>
    <w:rsid w:val="51E97071"/>
    <w:rsid w:val="51EC3DDD"/>
    <w:rsid w:val="51F004BA"/>
    <w:rsid w:val="51F27138"/>
    <w:rsid w:val="51F83758"/>
    <w:rsid w:val="520807FC"/>
    <w:rsid w:val="521C37D6"/>
    <w:rsid w:val="523666BA"/>
    <w:rsid w:val="52391DA6"/>
    <w:rsid w:val="523E560F"/>
    <w:rsid w:val="524424F9"/>
    <w:rsid w:val="5248513B"/>
    <w:rsid w:val="5259286F"/>
    <w:rsid w:val="527B23BF"/>
    <w:rsid w:val="5285323E"/>
    <w:rsid w:val="528B637A"/>
    <w:rsid w:val="528E477D"/>
    <w:rsid w:val="529414C0"/>
    <w:rsid w:val="52A1708E"/>
    <w:rsid w:val="52B07B8F"/>
    <w:rsid w:val="52B35382"/>
    <w:rsid w:val="52BB415A"/>
    <w:rsid w:val="52C13B4A"/>
    <w:rsid w:val="52D068AE"/>
    <w:rsid w:val="52D7336D"/>
    <w:rsid w:val="52DA3A1F"/>
    <w:rsid w:val="53003CAC"/>
    <w:rsid w:val="530F48B5"/>
    <w:rsid w:val="530F6FAB"/>
    <w:rsid w:val="531E7B67"/>
    <w:rsid w:val="53381FDC"/>
    <w:rsid w:val="534319FB"/>
    <w:rsid w:val="53456529"/>
    <w:rsid w:val="535406AD"/>
    <w:rsid w:val="53542C10"/>
    <w:rsid w:val="5359222A"/>
    <w:rsid w:val="53682217"/>
    <w:rsid w:val="5373783C"/>
    <w:rsid w:val="53742497"/>
    <w:rsid w:val="537B3B83"/>
    <w:rsid w:val="539A6B5E"/>
    <w:rsid w:val="53A039CC"/>
    <w:rsid w:val="53A1505A"/>
    <w:rsid w:val="53A54518"/>
    <w:rsid w:val="53A743C2"/>
    <w:rsid w:val="53AB279C"/>
    <w:rsid w:val="53B06098"/>
    <w:rsid w:val="53B9715E"/>
    <w:rsid w:val="53C02ABB"/>
    <w:rsid w:val="53C14B5D"/>
    <w:rsid w:val="53CD0BE7"/>
    <w:rsid w:val="53D71774"/>
    <w:rsid w:val="53E433D0"/>
    <w:rsid w:val="53E96888"/>
    <w:rsid w:val="53EF1990"/>
    <w:rsid w:val="53F13F09"/>
    <w:rsid w:val="53F854AB"/>
    <w:rsid w:val="540278C7"/>
    <w:rsid w:val="54063E08"/>
    <w:rsid w:val="54181E8F"/>
    <w:rsid w:val="541F4FCC"/>
    <w:rsid w:val="542D6F73"/>
    <w:rsid w:val="54306BFD"/>
    <w:rsid w:val="543437E8"/>
    <w:rsid w:val="543F12E2"/>
    <w:rsid w:val="544055D8"/>
    <w:rsid w:val="5441218F"/>
    <w:rsid w:val="54445910"/>
    <w:rsid w:val="54536C84"/>
    <w:rsid w:val="5457124A"/>
    <w:rsid w:val="546415BE"/>
    <w:rsid w:val="546A7B01"/>
    <w:rsid w:val="546C5CF0"/>
    <w:rsid w:val="54750DAB"/>
    <w:rsid w:val="54892E2F"/>
    <w:rsid w:val="549C29E5"/>
    <w:rsid w:val="54AD6A7C"/>
    <w:rsid w:val="54B03B17"/>
    <w:rsid w:val="54C85664"/>
    <w:rsid w:val="54CB27A7"/>
    <w:rsid w:val="54E51D72"/>
    <w:rsid w:val="54E72422"/>
    <w:rsid w:val="54E95966"/>
    <w:rsid w:val="54ED3D0E"/>
    <w:rsid w:val="54F73313"/>
    <w:rsid w:val="54F7701B"/>
    <w:rsid w:val="54F80955"/>
    <w:rsid w:val="5503044A"/>
    <w:rsid w:val="5507561F"/>
    <w:rsid w:val="550A5C7C"/>
    <w:rsid w:val="550C2306"/>
    <w:rsid w:val="5516577F"/>
    <w:rsid w:val="55172E1D"/>
    <w:rsid w:val="553027F9"/>
    <w:rsid w:val="553D57AA"/>
    <w:rsid w:val="555170A7"/>
    <w:rsid w:val="555643AD"/>
    <w:rsid w:val="555E38D2"/>
    <w:rsid w:val="5560764A"/>
    <w:rsid w:val="556B41AC"/>
    <w:rsid w:val="5587536D"/>
    <w:rsid w:val="558D6F7D"/>
    <w:rsid w:val="558E065B"/>
    <w:rsid w:val="559B174B"/>
    <w:rsid w:val="559C0A81"/>
    <w:rsid w:val="559E2DA4"/>
    <w:rsid w:val="55A41B64"/>
    <w:rsid w:val="55AA6385"/>
    <w:rsid w:val="55B556A1"/>
    <w:rsid w:val="55B747A0"/>
    <w:rsid w:val="55B8047D"/>
    <w:rsid w:val="55C00A2A"/>
    <w:rsid w:val="55CE0CF4"/>
    <w:rsid w:val="55D50038"/>
    <w:rsid w:val="55DA0134"/>
    <w:rsid w:val="55E1146D"/>
    <w:rsid w:val="55EE4C56"/>
    <w:rsid w:val="55F26484"/>
    <w:rsid w:val="55F85AD5"/>
    <w:rsid w:val="561171DF"/>
    <w:rsid w:val="561F7505"/>
    <w:rsid w:val="562C26FB"/>
    <w:rsid w:val="56384123"/>
    <w:rsid w:val="56433873"/>
    <w:rsid w:val="56514469"/>
    <w:rsid w:val="56553776"/>
    <w:rsid w:val="56554CD5"/>
    <w:rsid w:val="567D5FDA"/>
    <w:rsid w:val="568A7075"/>
    <w:rsid w:val="568D1FF8"/>
    <w:rsid w:val="56A95021"/>
    <w:rsid w:val="56AF4A4E"/>
    <w:rsid w:val="56B22A9C"/>
    <w:rsid w:val="56BC4D54"/>
    <w:rsid w:val="56C1236A"/>
    <w:rsid w:val="56DE5D70"/>
    <w:rsid w:val="56DF4345"/>
    <w:rsid w:val="56E9754E"/>
    <w:rsid w:val="56F35BE9"/>
    <w:rsid w:val="56F72230"/>
    <w:rsid w:val="56F97D56"/>
    <w:rsid w:val="56FE35BF"/>
    <w:rsid w:val="570728F2"/>
    <w:rsid w:val="571C1C97"/>
    <w:rsid w:val="571D5E7F"/>
    <w:rsid w:val="57213E85"/>
    <w:rsid w:val="572B4F18"/>
    <w:rsid w:val="572C012C"/>
    <w:rsid w:val="57364B06"/>
    <w:rsid w:val="57372BD6"/>
    <w:rsid w:val="57420784"/>
    <w:rsid w:val="574378FF"/>
    <w:rsid w:val="57480577"/>
    <w:rsid w:val="574865E8"/>
    <w:rsid w:val="57492E6D"/>
    <w:rsid w:val="57496272"/>
    <w:rsid w:val="574F5E3C"/>
    <w:rsid w:val="5761779F"/>
    <w:rsid w:val="576B2EDD"/>
    <w:rsid w:val="57771B4C"/>
    <w:rsid w:val="5798756F"/>
    <w:rsid w:val="57A80A7A"/>
    <w:rsid w:val="57AC585F"/>
    <w:rsid w:val="57B72A76"/>
    <w:rsid w:val="57C3426C"/>
    <w:rsid w:val="57C57C38"/>
    <w:rsid w:val="57CE1F93"/>
    <w:rsid w:val="57D63D24"/>
    <w:rsid w:val="57E97DCB"/>
    <w:rsid w:val="57FB275C"/>
    <w:rsid w:val="580764A3"/>
    <w:rsid w:val="582430A9"/>
    <w:rsid w:val="58255BB7"/>
    <w:rsid w:val="582947D6"/>
    <w:rsid w:val="58296419"/>
    <w:rsid w:val="582C053B"/>
    <w:rsid w:val="5832203B"/>
    <w:rsid w:val="58376D64"/>
    <w:rsid w:val="58520CD7"/>
    <w:rsid w:val="585E148F"/>
    <w:rsid w:val="586A0300"/>
    <w:rsid w:val="586F2EBD"/>
    <w:rsid w:val="587224A6"/>
    <w:rsid w:val="58764214"/>
    <w:rsid w:val="587B3654"/>
    <w:rsid w:val="588743D1"/>
    <w:rsid w:val="5887701A"/>
    <w:rsid w:val="588D4BFA"/>
    <w:rsid w:val="589870FB"/>
    <w:rsid w:val="58A04044"/>
    <w:rsid w:val="58B155A3"/>
    <w:rsid w:val="58BB0AA9"/>
    <w:rsid w:val="58ED27C9"/>
    <w:rsid w:val="58F46A27"/>
    <w:rsid w:val="58FC6D00"/>
    <w:rsid w:val="59051C01"/>
    <w:rsid w:val="591744C4"/>
    <w:rsid w:val="592704E9"/>
    <w:rsid w:val="592F0788"/>
    <w:rsid w:val="593908DE"/>
    <w:rsid w:val="59406A3C"/>
    <w:rsid w:val="59490B0E"/>
    <w:rsid w:val="594F3D73"/>
    <w:rsid w:val="59685A20"/>
    <w:rsid w:val="597A6C4D"/>
    <w:rsid w:val="597B5574"/>
    <w:rsid w:val="597D2F62"/>
    <w:rsid w:val="59851BC0"/>
    <w:rsid w:val="59882D99"/>
    <w:rsid w:val="598C3104"/>
    <w:rsid w:val="598D656A"/>
    <w:rsid w:val="599315E4"/>
    <w:rsid w:val="5994013E"/>
    <w:rsid w:val="59AA3C81"/>
    <w:rsid w:val="59B01FDB"/>
    <w:rsid w:val="59B652B1"/>
    <w:rsid w:val="59B77A55"/>
    <w:rsid w:val="59BD12B5"/>
    <w:rsid w:val="59BF45F4"/>
    <w:rsid w:val="59C0439F"/>
    <w:rsid w:val="59C44088"/>
    <w:rsid w:val="59E32137"/>
    <w:rsid w:val="59EF71EF"/>
    <w:rsid w:val="59F732EF"/>
    <w:rsid w:val="5A000D3E"/>
    <w:rsid w:val="5A0A5DD6"/>
    <w:rsid w:val="5A0C5FF2"/>
    <w:rsid w:val="5A0E3EC3"/>
    <w:rsid w:val="5A1470FD"/>
    <w:rsid w:val="5A1B147E"/>
    <w:rsid w:val="5A296826"/>
    <w:rsid w:val="5A303AD2"/>
    <w:rsid w:val="5A3715C4"/>
    <w:rsid w:val="5A4413F1"/>
    <w:rsid w:val="5A49217B"/>
    <w:rsid w:val="5A6136F4"/>
    <w:rsid w:val="5A655269"/>
    <w:rsid w:val="5A686EF5"/>
    <w:rsid w:val="5A7B6CA5"/>
    <w:rsid w:val="5A7E7147"/>
    <w:rsid w:val="5A816E5F"/>
    <w:rsid w:val="5A863315"/>
    <w:rsid w:val="5A934A38"/>
    <w:rsid w:val="5A9A7AFB"/>
    <w:rsid w:val="5AA004E9"/>
    <w:rsid w:val="5AA20BEC"/>
    <w:rsid w:val="5AA223B2"/>
    <w:rsid w:val="5AAF3069"/>
    <w:rsid w:val="5AB04BD0"/>
    <w:rsid w:val="5AB3021C"/>
    <w:rsid w:val="5ABE2233"/>
    <w:rsid w:val="5ACE32A8"/>
    <w:rsid w:val="5AD3266C"/>
    <w:rsid w:val="5AD74EFD"/>
    <w:rsid w:val="5ADD3A4D"/>
    <w:rsid w:val="5B092532"/>
    <w:rsid w:val="5B0F1FF0"/>
    <w:rsid w:val="5B123195"/>
    <w:rsid w:val="5B124E7C"/>
    <w:rsid w:val="5B146BAA"/>
    <w:rsid w:val="5B21787C"/>
    <w:rsid w:val="5B3643B9"/>
    <w:rsid w:val="5B375CF4"/>
    <w:rsid w:val="5B3A093D"/>
    <w:rsid w:val="5B433F0B"/>
    <w:rsid w:val="5B4E4873"/>
    <w:rsid w:val="5B667984"/>
    <w:rsid w:val="5B687259"/>
    <w:rsid w:val="5B7B2CEB"/>
    <w:rsid w:val="5B81656C"/>
    <w:rsid w:val="5B8F73A2"/>
    <w:rsid w:val="5BBC71A9"/>
    <w:rsid w:val="5BC22B18"/>
    <w:rsid w:val="5BC76675"/>
    <w:rsid w:val="5BC87929"/>
    <w:rsid w:val="5BCC2754"/>
    <w:rsid w:val="5BD7611D"/>
    <w:rsid w:val="5BD7618C"/>
    <w:rsid w:val="5BD963A8"/>
    <w:rsid w:val="5BDF5D95"/>
    <w:rsid w:val="5BE30FD5"/>
    <w:rsid w:val="5BF136F2"/>
    <w:rsid w:val="5BFE7528"/>
    <w:rsid w:val="5C094B44"/>
    <w:rsid w:val="5C1473E0"/>
    <w:rsid w:val="5C1C556C"/>
    <w:rsid w:val="5C262914"/>
    <w:rsid w:val="5C307C2E"/>
    <w:rsid w:val="5C3C5595"/>
    <w:rsid w:val="5C4749F8"/>
    <w:rsid w:val="5C523447"/>
    <w:rsid w:val="5C573673"/>
    <w:rsid w:val="5C5872CD"/>
    <w:rsid w:val="5C65796E"/>
    <w:rsid w:val="5C693288"/>
    <w:rsid w:val="5C6B04E6"/>
    <w:rsid w:val="5C6C4578"/>
    <w:rsid w:val="5C757E7F"/>
    <w:rsid w:val="5C8143E2"/>
    <w:rsid w:val="5C834DEE"/>
    <w:rsid w:val="5C9239E2"/>
    <w:rsid w:val="5CA2679A"/>
    <w:rsid w:val="5CB06435"/>
    <w:rsid w:val="5CC20BEA"/>
    <w:rsid w:val="5CCF04DA"/>
    <w:rsid w:val="5CD40442"/>
    <w:rsid w:val="5CDB6928"/>
    <w:rsid w:val="5CDD24D8"/>
    <w:rsid w:val="5CF52D6E"/>
    <w:rsid w:val="5CFF6B1A"/>
    <w:rsid w:val="5D027239"/>
    <w:rsid w:val="5D0B581D"/>
    <w:rsid w:val="5D137698"/>
    <w:rsid w:val="5D1A7137"/>
    <w:rsid w:val="5D1B5FA5"/>
    <w:rsid w:val="5D3F048D"/>
    <w:rsid w:val="5D417D61"/>
    <w:rsid w:val="5D432729"/>
    <w:rsid w:val="5D455F12"/>
    <w:rsid w:val="5D467680"/>
    <w:rsid w:val="5D4E247E"/>
    <w:rsid w:val="5D526412"/>
    <w:rsid w:val="5D5560B4"/>
    <w:rsid w:val="5D5F082E"/>
    <w:rsid w:val="5D6B6807"/>
    <w:rsid w:val="5D741106"/>
    <w:rsid w:val="5D845351"/>
    <w:rsid w:val="5D953C99"/>
    <w:rsid w:val="5D9630DD"/>
    <w:rsid w:val="5DAC3379"/>
    <w:rsid w:val="5DB00A54"/>
    <w:rsid w:val="5DB276B4"/>
    <w:rsid w:val="5DC20B2E"/>
    <w:rsid w:val="5DE13963"/>
    <w:rsid w:val="5DEB1A0A"/>
    <w:rsid w:val="5DF63241"/>
    <w:rsid w:val="5DFB14D0"/>
    <w:rsid w:val="5DFD33F6"/>
    <w:rsid w:val="5E216E51"/>
    <w:rsid w:val="5E2467F1"/>
    <w:rsid w:val="5E3040EF"/>
    <w:rsid w:val="5E361890"/>
    <w:rsid w:val="5E48511F"/>
    <w:rsid w:val="5E4B0663"/>
    <w:rsid w:val="5E576B92"/>
    <w:rsid w:val="5E5B0047"/>
    <w:rsid w:val="5E6737F7"/>
    <w:rsid w:val="5E677D8D"/>
    <w:rsid w:val="5E6A153A"/>
    <w:rsid w:val="5E6B35F2"/>
    <w:rsid w:val="5E775D36"/>
    <w:rsid w:val="5E7B5A67"/>
    <w:rsid w:val="5E7F5918"/>
    <w:rsid w:val="5E83227E"/>
    <w:rsid w:val="5E8343A9"/>
    <w:rsid w:val="5E930A90"/>
    <w:rsid w:val="5EAA7B88"/>
    <w:rsid w:val="5EAC0A97"/>
    <w:rsid w:val="5EB804F7"/>
    <w:rsid w:val="5EBA6239"/>
    <w:rsid w:val="5EC92704"/>
    <w:rsid w:val="5EDA6F5C"/>
    <w:rsid w:val="5EDF485C"/>
    <w:rsid w:val="5EE535C0"/>
    <w:rsid w:val="5EF63464"/>
    <w:rsid w:val="5EFC01CD"/>
    <w:rsid w:val="5F0279C4"/>
    <w:rsid w:val="5F08322C"/>
    <w:rsid w:val="5F0B6879"/>
    <w:rsid w:val="5F0D5EBF"/>
    <w:rsid w:val="5F0D7CAC"/>
    <w:rsid w:val="5F0E6369"/>
    <w:rsid w:val="5F10232C"/>
    <w:rsid w:val="5F103E8F"/>
    <w:rsid w:val="5F1A2B43"/>
    <w:rsid w:val="5F210F51"/>
    <w:rsid w:val="5F3A53B0"/>
    <w:rsid w:val="5F465E26"/>
    <w:rsid w:val="5F681F1D"/>
    <w:rsid w:val="5F684317"/>
    <w:rsid w:val="5F697A43"/>
    <w:rsid w:val="5F70492E"/>
    <w:rsid w:val="5F8A07DC"/>
    <w:rsid w:val="5F9E61A2"/>
    <w:rsid w:val="5F9E76ED"/>
    <w:rsid w:val="5FA921CB"/>
    <w:rsid w:val="5FAD6912"/>
    <w:rsid w:val="5FB837BB"/>
    <w:rsid w:val="5FB962D5"/>
    <w:rsid w:val="5FBC7B73"/>
    <w:rsid w:val="5FD0185B"/>
    <w:rsid w:val="5FD0361E"/>
    <w:rsid w:val="5FD96977"/>
    <w:rsid w:val="5FDB296A"/>
    <w:rsid w:val="600F33A7"/>
    <w:rsid w:val="6016556D"/>
    <w:rsid w:val="601D4FE1"/>
    <w:rsid w:val="60235E44"/>
    <w:rsid w:val="60255718"/>
    <w:rsid w:val="602573C3"/>
    <w:rsid w:val="60295190"/>
    <w:rsid w:val="602F4D93"/>
    <w:rsid w:val="603F1E60"/>
    <w:rsid w:val="603F2F05"/>
    <w:rsid w:val="605B55DE"/>
    <w:rsid w:val="60800C51"/>
    <w:rsid w:val="608E02A4"/>
    <w:rsid w:val="6098238E"/>
    <w:rsid w:val="60B67EF5"/>
    <w:rsid w:val="60C07B37"/>
    <w:rsid w:val="60C07C62"/>
    <w:rsid w:val="60C3049D"/>
    <w:rsid w:val="60C413D5"/>
    <w:rsid w:val="60CA17CE"/>
    <w:rsid w:val="60CC405A"/>
    <w:rsid w:val="60DA0BF8"/>
    <w:rsid w:val="60DA6F77"/>
    <w:rsid w:val="60DB671F"/>
    <w:rsid w:val="60E04F0F"/>
    <w:rsid w:val="60ED2D67"/>
    <w:rsid w:val="60FB1599"/>
    <w:rsid w:val="61007BBB"/>
    <w:rsid w:val="610A649C"/>
    <w:rsid w:val="61120392"/>
    <w:rsid w:val="6115578D"/>
    <w:rsid w:val="611E048B"/>
    <w:rsid w:val="612436CB"/>
    <w:rsid w:val="613A63E9"/>
    <w:rsid w:val="61710E5E"/>
    <w:rsid w:val="61761D88"/>
    <w:rsid w:val="61952A3A"/>
    <w:rsid w:val="619C1A0A"/>
    <w:rsid w:val="61AF3E33"/>
    <w:rsid w:val="61CA3B78"/>
    <w:rsid w:val="61CB2B59"/>
    <w:rsid w:val="61D979B5"/>
    <w:rsid w:val="61DB57B7"/>
    <w:rsid w:val="61E215D8"/>
    <w:rsid w:val="61E44F1F"/>
    <w:rsid w:val="61E714D8"/>
    <w:rsid w:val="61F9203F"/>
    <w:rsid w:val="62045801"/>
    <w:rsid w:val="620522F9"/>
    <w:rsid w:val="62063FB5"/>
    <w:rsid w:val="62103D7B"/>
    <w:rsid w:val="621A00D8"/>
    <w:rsid w:val="621B3775"/>
    <w:rsid w:val="62270222"/>
    <w:rsid w:val="622D2677"/>
    <w:rsid w:val="62364782"/>
    <w:rsid w:val="6236783E"/>
    <w:rsid w:val="62387E1D"/>
    <w:rsid w:val="623954AB"/>
    <w:rsid w:val="62440A15"/>
    <w:rsid w:val="62455AD3"/>
    <w:rsid w:val="624D53FA"/>
    <w:rsid w:val="624F2F20"/>
    <w:rsid w:val="62585B8E"/>
    <w:rsid w:val="62676AEA"/>
    <w:rsid w:val="626E50AF"/>
    <w:rsid w:val="62712893"/>
    <w:rsid w:val="628241AA"/>
    <w:rsid w:val="62874510"/>
    <w:rsid w:val="628F156F"/>
    <w:rsid w:val="629F2C5A"/>
    <w:rsid w:val="62A5555F"/>
    <w:rsid w:val="62AE7D50"/>
    <w:rsid w:val="62BD5543"/>
    <w:rsid w:val="62D41677"/>
    <w:rsid w:val="62F00C85"/>
    <w:rsid w:val="62F51D1A"/>
    <w:rsid w:val="631A379A"/>
    <w:rsid w:val="631A63A7"/>
    <w:rsid w:val="631B72A6"/>
    <w:rsid w:val="63273E9D"/>
    <w:rsid w:val="632E6FDA"/>
    <w:rsid w:val="63390E7C"/>
    <w:rsid w:val="63436F60"/>
    <w:rsid w:val="63462575"/>
    <w:rsid w:val="634D6CF6"/>
    <w:rsid w:val="635B58F5"/>
    <w:rsid w:val="6367701C"/>
    <w:rsid w:val="637048CE"/>
    <w:rsid w:val="63770981"/>
    <w:rsid w:val="637B2929"/>
    <w:rsid w:val="6394356A"/>
    <w:rsid w:val="639765C9"/>
    <w:rsid w:val="639B01D1"/>
    <w:rsid w:val="63BC6393"/>
    <w:rsid w:val="63C416EC"/>
    <w:rsid w:val="63C61B2C"/>
    <w:rsid w:val="63D40BE9"/>
    <w:rsid w:val="63D538F9"/>
    <w:rsid w:val="63D556A7"/>
    <w:rsid w:val="63DE27AE"/>
    <w:rsid w:val="63E80AC8"/>
    <w:rsid w:val="63FA18E4"/>
    <w:rsid w:val="640432B3"/>
    <w:rsid w:val="64102431"/>
    <w:rsid w:val="641734A5"/>
    <w:rsid w:val="641D4B84"/>
    <w:rsid w:val="642247FD"/>
    <w:rsid w:val="643758C6"/>
    <w:rsid w:val="643E324C"/>
    <w:rsid w:val="64405216"/>
    <w:rsid w:val="644E0CF8"/>
    <w:rsid w:val="64624695"/>
    <w:rsid w:val="6468651B"/>
    <w:rsid w:val="646B3E3B"/>
    <w:rsid w:val="64713622"/>
    <w:rsid w:val="64850E7B"/>
    <w:rsid w:val="648C220A"/>
    <w:rsid w:val="64967AE2"/>
    <w:rsid w:val="64A5243A"/>
    <w:rsid w:val="64A55079"/>
    <w:rsid w:val="64AB71B6"/>
    <w:rsid w:val="64AF414A"/>
    <w:rsid w:val="64AF7C69"/>
    <w:rsid w:val="64B14130"/>
    <w:rsid w:val="64B259E8"/>
    <w:rsid w:val="64BB6535"/>
    <w:rsid w:val="64C444E0"/>
    <w:rsid w:val="64C95C98"/>
    <w:rsid w:val="64CE5DB5"/>
    <w:rsid w:val="64D67929"/>
    <w:rsid w:val="64D9656A"/>
    <w:rsid w:val="64DB22B5"/>
    <w:rsid w:val="64F531DE"/>
    <w:rsid w:val="650F6955"/>
    <w:rsid w:val="651A5A67"/>
    <w:rsid w:val="651F352C"/>
    <w:rsid w:val="65202952"/>
    <w:rsid w:val="652A4326"/>
    <w:rsid w:val="6531690D"/>
    <w:rsid w:val="65373578"/>
    <w:rsid w:val="65403CBB"/>
    <w:rsid w:val="65416DF6"/>
    <w:rsid w:val="65444892"/>
    <w:rsid w:val="65462486"/>
    <w:rsid w:val="65513A14"/>
    <w:rsid w:val="655B398A"/>
    <w:rsid w:val="655C2B7E"/>
    <w:rsid w:val="655E655C"/>
    <w:rsid w:val="6565065E"/>
    <w:rsid w:val="6578453C"/>
    <w:rsid w:val="657A06DB"/>
    <w:rsid w:val="657D0048"/>
    <w:rsid w:val="658557DD"/>
    <w:rsid w:val="658C131A"/>
    <w:rsid w:val="659C46CE"/>
    <w:rsid w:val="659C5553"/>
    <w:rsid w:val="659D3FA3"/>
    <w:rsid w:val="659E3CCE"/>
    <w:rsid w:val="65AA000D"/>
    <w:rsid w:val="65AA754B"/>
    <w:rsid w:val="65BD63F3"/>
    <w:rsid w:val="65CA2BE3"/>
    <w:rsid w:val="65CB4FB4"/>
    <w:rsid w:val="65D23B4B"/>
    <w:rsid w:val="65D35207"/>
    <w:rsid w:val="65E240AB"/>
    <w:rsid w:val="65E442C0"/>
    <w:rsid w:val="66037633"/>
    <w:rsid w:val="66081D64"/>
    <w:rsid w:val="661701F9"/>
    <w:rsid w:val="66214515"/>
    <w:rsid w:val="664A412A"/>
    <w:rsid w:val="664E403C"/>
    <w:rsid w:val="665C5C0C"/>
    <w:rsid w:val="6663343E"/>
    <w:rsid w:val="666D7E19"/>
    <w:rsid w:val="66737408"/>
    <w:rsid w:val="6674163E"/>
    <w:rsid w:val="66746431"/>
    <w:rsid w:val="66860E47"/>
    <w:rsid w:val="6686712D"/>
    <w:rsid w:val="668B7DF8"/>
    <w:rsid w:val="668F1B3D"/>
    <w:rsid w:val="668F75BA"/>
    <w:rsid w:val="66911D59"/>
    <w:rsid w:val="669E3D18"/>
    <w:rsid w:val="669E75A1"/>
    <w:rsid w:val="66A16A5D"/>
    <w:rsid w:val="66CA3C16"/>
    <w:rsid w:val="66D6233A"/>
    <w:rsid w:val="66D82472"/>
    <w:rsid w:val="66DD0CE9"/>
    <w:rsid w:val="66EC6157"/>
    <w:rsid w:val="66F009C0"/>
    <w:rsid w:val="66F76521"/>
    <w:rsid w:val="6700592E"/>
    <w:rsid w:val="67103B55"/>
    <w:rsid w:val="671309C0"/>
    <w:rsid w:val="671F124A"/>
    <w:rsid w:val="672101E2"/>
    <w:rsid w:val="672B7E18"/>
    <w:rsid w:val="673B5FB3"/>
    <w:rsid w:val="67452B44"/>
    <w:rsid w:val="674E1FD0"/>
    <w:rsid w:val="674E7C4A"/>
    <w:rsid w:val="674F4469"/>
    <w:rsid w:val="67501BE9"/>
    <w:rsid w:val="675C5F19"/>
    <w:rsid w:val="675E0F61"/>
    <w:rsid w:val="676165EF"/>
    <w:rsid w:val="6767792F"/>
    <w:rsid w:val="67690B4F"/>
    <w:rsid w:val="676C6322"/>
    <w:rsid w:val="677A33C6"/>
    <w:rsid w:val="67811DDA"/>
    <w:rsid w:val="678F3378"/>
    <w:rsid w:val="67987117"/>
    <w:rsid w:val="679A4C3E"/>
    <w:rsid w:val="67AF7FBD"/>
    <w:rsid w:val="67C25F42"/>
    <w:rsid w:val="67CE0D8B"/>
    <w:rsid w:val="67E10ABE"/>
    <w:rsid w:val="67E45EB9"/>
    <w:rsid w:val="67EB76BD"/>
    <w:rsid w:val="680D5998"/>
    <w:rsid w:val="68126ECA"/>
    <w:rsid w:val="681C1AF7"/>
    <w:rsid w:val="681D147E"/>
    <w:rsid w:val="681F6961"/>
    <w:rsid w:val="682341E9"/>
    <w:rsid w:val="68305AB6"/>
    <w:rsid w:val="68374918"/>
    <w:rsid w:val="68376930"/>
    <w:rsid w:val="683B321B"/>
    <w:rsid w:val="684C37A9"/>
    <w:rsid w:val="685A43CD"/>
    <w:rsid w:val="68605BFA"/>
    <w:rsid w:val="68610A2F"/>
    <w:rsid w:val="68737CC2"/>
    <w:rsid w:val="68752FB5"/>
    <w:rsid w:val="68805514"/>
    <w:rsid w:val="688505B2"/>
    <w:rsid w:val="6888718C"/>
    <w:rsid w:val="688921B6"/>
    <w:rsid w:val="68914293"/>
    <w:rsid w:val="68996CA3"/>
    <w:rsid w:val="68AD274F"/>
    <w:rsid w:val="68B3494D"/>
    <w:rsid w:val="68CF4DBB"/>
    <w:rsid w:val="68D71691"/>
    <w:rsid w:val="68D9534C"/>
    <w:rsid w:val="68DA4EF8"/>
    <w:rsid w:val="68E20972"/>
    <w:rsid w:val="68E72104"/>
    <w:rsid w:val="68ED2E70"/>
    <w:rsid w:val="68F07EB3"/>
    <w:rsid w:val="68F14D31"/>
    <w:rsid w:val="690802CD"/>
    <w:rsid w:val="6930397D"/>
    <w:rsid w:val="69316E2F"/>
    <w:rsid w:val="69356CEC"/>
    <w:rsid w:val="6945507D"/>
    <w:rsid w:val="69456210"/>
    <w:rsid w:val="6949691B"/>
    <w:rsid w:val="694D62B0"/>
    <w:rsid w:val="694E2071"/>
    <w:rsid w:val="695169E8"/>
    <w:rsid w:val="69531548"/>
    <w:rsid w:val="69766163"/>
    <w:rsid w:val="69790883"/>
    <w:rsid w:val="697A3B33"/>
    <w:rsid w:val="6989758E"/>
    <w:rsid w:val="698F6816"/>
    <w:rsid w:val="69900097"/>
    <w:rsid w:val="6994390F"/>
    <w:rsid w:val="699D27C3"/>
    <w:rsid w:val="699F478D"/>
    <w:rsid w:val="69A31AA2"/>
    <w:rsid w:val="69BA43FA"/>
    <w:rsid w:val="69C02956"/>
    <w:rsid w:val="69C924CD"/>
    <w:rsid w:val="69CF3D2C"/>
    <w:rsid w:val="69D44760"/>
    <w:rsid w:val="69DD3507"/>
    <w:rsid w:val="69EA54C7"/>
    <w:rsid w:val="6A08494F"/>
    <w:rsid w:val="6A0C16F7"/>
    <w:rsid w:val="6A2D6BB0"/>
    <w:rsid w:val="6A3A7EAA"/>
    <w:rsid w:val="6A3D4792"/>
    <w:rsid w:val="6A464C09"/>
    <w:rsid w:val="6A520EC7"/>
    <w:rsid w:val="6A540BA9"/>
    <w:rsid w:val="6A5E3620"/>
    <w:rsid w:val="6A7732A9"/>
    <w:rsid w:val="6A7C0125"/>
    <w:rsid w:val="6A9F07BD"/>
    <w:rsid w:val="6AA666F0"/>
    <w:rsid w:val="6AA7462A"/>
    <w:rsid w:val="6AA81420"/>
    <w:rsid w:val="6AA83B05"/>
    <w:rsid w:val="6AB97DC6"/>
    <w:rsid w:val="6AC059B0"/>
    <w:rsid w:val="6AD62431"/>
    <w:rsid w:val="6AD948E6"/>
    <w:rsid w:val="6AEE2472"/>
    <w:rsid w:val="6AF5720D"/>
    <w:rsid w:val="6AF723A7"/>
    <w:rsid w:val="6AF87E20"/>
    <w:rsid w:val="6AFB3C45"/>
    <w:rsid w:val="6B144D07"/>
    <w:rsid w:val="6B2D5DC9"/>
    <w:rsid w:val="6B2F5443"/>
    <w:rsid w:val="6B2F7091"/>
    <w:rsid w:val="6B322639"/>
    <w:rsid w:val="6B375A0C"/>
    <w:rsid w:val="6B4202E6"/>
    <w:rsid w:val="6B495279"/>
    <w:rsid w:val="6B4D0219"/>
    <w:rsid w:val="6B4D5330"/>
    <w:rsid w:val="6B540895"/>
    <w:rsid w:val="6B5A2EAA"/>
    <w:rsid w:val="6B607F4C"/>
    <w:rsid w:val="6B6B05BA"/>
    <w:rsid w:val="6B6C53C6"/>
    <w:rsid w:val="6B722821"/>
    <w:rsid w:val="6B7457A6"/>
    <w:rsid w:val="6B757C6C"/>
    <w:rsid w:val="6B7C1BE0"/>
    <w:rsid w:val="6B843555"/>
    <w:rsid w:val="6B87197D"/>
    <w:rsid w:val="6B8C2AEF"/>
    <w:rsid w:val="6BAC1658"/>
    <w:rsid w:val="6BAF2C82"/>
    <w:rsid w:val="6BAF66F7"/>
    <w:rsid w:val="6BB02B6B"/>
    <w:rsid w:val="6BB34DD6"/>
    <w:rsid w:val="6BBA58AE"/>
    <w:rsid w:val="6BC815E2"/>
    <w:rsid w:val="6BC8789F"/>
    <w:rsid w:val="6BCB5012"/>
    <w:rsid w:val="6BD050D2"/>
    <w:rsid w:val="6BD93946"/>
    <w:rsid w:val="6BE3458C"/>
    <w:rsid w:val="6BE3794D"/>
    <w:rsid w:val="6BE40B7D"/>
    <w:rsid w:val="6BF55F8F"/>
    <w:rsid w:val="6BFE47F4"/>
    <w:rsid w:val="6C1C0317"/>
    <w:rsid w:val="6C1D5B97"/>
    <w:rsid w:val="6C1D705A"/>
    <w:rsid w:val="6C1F60D4"/>
    <w:rsid w:val="6C230D8B"/>
    <w:rsid w:val="6C2B2308"/>
    <w:rsid w:val="6C2F0BC6"/>
    <w:rsid w:val="6C4315DA"/>
    <w:rsid w:val="6C433CE5"/>
    <w:rsid w:val="6C437838"/>
    <w:rsid w:val="6C4907A9"/>
    <w:rsid w:val="6C4D6722"/>
    <w:rsid w:val="6C547E13"/>
    <w:rsid w:val="6C5A2BED"/>
    <w:rsid w:val="6C5C4BB7"/>
    <w:rsid w:val="6C5E7732"/>
    <w:rsid w:val="6C636C38"/>
    <w:rsid w:val="6C685DE5"/>
    <w:rsid w:val="6C6B4DFB"/>
    <w:rsid w:val="6C825E14"/>
    <w:rsid w:val="6C9205D9"/>
    <w:rsid w:val="6C9A02F0"/>
    <w:rsid w:val="6C9C0599"/>
    <w:rsid w:val="6CA06B32"/>
    <w:rsid w:val="6CBF0CA2"/>
    <w:rsid w:val="6CCA4334"/>
    <w:rsid w:val="6CDB1F80"/>
    <w:rsid w:val="6CE10C19"/>
    <w:rsid w:val="6CED2B36"/>
    <w:rsid w:val="6CF070AE"/>
    <w:rsid w:val="6CF941B4"/>
    <w:rsid w:val="6D043FAF"/>
    <w:rsid w:val="6D1C5F07"/>
    <w:rsid w:val="6D210753"/>
    <w:rsid w:val="6D21195D"/>
    <w:rsid w:val="6D2B7D74"/>
    <w:rsid w:val="6D372F2F"/>
    <w:rsid w:val="6D3A583B"/>
    <w:rsid w:val="6D4A3551"/>
    <w:rsid w:val="6D4F64CA"/>
    <w:rsid w:val="6D7341FC"/>
    <w:rsid w:val="6D747CDF"/>
    <w:rsid w:val="6D7B27CF"/>
    <w:rsid w:val="6D873620"/>
    <w:rsid w:val="6D875C64"/>
    <w:rsid w:val="6D8939C4"/>
    <w:rsid w:val="6D896D03"/>
    <w:rsid w:val="6D9E2FAE"/>
    <w:rsid w:val="6DA306CA"/>
    <w:rsid w:val="6DAC1227"/>
    <w:rsid w:val="6DAE73ED"/>
    <w:rsid w:val="6DB30807"/>
    <w:rsid w:val="6DB34098"/>
    <w:rsid w:val="6DB545B6"/>
    <w:rsid w:val="6DB752C7"/>
    <w:rsid w:val="6DC46B5E"/>
    <w:rsid w:val="6DCA0B71"/>
    <w:rsid w:val="6DD5131F"/>
    <w:rsid w:val="6DDE33AA"/>
    <w:rsid w:val="6DDF484F"/>
    <w:rsid w:val="6DE02FB4"/>
    <w:rsid w:val="6DE17AF9"/>
    <w:rsid w:val="6DEE183F"/>
    <w:rsid w:val="6E331948"/>
    <w:rsid w:val="6E3E0B7A"/>
    <w:rsid w:val="6E4513D6"/>
    <w:rsid w:val="6E514CED"/>
    <w:rsid w:val="6E58025B"/>
    <w:rsid w:val="6E6576BB"/>
    <w:rsid w:val="6E6E472E"/>
    <w:rsid w:val="6E8945C1"/>
    <w:rsid w:val="6E9F6FDD"/>
    <w:rsid w:val="6EB563D5"/>
    <w:rsid w:val="6ED92677"/>
    <w:rsid w:val="6EE16367"/>
    <w:rsid w:val="6EE363BC"/>
    <w:rsid w:val="6EE91908"/>
    <w:rsid w:val="6EEB2223"/>
    <w:rsid w:val="6EEC32B5"/>
    <w:rsid w:val="6EF83B59"/>
    <w:rsid w:val="6F0941C8"/>
    <w:rsid w:val="6F143F3F"/>
    <w:rsid w:val="6F1466FA"/>
    <w:rsid w:val="6F155868"/>
    <w:rsid w:val="6F1C5439"/>
    <w:rsid w:val="6F225983"/>
    <w:rsid w:val="6F282B2F"/>
    <w:rsid w:val="6F3516F0"/>
    <w:rsid w:val="6F3A7EBF"/>
    <w:rsid w:val="6F433E0D"/>
    <w:rsid w:val="6F546815"/>
    <w:rsid w:val="6F5474AC"/>
    <w:rsid w:val="6F57246D"/>
    <w:rsid w:val="6F667AFB"/>
    <w:rsid w:val="6F7129A8"/>
    <w:rsid w:val="6F79782E"/>
    <w:rsid w:val="6F7C10CD"/>
    <w:rsid w:val="6F906398"/>
    <w:rsid w:val="6F9656F3"/>
    <w:rsid w:val="6F9925E8"/>
    <w:rsid w:val="6F9F1D16"/>
    <w:rsid w:val="6FAA3E8C"/>
    <w:rsid w:val="6FAA7F8C"/>
    <w:rsid w:val="6FAC19B2"/>
    <w:rsid w:val="6FAF5F2C"/>
    <w:rsid w:val="6FBF6178"/>
    <w:rsid w:val="6FCD4454"/>
    <w:rsid w:val="6FCD7EB3"/>
    <w:rsid w:val="6FD74555"/>
    <w:rsid w:val="6FD809F9"/>
    <w:rsid w:val="6FD827A7"/>
    <w:rsid w:val="6FE609CD"/>
    <w:rsid w:val="6FEB7FAC"/>
    <w:rsid w:val="6FEF189F"/>
    <w:rsid w:val="6FF268C1"/>
    <w:rsid w:val="6FF45E99"/>
    <w:rsid w:val="6FFC5590"/>
    <w:rsid w:val="700356D3"/>
    <w:rsid w:val="70036BEA"/>
    <w:rsid w:val="700872B4"/>
    <w:rsid w:val="70193CF9"/>
    <w:rsid w:val="701D4C95"/>
    <w:rsid w:val="7022172C"/>
    <w:rsid w:val="702A28D7"/>
    <w:rsid w:val="70343755"/>
    <w:rsid w:val="7052329C"/>
    <w:rsid w:val="705B24C0"/>
    <w:rsid w:val="706141BD"/>
    <w:rsid w:val="70685CF4"/>
    <w:rsid w:val="706A4FD4"/>
    <w:rsid w:val="706D1DD0"/>
    <w:rsid w:val="707A385E"/>
    <w:rsid w:val="707D1838"/>
    <w:rsid w:val="70856B87"/>
    <w:rsid w:val="70857D6B"/>
    <w:rsid w:val="70903082"/>
    <w:rsid w:val="709057CC"/>
    <w:rsid w:val="70983CE4"/>
    <w:rsid w:val="70A1528F"/>
    <w:rsid w:val="70A31D6B"/>
    <w:rsid w:val="70A86A58"/>
    <w:rsid w:val="70B52AE8"/>
    <w:rsid w:val="70B83318"/>
    <w:rsid w:val="70D527EE"/>
    <w:rsid w:val="70D85DFD"/>
    <w:rsid w:val="70DF36C1"/>
    <w:rsid w:val="70E21403"/>
    <w:rsid w:val="70E92792"/>
    <w:rsid w:val="70EA7B5D"/>
    <w:rsid w:val="70EB650A"/>
    <w:rsid w:val="70EE5653"/>
    <w:rsid w:val="70EE7A63"/>
    <w:rsid w:val="70F51137"/>
    <w:rsid w:val="70FF2B44"/>
    <w:rsid w:val="710458DF"/>
    <w:rsid w:val="710650F2"/>
    <w:rsid w:val="710D7E04"/>
    <w:rsid w:val="71347EB1"/>
    <w:rsid w:val="71370D8F"/>
    <w:rsid w:val="714A1482"/>
    <w:rsid w:val="715B5300"/>
    <w:rsid w:val="7164006A"/>
    <w:rsid w:val="71642F56"/>
    <w:rsid w:val="717A0251"/>
    <w:rsid w:val="71900E5F"/>
    <w:rsid w:val="71AD7C63"/>
    <w:rsid w:val="71BB2F02"/>
    <w:rsid w:val="71D15516"/>
    <w:rsid w:val="71D27F8A"/>
    <w:rsid w:val="71E52F59"/>
    <w:rsid w:val="72001ECF"/>
    <w:rsid w:val="7210310A"/>
    <w:rsid w:val="72127321"/>
    <w:rsid w:val="7224034B"/>
    <w:rsid w:val="72281098"/>
    <w:rsid w:val="7249766E"/>
    <w:rsid w:val="72514A93"/>
    <w:rsid w:val="72553024"/>
    <w:rsid w:val="7262761E"/>
    <w:rsid w:val="72655822"/>
    <w:rsid w:val="726A5553"/>
    <w:rsid w:val="726D158F"/>
    <w:rsid w:val="72744D40"/>
    <w:rsid w:val="72747150"/>
    <w:rsid w:val="7283281E"/>
    <w:rsid w:val="72936E59"/>
    <w:rsid w:val="729C46A8"/>
    <w:rsid w:val="72A9042B"/>
    <w:rsid w:val="72AB64DB"/>
    <w:rsid w:val="72B21372"/>
    <w:rsid w:val="72B3139E"/>
    <w:rsid w:val="72B5493F"/>
    <w:rsid w:val="72B62B48"/>
    <w:rsid w:val="72BA2638"/>
    <w:rsid w:val="72BF2DAE"/>
    <w:rsid w:val="72D66D46"/>
    <w:rsid w:val="72DC003C"/>
    <w:rsid w:val="72DF7643"/>
    <w:rsid w:val="72E43211"/>
    <w:rsid w:val="72F0605A"/>
    <w:rsid w:val="72F21DD2"/>
    <w:rsid w:val="72F316A6"/>
    <w:rsid w:val="72FE3AB1"/>
    <w:rsid w:val="73122968"/>
    <w:rsid w:val="731A1328"/>
    <w:rsid w:val="731F5D5E"/>
    <w:rsid w:val="733278B4"/>
    <w:rsid w:val="733923E7"/>
    <w:rsid w:val="73551EE8"/>
    <w:rsid w:val="735A2806"/>
    <w:rsid w:val="736600CA"/>
    <w:rsid w:val="73740A39"/>
    <w:rsid w:val="737D049F"/>
    <w:rsid w:val="73B535BA"/>
    <w:rsid w:val="73BD12B5"/>
    <w:rsid w:val="73C03C7E"/>
    <w:rsid w:val="73C304B1"/>
    <w:rsid w:val="73C51AD5"/>
    <w:rsid w:val="73C76191"/>
    <w:rsid w:val="73FC0A2E"/>
    <w:rsid w:val="741824C4"/>
    <w:rsid w:val="741E3629"/>
    <w:rsid w:val="741E793C"/>
    <w:rsid w:val="74211C07"/>
    <w:rsid w:val="74257F85"/>
    <w:rsid w:val="74280584"/>
    <w:rsid w:val="7433329A"/>
    <w:rsid w:val="74373814"/>
    <w:rsid w:val="743A3A37"/>
    <w:rsid w:val="74477EFB"/>
    <w:rsid w:val="744877CF"/>
    <w:rsid w:val="744D26BF"/>
    <w:rsid w:val="744D7BC1"/>
    <w:rsid w:val="744F0138"/>
    <w:rsid w:val="74542C02"/>
    <w:rsid w:val="745B65E5"/>
    <w:rsid w:val="745E3944"/>
    <w:rsid w:val="74636A20"/>
    <w:rsid w:val="746E6E1C"/>
    <w:rsid w:val="747A71A1"/>
    <w:rsid w:val="74811F1D"/>
    <w:rsid w:val="748431BA"/>
    <w:rsid w:val="749A5B9E"/>
    <w:rsid w:val="74C63FB8"/>
    <w:rsid w:val="74CD6F79"/>
    <w:rsid w:val="74CF1C9F"/>
    <w:rsid w:val="74D03A7A"/>
    <w:rsid w:val="74D51983"/>
    <w:rsid w:val="74DC0E3B"/>
    <w:rsid w:val="74DF6442"/>
    <w:rsid w:val="74EC0AA3"/>
    <w:rsid w:val="74F769FD"/>
    <w:rsid w:val="74F87A36"/>
    <w:rsid w:val="75105087"/>
    <w:rsid w:val="751C17EC"/>
    <w:rsid w:val="752C70F1"/>
    <w:rsid w:val="754E03E3"/>
    <w:rsid w:val="75501031"/>
    <w:rsid w:val="7572460C"/>
    <w:rsid w:val="75741AFD"/>
    <w:rsid w:val="757B0AC2"/>
    <w:rsid w:val="757C5983"/>
    <w:rsid w:val="75954846"/>
    <w:rsid w:val="759F78C3"/>
    <w:rsid w:val="75A629FF"/>
    <w:rsid w:val="75AD5835"/>
    <w:rsid w:val="75B23A9A"/>
    <w:rsid w:val="75BC5D57"/>
    <w:rsid w:val="75D94865"/>
    <w:rsid w:val="75DE03EB"/>
    <w:rsid w:val="75E32588"/>
    <w:rsid w:val="75EB48B6"/>
    <w:rsid w:val="75EF43A6"/>
    <w:rsid w:val="760155DA"/>
    <w:rsid w:val="760D0CD1"/>
    <w:rsid w:val="7610431D"/>
    <w:rsid w:val="761D45DC"/>
    <w:rsid w:val="762248D0"/>
    <w:rsid w:val="76277FE4"/>
    <w:rsid w:val="76283D5C"/>
    <w:rsid w:val="762B73A9"/>
    <w:rsid w:val="76312C11"/>
    <w:rsid w:val="76341242"/>
    <w:rsid w:val="7635099D"/>
    <w:rsid w:val="763F0ABC"/>
    <w:rsid w:val="764C7A4B"/>
    <w:rsid w:val="764D37C3"/>
    <w:rsid w:val="764E12D2"/>
    <w:rsid w:val="769D1F66"/>
    <w:rsid w:val="76A35191"/>
    <w:rsid w:val="76B239B0"/>
    <w:rsid w:val="76BE1FCB"/>
    <w:rsid w:val="76C26B60"/>
    <w:rsid w:val="76C8230E"/>
    <w:rsid w:val="76C86D19"/>
    <w:rsid w:val="76C9086F"/>
    <w:rsid w:val="76D50943"/>
    <w:rsid w:val="76D76B04"/>
    <w:rsid w:val="76D90762"/>
    <w:rsid w:val="76DF08BF"/>
    <w:rsid w:val="76ED2513"/>
    <w:rsid w:val="76F81521"/>
    <w:rsid w:val="770102CA"/>
    <w:rsid w:val="77186346"/>
    <w:rsid w:val="772067E2"/>
    <w:rsid w:val="77246CCB"/>
    <w:rsid w:val="77267615"/>
    <w:rsid w:val="77376E66"/>
    <w:rsid w:val="773A0B0F"/>
    <w:rsid w:val="774059AB"/>
    <w:rsid w:val="77423F9A"/>
    <w:rsid w:val="77484A0B"/>
    <w:rsid w:val="774B7D02"/>
    <w:rsid w:val="77642B72"/>
    <w:rsid w:val="776B2153"/>
    <w:rsid w:val="776D04E7"/>
    <w:rsid w:val="77762421"/>
    <w:rsid w:val="777B6FBD"/>
    <w:rsid w:val="778E0BD6"/>
    <w:rsid w:val="77AD2F61"/>
    <w:rsid w:val="77B50FFB"/>
    <w:rsid w:val="77B56B1F"/>
    <w:rsid w:val="77B90086"/>
    <w:rsid w:val="77BC29AE"/>
    <w:rsid w:val="77F91D67"/>
    <w:rsid w:val="780305DD"/>
    <w:rsid w:val="780F09F4"/>
    <w:rsid w:val="78120820"/>
    <w:rsid w:val="782F5B57"/>
    <w:rsid w:val="78393FFF"/>
    <w:rsid w:val="783F6E5A"/>
    <w:rsid w:val="786542E1"/>
    <w:rsid w:val="786A41B8"/>
    <w:rsid w:val="78715547"/>
    <w:rsid w:val="78715C28"/>
    <w:rsid w:val="78804D53"/>
    <w:rsid w:val="78882B63"/>
    <w:rsid w:val="788D60F9"/>
    <w:rsid w:val="789A082F"/>
    <w:rsid w:val="78A90480"/>
    <w:rsid w:val="78AD22F7"/>
    <w:rsid w:val="78B92705"/>
    <w:rsid w:val="78CD1184"/>
    <w:rsid w:val="78D96446"/>
    <w:rsid w:val="78F468A0"/>
    <w:rsid w:val="78F65A4C"/>
    <w:rsid w:val="78FC3B80"/>
    <w:rsid w:val="79013C69"/>
    <w:rsid w:val="790A1F61"/>
    <w:rsid w:val="793407FB"/>
    <w:rsid w:val="7934421C"/>
    <w:rsid w:val="79506D9C"/>
    <w:rsid w:val="79544158"/>
    <w:rsid w:val="79547C33"/>
    <w:rsid w:val="7967454D"/>
    <w:rsid w:val="79694213"/>
    <w:rsid w:val="796E6D09"/>
    <w:rsid w:val="79715226"/>
    <w:rsid w:val="79732085"/>
    <w:rsid w:val="79772D7A"/>
    <w:rsid w:val="79773031"/>
    <w:rsid w:val="797A1E2E"/>
    <w:rsid w:val="7988217D"/>
    <w:rsid w:val="799C13FB"/>
    <w:rsid w:val="79A812B1"/>
    <w:rsid w:val="79B477DF"/>
    <w:rsid w:val="79FC3D51"/>
    <w:rsid w:val="7A097A01"/>
    <w:rsid w:val="7A0D5BC5"/>
    <w:rsid w:val="7A122D59"/>
    <w:rsid w:val="7A215D8B"/>
    <w:rsid w:val="7A2274CD"/>
    <w:rsid w:val="7A28257D"/>
    <w:rsid w:val="7A28432B"/>
    <w:rsid w:val="7A2B7977"/>
    <w:rsid w:val="7A2D69F2"/>
    <w:rsid w:val="7A364017"/>
    <w:rsid w:val="7A3F7A97"/>
    <w:rsid w:val="7A4730EE"/>
    <w:rsid w:val="7A527AF7"/>
    <w:rsid w:val="7A540C7C"/>
    <w:rsid w:val="7A5E6501"/>
    <w:rsid w:val="7A6A09B4"/>
    <w:rsid w:val="7A6C42C5"/>
    <w:rsid w:val="7A6F3D08"/>
    <w:rsid w:val="7A700E7A"/>
    <w:rsid w:val="7A8265E1"/>
    <w:rsid w:val="7A88301C"/>
    <w:rsid w:val="7A9279F6"/>
    <w:rsid w:val="7AA5772A"/>
    <w:rsid w:val="7AA80AB2"/>
    <w:rsid w:val="7AA8721A"/>
    <w:rsid w:val="7AA93267"/>
    <w:rsid w:val="7ABE6A3D"/>
    <w:rsid w:val="7ACE4ED2"/>
    <w:rsid w:val="7AD63D87"/>
    <w:rsid w:val="7AE122CB"/>
    <w:rsid w:val="7AE53FCA"/>
    <w:rsid w:val="7B000E04"/>
    <w:rsid w:val="7B0179C6"/>
    <w:rsid w:val="7B047662"/>
    <w:rsid w:val="7B172C19"/>
    <w:rsid w:val="7B257A2B"/>
    <w:rsid w:val="7B266831"/>
    <w:rsid w:val="7B3A4316"/>
    <w:rsid w:val="7B3F2681"/>
    <w:rsid w:val="7B421EBA"/>
    <w:rsid w:val="7B430CF1"/>
    <w:rsid w:val="7B5178B1"/>
    <w:rsid w:val="7B5E3A1D"/>
    <w:rsid w:val="7B5E7AA8"/>
    <w:rsid w:val="7B686D42"/>
    <w:rsid w:val="7B751DBF"/>
    <w:rsid w:val="7B7A2964"/>
    <w:rsid w:val="7B841746"/>
    <w:rsid w:val="7B914152"/>
    <w:rsid w:val="7B97020B"/>
    <w:rsid w:val="7B98103C"/>
    <w:rsid w:val="7B9D0790"/>
    <w:rsid w:val="7BB14D46"/>
    <w:rsid w:val="7BBF59A2"/>
    <w:rsid w:val="7BD46052"/>
    <w:rsid w:val="7BDD6089"/>
    <w:rsid w:val="7BEB2335"/>
    <w:rsid w:val="7BF41363"/>
    <w:rsid w:val="7BF73FB5"/>
    <w:rsid w:val="7C1B37F6"/>
    <w:rsid w:val="7C1C1C6D"/>
    <w:rsid w:val="7C1E475E"/>
    <w:rsid w:val="7C30530E"/>
    <w:rsid w:val="7C3E1582"/>
    <w:rsid w:val="7C3E50EC"/>
    <w:rsid w:val="7C416210"/>
    <w:rsid w:val="7C482A62"/>
    <w:rsid w:val="7C490589"/>
    <w:rsid w:val="7C6C5AC7"/>
    <w:rsid w:val="7C6E1A79"/>
    <w:rsid w:val="7C8C703E"/>
    <w:rsid w:val="7C8F0691"/>
    <w:rsid w:val="7CA45B6F"/>
    <w:rsid w:val="7CA7239A"/>
    <w:rsid w:val="7CA757A6"/>
    <w:rsid w:val="7CB94295"/>
    <w:rsid w:val="7CBA2D2F"/>
    <w:rsid w:val="7CC6544B"/>
    <w:rsid w:val="7CC676AE"/>
    <w:rsid w:val="7CCD4A77"/>
    <w:rsid w:val="7CED360A"/>
    <w:rsid w:val="7CF3222A"/>
    <w:rsid w:val="7CF91FAF"/>
    <w:rsid w:val="7D0239FF"/>
    <w:rsid w:val="7D045F1F"/>
    <w:rsid w:val="7D0610EF"/>
    <w:rsid w:val="7D174A52"/>
    <w:rsid w:val="7D221505"/>
    <w:rsid w:val="7D5E40CD"/>
    <w:rsid w:val="7D6116C4"/>
    <w:rsid w:val="7D683254"/>
    <w:rsid w:val="7D7222A9"/>
    <w:rsid w:val="7D734D7F"/>
    <w:rsid w:val="7D742F87"/>
    <w:rsid w:val="7D8775BA"/>
    <w:rsid w:val="7D893333"/>
    <w:rsid w:val="7D8B2F9D"/>
    <w:rsid w:val="7D935CBD"/>
    <w:rsid w:val="7D953435"/>
    <w:rsid w:val="7D976DE3"/>
    <w:rsid w:val="7DA43010"/>
    <w:rsid w:val="7DAA4869"/>
    <w:rsid w:val="7DAB5C5E"/>
    <w:rsid w:val="7DB83C18"/>
    <w:rsid w:val="7DCD56F2"/>
    <w:rsid w:val="7DDD608C"/>
    <w:rsid w:val="7DE5079C"/>
    <w:rsid w:val="7E02168C"/>
    <w:rsid w:val="7E0F6579"/>
    <w:rsid w:val="7E1075B0"/>
    <w:rsid w:val="7E127287"/>
    <w:rsid w:val="7E152D84"/>
    <w:rsid w:val="7E1A5D0D"/>
    <w:rsid w:val="7E1D1987"/>
    <w:rsid w:val="7E3136F5"/>
    <w:rsid w:val="7E3239CA"/>
    <w:rsid w:val="7E364B31"/>
    <w:rsid w:val="7E611203"/>
    <w:rsid w:val="7E641608"/>
    <w:rsid w:val="7E733A1C"/>
    <w:rsid w:val="7E971A7F"/>
    <w:rsid w:val="7E9C0E44"/>
    <w:rsid w:val="7EB75C7D"/>
    <w:rsid w:val="7ED436A3"/>
    <w:rsid w:val="7EDF5743"/>
    <w:rsid w:val="7EE857EB"/>
    <w:rsid w:val="7EED2671"/>
    <w:rsid w:val="7EF0409A"/>
    <w:rsid w:val="7EF95695"/>
    <w:rsid w:val="7EFC1389"/>
    <w:rsid w:val="7F001CE7"/>
    <w:rsid w:val="7F0443D6"/>
    <w:rsid w:val="7F0A41D5"/>
    <w:rsid w:val="7F0C5FC9"/>
    <w:rsid w:val="7F164C69"/>
    <w:rsid w:val="7F1E1BAE"/>
    <w:rsid w:val="7F2D4191"/>
    <w:rsid w:val="7F2D41C2"/>
    <w:rsid w:val="7F3C522B"/>
    <w:rsid w:val="7F3D2627"/>
    <w:rsid w:val="7F437DAD"/>
    <w:rsid w:val="7F483241"/>
    <w:rsid w:val="7F5377A9"/>
    <w:rsid w:val="7F635211"/>
    <w:rsid w:val="7F6B312C"/>
    <w:rsid w:val="7F836FE0"/>
    <w:rsid w:val="7F900151"/>
    <w:rsid w:val="7F932D35"/>
    <w:rsid w:val="7F9D1317"/>
    <w:rsid w:val="7FA02BB5"/>
    <w:rsid w:val="7FA448C9"/>
    <w:rsid w:val="7FAC1003"/>
    <w:rsid w:val="7FAC263A"/>
    <w:rsid w:val="7FB21F39"/>
    <w:rsid w:val="7FBD72C3"/>
    <w:rsid w:val="7FC317DF"/>
    <w:rsid w:val="7FCF6FF7"/>
    <w:rsid w:val="7FD0592D"/>
    <w:rsid w:val="7FD31846"/>
    <w:rsid w:val="7FE47E50"/>
    <w:rsid w:val="7FEC0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60" w:lineRule="exact"/>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4"/>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0"/>
    <w:qFormat/>
    <w:uiPriority w:val="0"/>
    <w:pPr>
      <w:keepNext/>
      <w:keepLines/>
      <w:numPr>
        <w:ilvl w:val="0"/>
        <w:numId w:val="1"/>
      </w:numPr>
      <w:jc w:val="center"/>
      <w:outlineLvl w:val="1"/>
    </w:pPr>
    <w:rPr>
      <w:b/>
      <w:bCs/>
      <w:szCs w:val="32"/>
    </w:rPr>
  </w:style>
  <w:style w:type="paragraph" w:styleId="4">
    <w:name w:val="heading 3"/>
    <w:basedOn w:val="1"/>
    <w:next w:val="1"/>
    <w:qFormat/>
    <w:uiPriority w:val="0"/>
    <w:pPr>
      <w:keepNext/>
      <w:keepLines/>
      <w:numPr>
        <w:ilvl w:val="2"/>
        <w:numId w:val="1"/>
      </w:numPr>
      <w:adjustRightInd w:val="0"/>
      <w:spacing w:line="360" w:lineRule="auto"/>
      <w:jc w:val="center"/>
      <w:textAlignment w:val="baseline"/>
      <w:outlineLvl w:val="2"/>
    </w:pPr>
    <w:rPr>
      <w:b/>
      <w:kern w:val="0"/>
    </w:rPr>
  </w:style>
  <w:style w:type="paragraph" w:styleId="5">
    <w:name w:val="heading 4"/>
    <w:basedOn w:val="1"/>
    <w:next w:val="1"/>
    <w:qFormat/>
    <w:uiPriority w:val="0"/>
    <w:pPr>
      <w:keepNext/>
      <w:keepLines/>
      <w:numPr>
        <w:ilvl w:val="3"/>
        <w:numId w:val="2"/>
      </w:numPr>
      <w:adjustRightInd w:val="0"/>
      <w:spacing w:before="280" w:after="290" w:line="376" w:lineRule="atLeast"/>
      <w:textAlignment w:val="baseline"/>
      <w:outlineLvl w:val="3"/>
    </w:pPr>
    <w:rPr>
      <w:rFonts w:ascii="Arial" w:hAnsi="Arial" w:eastAsia="黑体"/>
      <w:b/>
      <w:kern w:val="0"/>
      <w:sz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List 3"/>
    <w:basedOn w:val="1"/>
    <w:autoRedefine/>
    <w:qFormat/>
    <w:uiPriority w:val="0"/>
    <w:pPr>
      <w:numPr>
        <w:ilvl w:val="5"/>
        <w:numId w:val="3"/>
      </w:numPr>
      <w:spacing w:before="50" w:beforeLines="50" w:line="240" w:lineRule="exact"/>
      <w:ind w:left="0" w:firstLine="0" w:firstLineChars="0"/>
      <w:jc w:val="center"/>
    </w:pPr>
    <w:rPr>
      <w:rFonts w:ascii="Times New Roman" w:hAnsi="Times New Roman" w:eastAsia="宋体" w:cs="Times New Roman"/>
      <w:b/>
      <w:color w:val="auto"/>
      <w:szCs w:val="21"/>
      <w:highlight w:val="none"/>
    </w:rPr>
  </w:style>
  <w:style w:type="paragraph" w:styleId="7">
    <w:name w:val="Note Heading"/>
    <w:basedOn w:val="1"/>
    <w:next w:val="1"/>
    <w:autoRedefine/>
    <w:qFormat/>
    <w:uiPriority w:val="0"/>
    <w:pPr>
      <w:numPr>
        <w:ilvl w:val="5"/>
        <w:numId w:val="4"/>
      </w:numPr>
      <w:spacing w:line="240" w:lineRule="exact"/>
      <w:ind w:left="0" w:firstLineChars="0"/>
      <w:jc w:val="center"/>
    </w:pPr>
    <w:rPr>
      <w:rFonts w:ascii="Times New Roman" w:hAnsi="Times New Roman" w:eastAsia="宋体"/>
      <w:kern w:val="0"/>
      <w:sz w:val="21"/>
      <w:szCs w:val="20"/>
    </w:rPr>
  </w:style>
  <w:style w:type="paragraph" w:styleId="8">
    <w:name w:val="Normal Indent"/>
    <w:basedOn w:val="1"/>
    <w:next w:val="1"/>
    <w:link w:val="55"/>
    <w:qFormat/>
    <w:uiPriority w:val="0"/>
    <w:pPr>
      <w:ind w:firstLine="420"/>
    </w:pPr>
    <w:rPr>
      <w:kern w:val="0"/>
      <w:sz w:val="20"/>
      <w:szCs w:val="20"/>
    </w:rPr>
  </w:style>
  <w:style w:type="paragraph" w:styleId="9">
    <w:name w:val="caption"/>
    <w:basedOn w:val="1"/>
    <w:next w:val="1"/>
    <w:qFormat/>
    <w:uiPriority w:val="0"/>
    <w:rPr>
      <w:rFonts w:ascii="Arial" w:hAnsi="Arial" w:eastAsia="黑体"/>
      <w:sz w:val="20"/>
    </w:rPr>
  </w:style>
  <w:style w:type="paragraph" w:styleId="10">
    <w:name w:val="Document Map"/>
    <w:basedOn w:val="1"/>
    <w:link w:val="56"/>
    <w:qFormat/>
    <w:uiPriority w:val="0"/>
    <w:pPr>
      <w:shd w:val="clear" w:color="auto" w:fill="000080"/>
    </w:pPr>
  </w:style>
  <w:style w:type="paragraph" w:styleId="11">
    <w:name w:val="annotation text"/>
    <w:basedOn w:val="1"/>
    <w:link w:val="57"/>
    <w:semiHidden/>
    <w:qFormat/>
    <w:uiPriority w:val="0"/>
    <w:pPr>
      <w:jc w:val="left"/>
    </w:pPr>
    <w:rPr>
      <w:kern w:val="0"/>
      <w:sz w:val="24"/>
      <w:szCs w:val="20"/>
    </w:rPr>
  </w:style>
  <w:style w:type="paragraph" w:styleId="12">
    <w:name w:val="Body Text"/>
    <w:basedOn w:val="1"/>
    <w:next w:val="1"/>
    <w:link w:val="58"/>
    <w:qFormat/>
    <w:uiPriority w:val="0"/>
    <w:pPr>
      <w:widowControl/>
      <w:snapToGrid w:val="0"/>
      <w:spacing w:before="60" w:after="160" w:line="259" w:lineRule="auto"/>
      <w:ind w:right="113"/>
    </w:pPr>
    <w:rPr>
      <w:kern w:val="0"/>
      <w:sz w:val="18"/>
      <w:szCs w:val="20"/>
    </w:rPr>
  </w:style>
  <w:style w:type="paragraph" w:styleId="13">
    <w:name w:val="Body Text Indent"/>
    <w:basedOn w:val="1"/>
    <w:link w:val="53"/>
    <w:qFormat/>
    <w:uiPriority w:val="0"/>
    <w:pPr>
      <w:spacing w:after="120"/>
      <w:ind w:left="420" w:leftChars="200"/>
    </w:pPr>
    <w:rPr>
      <w:kern w:val="0"/>
      <w:sz w:val="24"/>
      <w:szCs w:val="20"/>
    </w:rPr>
  </w:style>
  <w:style w:type="paragraph" w:styleId="14">
    <w:name w:val="Block Text"/>
    <w:basedOn w:val="1"/>
    <w:qFormat/>
    <w:uiPriority w:val="0"/>
    <w:pPr>
      <w:spacing w:after="120"/>
      <w:ind w:left="1440" w:right="1440"/>
    </w:pPr>
    <w:rPr>
      <w:rFonts w:ascii="宋体" w:hAnsi="宋体"/>
      <w:sz w:val="24"/>
    </w:rPr>
  </w:style>
  <w:style w:type="paragraph" w:styleId="15">
    <w:name w:val="Plain Text"/>
    <w:basedOn w:val="1"/>
    <w:qFormat/>
    <w:uiPriority w:val="0"/>
    <w:rPr>
      <w:rFonts w:ascii="宋体" w:hAnsi="Courier New"/>
      <w:kern w:val="28"/>
    </w:rPr>
  </w:style>
  <w:style w:type="paragraph" w:styleId="16">
    <w:name w:val="List Bullet 5"/>
    <w:basedOn w:val="1"/>
    <w:qFormat/>
    <w:uiPriority w:val="0"/>
    <w:pPr>
      <w:numPr>
        <w:ilvl w:val="0"/>
        <w:numId w:val="5"/>
      </w:numPr>
    </w:pPr>
  </w:style>
  <w:style w:type="paragraph" w:styleId="17">
    <w:name w:val="Date"/>
    <w:basedOn w:val="1"/>
    <w:next w:val="1"/>
    <w:link w:val="59"/>
    <w:qFormat/>
    <w:uiPriority w:val="0"/>
    <w:pPr>
      <w:ind w:left="100" w:leftChars="2500"/>
    </w:pPr>
    <w:rPr>
      <w:kern w:val="0"/>
      <w:sz w:val="24"/>
      <w:szCs w:val="20"/>
    </w:rPr>
  </w:style>
  <w:style w:type="paragraph" w:styleId="18">
    <w:name w:val="Body Text Indent 2"/>
    <w:basedOn w:val="1"/>
    <w:next w:val="19"/>
    <w:qFormat/>
    <w:uiPriority w:val="0"/>
    <w:pPr>
      <w:spacing w:line="300" w:lineRule="auto"/>
      <w:ind w:firstLine="480"/>
    </w:pPr>
    <w:rPr>
      <w:rFonts w:ascii="仿宋体" w:eastAsia="仿宋体"/>
      <w:b/>
      <w:bCs/>
      <w:sz w:val="24"/>
    </w:rPr>
  </w:style>
  <w:style w:type="paragraph" w:customStyle="1" w:styleId="19">
    <w:name w:val="简单回函地址"/>
    <w:next w:val="2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
    <w:name w:val="第二章图名"/>
    <w:basedOn w:val="1"/>
    <w:next w:val="8"/>
    <w:qFormat/>
    <w:uiPriority w:val="0"/>
    <w:pPr>
      <w:numPr>
        <w:ilvl w:val="0"/>
        <w:numId w:val="6"/>
      </w:numPr>
      <w:adjustRightInd w:val="0"/>
      <w:snapToGrid w:val="0"/>
      <w:spacing w:line="460" w:lineRule="exact"/>
      <w:ind w:firstLine="0"/>
      <w:jc w:val="center"/>
    </w:pPr>
    <w:rPr>
      <w:rFonts w:ascii="Times New Roman" w:hAnsi="Times New Roman" w:eastAsia="宋体"/>
      <w:b/>
      <w:szCs w:val="20"/>
    </w:rPr>
  </w:style>
  <w:style w:type="paragraph" w:styleId="21">
    <w:name w:val="Balloon Text"/>
    <w:basedOn w:val="1"/>
    <w:link w:val="60"/>
    <w:semiHidden/>
    <w:qFormat/>
    <w:uiPriority w:val="0"/>
    <w:rPr>
      <w:kern w:val="0"/>
      <w:sz w:val="18"/>
      <w:szCs w:val="20"/>
    </w:rPr>
  </w:style>
  <w:style w:type="paragraph" w:styleId="22">
    <w:name w:val="footer"/>
    <w:basedOn w:val="1"/>
    <w:link w:val="61"/>
    <w:qFormat/>
    <w:uiPriority w:val="99"/>
    <w:pPr>
      <w:tabs>
        <w:tab w:val="center" w:pos="4153"/>
        <w:tab w:val="right" w:pos="8306"/>
      </w:tabs>
      <w:snapToGrid w:val="0"/>
      <w:jc w:val="left"/>
    </w:pPr>
    <w:rPr>
      <w:kern w:val="0"/>
      <w:sz w:val="18"/>
      <w:szCs w:val="20"/>
    </w:rPr>
  </w:style>
  <w:style w:type="paragraph" w:styleId="23">
    <w:name w:val="header"/>
    <w:basedOn w:val="1"/>
    <w:link w:val="62"/>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List"/>
    <w:basedOn w:val="1"/>
    <w:link w:val="39"/>
    <w:qFormat/>
    <w:uiPriority w:val="0"/>
    <w:pPr>
      <w:ind w:left="200" w:hanging="200" w:hangingChars="200"/>
    </w:pPr>
    <w:rPr>
      <w:kern w:val="0"/>
      <w:sz w:val="20"/>
      <w:szCs w:val="20"/>
      <w:lang w:val="zh-CN"/>
    </w:rPr>
  </w:style>
  <w:style w:type="paragraph" w:styleId="25">
    <w:name w:val="Body Text Indent 3"/>
    <w:basedOn w:val="1"/>
    <w:link w:val="63"/>
    <w:qFormat/>
    <w:uiPriority w:val="0"/>
    <w:pPr>
      <w:spacing w:line="360" w:lineRule="auto"/>
      <w:ind w:firstLine="555"/>
    </w:pPr>
    <w:rPr>
      <w:rFonts w:ascii="??_GB2312" w:eastAsia="Times New Roman"/>
      <w:kern w:val="0"/>
      <w:sz w:val="20"/>
      <w:szCs w:val="20"/>
    </w:rPr>
  </w:style>
  <w:style w:type="paragraph" w:styleId="26">
    <w:name w:val="table of figures"/>
    <w:basedOn w:val="1"/>
    <w:next w:val="1"/>
    <w:unhideWhenUsed/>
    <w:qFormat/>
    <w:uiPriority w:val="0"/>
    <w:pPr>
      <w:ind w:left="200" w:leftChars="200" w:hanging="200" w:hangingChars="200"/>
    </w:pPr>
    <w:rPr>
      <w:rFonts w:hint="eastAsia"/>
      <w:szCs w:val="20"/>
    </w:rPr>
  </w:style>
  <w:style w:type="paragraph" w:styleId="27">
    <w:name w:val="Normal (Web)"/>
    <w:basedOn w:val="1"/>
    <w:link w:val="64"/>
    <w:qFormat/>
    <w:uiPriority w:val="0"/>
    <w:pPr>
      <w:widowControl/>
      <w:spacing w:before="100" w:beforeAutospacing="1" w:after="100" w:afterAutospacing="1"/>
      <w:jc w:val="left"/>
    </w:pPr>
    <w:rPr>
      <w:rFonts w:ascii="宋体" w:hAnsi="宋体"/>
      <w:kern w:val="0"/>
      <w:sz w:val="24"/>
      <w:szCs w:val="20"/>
    </w:rPr>
  </w:style>
  <w:style w:type="paragraph" w:styleId="28">
    <w:name w:val="Title"/>
    <w:basedOn w:val="1"/>
    <w:qFormat/>
    <w:uiPriority w:val="0"/>
    <w:pPr>
      <w:spacing w:before="240" w:after="60"/>
      <w:jc w:val="center"/>
      <w:outlineLvl w:val="0"/>
    </w:pPr>
    <w:rPr>
      <w:rFonts w:asciiTheme="majorHAnsi" w:hAnsiTheme="majorHAnsi" w:cstheme="majorBidi"/>
      <w:b/>
      <w:bCs/>
      <w:sz w:val="32"/>
      <w:szCs w:val="32"/>
    </w:rPr>
  </w:style>
  <w:style w:type="paragraph" w:styleId="29">
    <w:name w:val="annotation subject"/>
    <w:basedOn w:val="11"/>
    <w:next w:val="11"/>
    <w:link w:val="65"/>
    <w:semiHidden/>
    <w:qFormat/>
    <w:uiPriority w:val="0"/>
    <w:rPr>
      <w:b/>
    </w:rPr>
  </w:style>
  <w:style w:type="paragraph" w:styleId="30">
    <w:name w:val="Body Text First Indent"/>
    <w:basedOn w:val="1"/>
    <w:next w:val="1"/>
    <w:link w:val="66"/>
    <w:qFormat/>
    <w:uiPriority w:val="0"/>
    <w:pPr>
      <w:spacing w:after="120"/>
      <w:ind w:firstLine="420" w:firstLineChars="100"/>
    </w:pPr>
  </w:style>
  <w:style w:type="paragraph" w:styleId="31">
    <w:name w:val="Body Text First Indent 2"/>
    <w:basedOn w:val="13"/>
    <w:next w:val="13"/>
    <w:qFormat/>
    <w:uiPriority w:val="0"/>
    <w:pPr>
      <w:tabs>
        <w:tab w:val="left" w:pos="420"/>
        <w:tab w:val="left" w:pos="870"/>
        <w:tab w:val="left" w:pos="2896"/>
        <w:tab w:val="left" w:pos="3150"/>
      </w:tabs>
      <w:autoSpaceDE w:val="0"/>
      <w:autoSpaceDN w:val="0"/>
      <w:adjustRightInd w:val="0"/>
      <w:spacing w:beforeLines="25" w:line="336" w:lineRule="auto"/>
      <w:ind w:firstLine="527"/>
      <w:textAlignment w:val="baseline"/>
    </w:pPr>
    <w:rPr>
      <w:szCs w:val="28"/>
    </w:r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page number"/>
    <w:basedOn w:val="34"/>
    <w:qFormat/>
    <w:uiPriority w:val="0"/>
  </w:style>
  <w:style w:type="character" w:styleId="36">
    <w:name w:val="Hyperlink"/>
    <w:qFormat/>
    <w:uiPriority w:val="0"/>
    <w:rPr>
      <w:color w:val="0000FF"/>
      <w:u w:val="single"/>
    </w:rPr>
  </w:style>
  <w:style w:type="character" w:styleId="37">
    <w:name w:val="annotation reference"/>
    <w:basedOn w:val="34"/>
    <w:semiHidden/>
    <w:qFormat/>
    <w:uiPriority w:val="0"/>
    <w:rPr>
      <w:sz w:val="21"/>
    </w:rPr>
  </w:style>
  <w:style w:type="character" w:customStyle="1" w:styleId="38">
    <w:name w:val="标题 1 字符"/>
    <w:qFormat/>
    <w:uiPriority w:val="0"/>
    <w:rPr>
      <w:rFonts w:ascii="Times New Roman" w:hAnsi="Times New Roman" w:eastAsia="宋体" w:cs="Times New Roman"/>
      <w:b/>
      <w:bCs/>
      <w:kern w:val="44"/>
      <w:sz w:val="44"/>
      <w:szCs w:val="44"/>
    </w:rPr>
  </w:style>
  <w:style w:type="character" w:customStyle="1" w:styleId="39">
    <w:name w:val="列表 Char"/>
    <w:link w:val="24"/>
    <w:qFormat/>
    <w:uiPriority w:val="0"/>
    <w:rPr>
      <w:lang w:val="zh-CN"/>
    </w:rPr>
  </w:style>
  <w:style w:type="paragraph" w:customStyle="1" w:styleId="40">
    <w:name w:val="第三章表头"/>
    <w:basedOn w:val="1"/>
    <w:link w:val="165"/>
    <w:autoRedefine/>
    <w:qFormat/>
    <w:uiPriority w:val="0"/>
    <w:pPr>
      <w:numPr>
        <w:ilvl w:val="0"/>
        <w:numId w:val="7"/>
      </w:numPr>
      <w:spacing w:before="50" w:beforeLines="50" w:line="240" w:lineRule="auto"/>
      <w:ind w:firstLine="0" w:firstLineChars="0"/>
      <w:jc w:val="center"/>
    </w:pPr>
    <w:rPr>
      <w:b/>
      <w:color w:val="000000"/>
      <w:sz w:val="24"/>
      <w:szCs w:val="20"/>
    </w:rPr>
  </w:style>
  <w:style w:type="paragraph" w:customStyle="1" w:styleId="41">
    <w:name w:val="表格内文字"/>
    <w:basedOn w:val="1"/>
    <w:link w:val="42"/>
    <w:qFormat/>
    <w:uiPriority w:val="0"/>
    <w:pPr>
      <w:tabs>
        <w:tab w:val="left" w:pos="0"/>
      </w:tabs>
      <w:adjustRightInd w:val="0"/>
      <w:snapToGrid w:val="0"/>
      <w:spacing w:line="240" w:lineRule="exact"/>
      <w:jc w:val="center"/>
    </w:pPr>
    <w:rPr>
      <w:rFonts w:ascii="Times New Roman" w:hAnsi="Times New Roman" w:eastAsia="宋体"/>
      <w:kern w:val="0"/>
      <w:sz w:val="21"/>
    </w:rPr>
  </w:style>
  <w:style w:type="character" w:customStyle="1" w:styleId="42">
    <w:name w:val="表格内文字 Char"/>
    <w:link w:val="41"/>
    <w:qFormat/>
    <w:uiPriority w:val="0"/>
    <w:rPr>
      <w:rFonts w:ascii="Times New Roman" w:hAnsi="Times New Roman" w:eastAsia="宋体"/>
      <w:sz w:val="21"/>
      <w:szCs w:val="24"/>
    </w:rPr>
  </w:style>
  <w:style w:type="paragraph" w:customStyle="1" w:styleId="43">
    <w:name w:val="第一章表头"/>
    <w:basedOn w:val="1"/>
    <w:next w:val="1"/>
    <w:autoRedefine/>
    <w:qFormat/>
    <w:uiPriority w:val="0"/>
    <w:pPr>
      <w:keepNext/>
      <w:keepLines/>
      <w:numPr>
        <w:ilvl w:val="0"/>
        <w:numId w:val="8"/>
      </w:numPr>
      <w:adjustRightInd w:val="0"/>
      <w:spacing w:before="50" w:beforeLines="50" w:line="240" w:lineRule="auto"/>
      <w:ind w:left="567" w:hanging="567"/>
      <w:jc w:val="center"/>
      <w:textAlignment w:val="baseline"/>
      <w:outlineLvl w:val="3"/>
    </w:pPr>
    <w:rPr>
      <w:rFonts w:ascii="Times New Roman" w:hAnsi="Times New Roman" w:eastAsia="宋体" w:cs="Times New Roman"/>
      <w:b/>
      <w:kern w:val="0"/>
      <w:szCs w:val="24"/>
    </w:rPr>
  </w:style>
  <w:style w:type="paragraph" w:customStyle="1" w:styleId="44">
    <w:name w:val="第二章表头"/>
    <w:basedOn w:val="40"/>
    <w:next w:val="1"/>
    <w:link w:val="169"/>
    <w:autoRedefine/>
    <w:qFormat/>
    <w:uiPriority w:val="0"/>
    <w:pPr>
      <w:numPr>
        <w:numId w:val="9"/>
      </w:numPr>
      <w:tabs>
        <w:tab w:val="left" w:pos="0"/>
      </w:tabs>
      <w:spacing w:before="50" w:beforeLines="50"/>
    </w:pPr>
    <w:rPr>
      <w:rFonts w:ascii="Times New Roman" w:hAnsi="Times New Roman" w:eastAsia="宋体" w:cs="Times New Roman"/>
      <w:sz w:val="24"/>
      <w:szCs w:val="22"/>
    </w:rPr>
  </w:style>
  <w:style w:type="character" w:customStyle="1" w:styleId="45">
    <w:name w:val="页脚 字符"/>
    <w:qFormat/>
    <w:uiPriority w:val="99"/>
  </w:style>
  <w:style w:type="paragraph" w:customStyle="1" w:styleId="46">
    <w:name w:val="第四章图名"/>
    <w:basedOn w:val="1"/>
    <w:link w:val="47"/>
    <w:qFormat/>
    <w:uiPriority w:val="0"/>
    <w:pPr>
      <w:numPr>
        <w:ilvl w:val="0"/>
        <w:numId w:val="10"/>
      </w:numPr>
      <w:spacing w:before="50" w:beforeLines="50" w:after="15" w:afterLines="15"/>
      <w:jc w:val="center"/>
    </w:pPr>
    <w:rPr>
      <w:rFonts w:ascii="Times New Roman" w:hAnsi="Times New Roman" w:eastAsia="宋体"/>
      <w:b/>
      <w:kern w:val="0"/>
      <w:szCs w:val="20"/>
    </w:rPr>
  </w:style>
  <w:style w:type="character" w:customStyle="1" w:styleId="47">
    <w:name w:val="zl表头 Char"/>
    <w:link w:val="46"/>
    <w:qFormat/>
    <w:uiPriority w:val="0"/>
    <w:rPr>
      <w:rFonts w:ascii="Times New Roman" w:hAnsi="Times New Roman" w:eastAsia="宋体"/>
      <w:b/>
      <w:sz w:val="24"/>
    </w:rPr>
  </w:style>
  <w:style w:type="paragraph" w:customStyle="1" w:styleId="48">
    <w:name w:val="正文文字 6"/>
    <w:next w:val="1"/>
    <w:link w:val="170"/>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49">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0">
    <w:name w:val="标题 2 Char"/>
    <w:link w:val="3"/>
    <w:qFormat/>
    <w:uiPriority w:val="0"/>
    <w:rPr>
      <w:rFonts w:ascii="Times New Roman" w:hAnsi="Times New Roman" w:eastAsia="宋体"/>
      <w:b/>
      <w:bCs/>
      <w:kern w:val="2"/>
      <w:sz w:val="21"/>
      <w:szCs w:val="32"/>
    </w:rPr>
  </w:style>
  <w:style w:type="paragraph" w:customStyle="1" w:styleId="51">
    <w:name w:val="样式 正文文本缩进 + 行距: 1.5 倍行距"/>
    <w:basedOn w:val="1"/>
    <w:qFormat/>
    <w:uiPriority w:val="0"/>
    <w:pPr>
      <w:spacing w:after="120"/>
      <w:ind w:left="90" w:leftChars="32" w:firstLine="560" w:firstLineChars="200"/>
    </w:pPr>
    <w:rPr>
      <w:rFonts w:cs="宋体"/>
    </w:rPr>
  </w:style>
  <w:style w:type="paragraph" w:customStyle="1" w:styleId="52">
    <w:name w:val="ws正文"/>
    <w:basedOn w:val="1"/>
    <w:qFormat/>
    <w:uiPriority w:val="0"/>
    <w:pPr>
      <w:adjustRightInd w:val="0"/>
      <w:snapToGrid w:val="0"/>
      <w:spacing w:line="360" w:lineRule="auto"/>
      <w:ind w:firstLine="480" w:firstLineChars="200"/>
    </w:pPr>
    <w:rPr>
      <w:sz w:val="24"/>
      <w:szCs w:val="24"/>
    </w:rPr>
  </w:style>
  <w:style w:type="character" w:customStyle="1" w:styleId="53">
    <w:name w:val="正文文本缩进 Char"/>
    <w:link w:val="13"/>
    <w:semiHidden/>
    <w:qFormat/>
    <w:uiPriority w:val="0"/>
    <w:rPr>
      <w:rFonts w:ascii="Times New Roman" w:hAnsi="Times New Roman" w:eastAsia="宋体"/>
      <w:sz w:val="24"/>
    </w:rPr>
  </w:style>
  <w:style w:type="character" w:customStyle="1" w:styleId="54">
    <w:name w:val="标题 1 Char"/>
    <w:link w:val="2"/>
    <w:qFormat/>
    <w:uiPriority w:val="0"/>
    <w:rPr>
      <w:rFonts w:eastAsia="黑体"/>
      <w:b/>
      <w:bCs/>
      <w:color w:val="000000"/>
      <w:kern w:val="44"/>
      <w:sz w:val="30"/>
      <w:szCs w:val="30"/>
    </w:rPr>
  </w:style>
  <w:style w:type="character" w:customStyle="1" w:styleId="55">
    <w:name w:val="正文缩进 Char"/>
    <w:link w:val="8"/>
    <w:qFormat/>
    <w:uiPriority w:val="0"/>
  </w:style>
  <w:style w:type="character" w:customStyle="1" w:styleId="56">
    <w:name w:val="文档结构图 Char"/>
    <w:link w:val="10"/>
    <w:qFormat/>
    <w:uiPriority w:val="0"/>
    <w:rPr>
      <w:kern w:val="2"/>
      <w:sz w:val="21"/>
      <w:szCs w:val="24"/>
      <w:shd w:val="clear" w:color="auto" w:fill="000080"/>
    </w:rPr>
  </w:style>
  <w:style w:type="character" w:customStyle="1" w:styleId="57">
    <w:name w:val="批注文字 Char"/>
    <w:link w:val="11"/>
    <w:qFormat/>
    <w:uiPriority w:val="0"/>
    <w:rPr>
      <w:rFonts w:ascii="Times New Roman" w:hAnsi="Times New Roman" w:eastAsia="宋体"/>
      <w:sz w:val="24"/>
    </w:rPr>
  </w:style>
  <w:style w:type="character" w:customStyle="1" w:styleId="58">
    <w:name w:val="正文文本 Char"/>
    <w:link w:val="12"/>
    <w:qFormat/>
    <w:uiPriority w:val="0"/>
    <w:rPr>
      <w:sz w:val="18"/>
    </w:rPr>
  </w:style>
  <w:style w:type="character" w:customStyle="1" w:styleId="59">
    <w:name w:val="日期 Char"/>
    <w:link w:val="17"/>
    <w:qFormat/>
    <w:uiPriority w:val="0"/>
    <w:rPr>
      <w:rFonts w:ascii="Times New Roman" w:hAnsi="Times New Roman" w:eastAsia="宋体"/>
      <w:sz w:val="24"/>
    </w:rPr>
  </w:style>
  <w:style w:type="character" w:customStyle="1" w:styleId="60">
    <w:name w:val="批注框文本 Char"/>
    <w:link w:val="21"/>
    <w:semiHidden/>
    <w:qFormat/>
    <w:uiPriority w:val="0"/>
    <w:rPr>
      <w:rFonts w:ascii="Times New Roman" w:hAnsi="Times New Roman" w:eastAsia="宋体"/>
      <w:sz w:val="18"/>
    </w:rPr>
  </w:style>
  <w:style w:type="character" w:customStyle="1" w:styleId="61">
    <w:name w:val="页脚 Char"/>
    <w:link w:val="22"/>
    <w:qFormat/>
    <w:uiPriority w:val="0"/>
    <w:rPr>
      <w:sz w:val="18"/>
    </w:rPr>
  </w:style>
  <w:style w:type="character" w:customStyle="1" w:styleId="62">
    <w:name w:val="页眉 Char"/>
    <w:link w:val="23"/>
    <w:qFormat/>
    <w:uiPriority w:val="0"/>
    <w:rPr>
      <w:sz w:val="18"/>
    </w:rPr>
  </w:style>
  <w:style w:type="character" w:customStyle="1" w:styleId="63">
    <w:name w:val="正文文本缩进 3 Char"/>
    <w:link w:val="25"/>
    <w:qFormat/>
    <w:uiPriority w:val="0"/>
    <w:rPr>
      <w:rFonts w:ascii="??_GB2312" w:eastAsia="Times New Roman"/>
    </w:rPr>
  </w:style>
  <w:style w:type="character" w:customStyle="1" w:styleId="64">
    <w:name w:val="普通(网站) Char"/>
    <w:link w:val="27"/>
    <w:qFormat/>
    <w:uiPriority w:val="0"/>
    <w:rPr>
      <w:rFonts w:ascii="宋体" w:hAnsi="宋体" w:eastAsia="宋体"/>
      <w:sz w:val="24"/>
    </w:rPr>
  </w:style>
  <w:style w:type="character" w:customStyle="1" w:styleId="65">
    <w:name w:val="批注主题 Char"/>
    <w:link w:val="29"/>
    <w:semiHidden/>
    <w:qFormat/>
    <w:uiPriority w:val="0"/>
    <w:rPr>
      <w:rFonts w:ascii="Times New Roman" w:hAnsi="Times New Roman" w:eastAsia="宋体"/>
      <w:b/>
      <w:kern w:val="2"/>
      <w:sz w:val="24"/>
    </w:rPr>
  </w:style>
  <w:style w:type="character" w:customStyle="1" w:styleId="66">
    <w:name w:val="正文首行缩进 Char"/>
    <w:link w:val="30"/>
    <w:qFormat/>
    <w:uiPriority w:val="0"/>
    <w:rPr>
      <w:kern w:val="2"/>
      <w:sz w:val="21"/>
    </w:rPr>
  </w:style>
  <w:style w:type="paragraph" w:customStyle="1" w:styleId="67">
    <w:name w:val="样式 正文文本 + 首行缩进:  2 字符"/>
    <w:basedOn w:val="12"/>
    <w:qFormat/>
    <w:uiPriority w:val="0"/>
    <w:pPr>
      <w:spacing w:line="480" w:lineRule="exact"/>
      <w:ind w:firstLine="480" w:firstLineChars="200"/>
    </w:pPr>
    <w:rPr>
      <w:rFonts w:ascii="宋体" w:hAnsi="宋体" w:cs="宋体"/>
      <w:sz w:val="24"/>
    </w:rPr>
  </w:style>
  <w:style w:type="paragraph" w:customStyle="1" w:styleId="68">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9">
    <w:name w:val="表格文字2 Char"/>
    <w:link w:val="70"/>
    <w:qFormat/>
    <w:uiPriority w:val="0"/>
    <w:rPr>
      <w:sz w:val="21"/>
    </w:rPr>
  </w:style>
  <w:style w:type="paragraph" w:customStyle="1" w:styleId="70">
    <w:name w:val="表格文字2"/>
    <w:basedOn w:val="1"/>
    <w:link w:val="69"/>
    <w:qFormat/>
    <w:uiPriority w:val="0"/>
    <w:pPr>
      <w:tabs>
        <w:tab w:val="left" w:pos="277"/>
        <w:tab w:val="left" w:pos="600"/>
        <w:tab w:val="left" w:pos="780"/>
        <w:tab w:val="left" w:pos="2517"/>
      </w:tabs>
      <w:adjustRightInd w:val="0"/>
      <w:spacing w:before="60"/>
      <w:jc w:val="center"/>
    </w:pPr>
    <w:rPr>
      <w:kern w:val="0"/>
      <w:szCs w:val="20"/>
    </w:rPr>
  </w:style>
  <w:style w:type="character" w:customStyle="1" w:styleId="71">
    <w:name w:val="正文文本 (2) + 10.5 pt1"/>
    <w:qFormat/>
    <w:uiPriority w:val="0"/>
    <w:rPr>
      <w:rFonts w:ascii="MingLiU" w:hAnsi="MingLiU" w:eastAsia="MingLiU"/>
      <w:color w:val="000000"/>
      <w:spacing w:val="0"/>
      <w:w w:val="100"/>
      <w:position w:val="0"/>
      <w:sz w:val="21"/>
      <w:u w:val="none"/>
      <w:lang w:val="zh-TW" w:eastAsia="zh-TW"/>
    </w:rPr>
  </w:style>
  <w:style w:type="character" w:customStyle="1" w:styleId="72">
    <w:name w:val="正文文本首行缩进 字符1"/>
    <w:qFormat/>
    <w:uiPriority w:val="0"/>
    <w:rPr>
      <w:kern w:val="2"/>
      <w:sz w:val="21"/>
      <w:szCs w:val="24"/>
    </w:rPr>
  </w:style>
  <w:style w:type="character" w:customStyle="1" w:styleId="73">
    <w:name w:val="正文文本 字符1"/>
    <w:semiHidden/>
    <w:qFormat/>
    <w:uiPriority w:val="0"/>
    <w:rPr>
      <w:rFonts w:ascii="Times New Roman" w:hAnsi="Times New Roman" w:eastAsia="宋体"/>
      <w:sz w:val="24"/>
    </w:rPr>
  </w:style>
  <w:style w:type="character" w:customStyle="1" w:styleId="74">
    <w:name w:val="正文文本 (2) + 10.5 pt"/>
    <w:qFormat/>
    <w:uiPriority w:val="0"/>
    <w:rPr>
      <w:rFonts w:ascii="MingLiU" w:hAnsi="MingLiU" w:eastAsia="MingLiU"/>
      <w:color w:val="000000"/>
      <w:spacing w:val="0"/>
      <w:w w:val="100"/>
      <w:position w:val="0"/>
      <w:sz w:val="21"/>
      <w:u w:val="none"/>
      <w:lang w:val="zh-TW" w:eastAsia="zh-TW"/>
    </w:rPr>
  </w:style>
  <w:style w:type="character" w:customStyle="1" w:styleId="75">
    <w:name w:val="表格文字 Char"/>
    <w:link w:val="76"/>
    <w:qFormat/>
    <w:uiPriority w:val="0"/>
    <w:rPr>
      <w:sz w:val="24"/>
    </w:rPr>
  </w:style>
  <w:style w:type="paragraph" w:customStyle="1" w:styleId="76">
    <w:name w:val="表格文字"/>
    <w:basedOn w:val="1"/>
    <w:link w:val="75"/>
    <w:qFormat/>
    <w:uiPriority w:val="0"/>
    <w:pPr>
      <w:textAlignment w:val="center"/>
    </w:pPr>
    <w:rPr>
      <w:kern w:val="0"/>
      <w:sz w:val="24"/>
      <w:szCs w:val="20"/>
    </w:rPr>
  </w:style>
  <w:style w:type="character" w:customStyle="1" w:styleId="77">
    <w:name w:val="样式 报告书表格 + 五号 Char Char"/>
    <w:link w:val="78"/>
    <w:qFormat/>
    <w:uiPriority w:val="0"/>
    <w:rPr>
      <w:rFonts w:ascii="宋体"/>
      <w:sz w:val="21"/>
    </w:rPr>
  </w:style>
  <w:style w:type="paragraph" w:customStyle="1" w:styleId="78">
    <w:name w:val="样式 报告书表格 + 五号"/>
    <w:basedOn w:val="1"/>
    <w:link w:val="77"/>
    <w:qFormat/>
    <w:uiPriority w:val="0"/>
    <w:pPr>
      <w:widowControl/>
      <w:tabs>
        <w:tab w:val="center" w:pos="4540"/>
        <w:tab w:val="right" w:pos="8505"/>
      </w:tabs>
      <w:adjustRightInd w:val="0"/>
      <w:snapToGrid w:val="0"/>
      <w:jc w:val="center"/>
      <w:textAlignment w:val="baseline"/>
    </w:pPr>
    <w:rPr>
      <w:rFonts w:ascii="宋体"/>
      <w:kern w:val="0"/>
      <w:szCs w:val="20"/>
    </w:rPr>
  </w:style>
  <w:style w:type="character" w:customStyle="1" w:styleId="79">
    <w:name w:val="环正文 Char"/>
    <w:link w:val="80"/>
    <w:qFormat/>
    <w:uiPriority w:val="0"/>
    <w:rPr>
      <w:rFonts w:ascii="宋体" w:hAnsi="宋体"/>
      <w:sz w:val="24"/>
    </w:rPr>
  </w:style>
  <w:style w:type="paragraph" w:customStyle="1" w:styleId="80">
    <w:name w:val="环正文"/>
    <w:basedOn w:val="1"/>
    <w:link w:val="79"/>
    <w:qFormat/>
    <w:uiPriority w:val="0"/>
    <w:pPr>
      <w:widowControl/>
      <w:tabs>
        <w:tab w:val="left" w:pos="2580"/>
      </w:tabs>
      <w:suppressAutoHyphens/>
      <w:adjustRightInd w:val="0"/>
      <w:snapToGrid w:val="0"/>
      <w:spacing w:line="360" w:lineRule="auto"/>
      <w:ind w:left="2580" w:firstLine="567"/>
      <w:textAlignment w:val="baseline"/>
    </w:pPr>
    <w:rPr>
      <w:rFonts w:ascii="宋体" w:hAnsi="宋体"/>
      <w:kern w:val="0"/>
      <w:sz w:val="24"/>
      <w:szCs w:val="20"/>
    </w:rPr>
  </w:style>
  <w:style w:type="character" w:customStyle="1" w:styleId="81">
    <w:name w:val="正文文本 (2) + Georgia1"/>
    <w:qFormat/>
    <w:uiPriority w:val="0"/>
    <w:rPr>
      <w:rFonts w:ascii="Georgia" w:hAnsi="Georgia" w:eastAsia="Times New Roman"/>
      <w:color w:val="000000"/>
      <w:spacing w:val="0"/>
      <w:w w:val="100"/>
      <w:position w:val="0"/>
      <w:sz w:val="19"/>
      <w:u w:val="none"/>
      <w:lang w:val="en-US" w:eastAsia="en-US"/>
    </w:rPr>
  </w:style>
  <w:style w:type="character" w:customStyle="1" w:styleId="82">
    <w:name w:val="正文文本 (2) + Georgia"/>
    <w:qFormat/>
    <w:uiPriority w:val="0"/>
    <w:rPr>
      <w:rFonts w:ascii="Georgia" w:hAnsi="Georgia" w:eastAsia="Times New Roman"/>
      <w:color w:val="000000"/>
      <w:spacing w:val="0"/>
      <w:w w:val="100"/>
      <w:position w:val="0"/>
      <w:sz w:val="19"/>
      <w:u w:val="none"/>
      <w:lang w:val="en-US" w:eastAsia="en-US"/>
    </w:rPr>
  </w:style>
  <w:style w:type="character" w:customStyle="1" w:styleId="83">
    <w:name w:val="页脚 Char1"/>
    <w:qFormat/>
    <w:uiPriority w:val="0"/>
    <w:rPr>
      <w:kern w:val="2"/>
      <w:sz w:val="18"/>
    </w:rPr>
  </w:style>
  <w:style w:type="character" w:customStyle="1" w:styleId="84">
    <w:name w:val="font21"/>
    <w:qFormat/>
    <w:uiPriority w:val="0"/>
    <w:rPr>
      <w:rFonts w:ascii="宋体" w:hAnsi="宋体" w:eastAsia="宋体" w:cs="宋体"/>
      <w:color w:val="000000"/>
      <w:sz w:val="21"/>
      <w:szCs w:val="21"/>
      <w:u w:val="none"/>
    </w:rPr>
  </w:style>
  <w:style w:type="character" w:customStyle="1" w:styleId="85">
    <w:name w:val="表格 Char"/>
    <w:link w:val="86"/>
    <w:qFormat/>
    <w:uiPriority w:val="0"/>
    <w:rPr>
      <w:rFonts w:ascii="宋体"/>
      <w:sz w:val="21"/>
    </w:rPr>
  </w:style>
  <w:style w:type="paragraph" w:customStyle="1" w:styleId="86">
    <w:name w:val="表格"/>
    <w:basedOn w:val="1"/>
    <w:next w:val="1"/>
    <w:link w:val="85"/>
    <w:qFormat/>
    <w:uiPriority w:val="0"/>
    <w:pPr>
      <w:adjustRightInd w:val="0"/>
      <w:snapToGrid w:val="0"/>
      <w:spacing w:beforeLines="10" w:afterLines="10" w:line="259" w:lineRule="auto"/>
      <w:jc w:val="center"/>
    </w:pPr>
    <w:rPr>
      <w:rFonts w:ascii="宋体"/>
      <w:kern w:val="0"/>
      <w:szCs w:val="20"/>
    </w:rPr>
  </w:style>
  <w:style w:type="character" w:customStyle="1" w:styleId="87">
    <w:name w:val="正文文本缩进 3 字符1"/>
    <w:qFormat/>
    <w:uiPriority w:val="0"/>
    <w:rPr>
      <w:kern w:val="2"/>
      <w:sz w:val="16"/>
      <w:szCs w:val="16"/>
    </w:rPr>
  </w:style>
  <w:style w:type="character" w:customStyle="1" w:styleId="88">
    <w:name w:val="文本 Char"/>
    <w:link w:val="89"/>
    <w:qFormat/>
    <w:uiPriority w:val="0"/>
    <w:rPr>
      <w:rFonts w:ascii="宋体"/>
      <w:sz w:val="24"/>
    </w:rPr>
  </w:style>
  <w:style w:type="paragraph" w:customStyle="1" w:styleId="89">
    <w:name w:val="文本"/>
    <w:basedOn w:val="8"/>
    <w:link w:val="88"/>
    <w:qFormat/>
    <w:uiPriority w:val="0"/>
    <w:pPr>
      <w:widowControl/>
      <w:spacing w:line="480" w:lineRule="exact"/>
      <w:ind w:firstLine="480" w:firstLineChars="200"/>
      <w:jc w:val="left"/>
    </w:pPr>
    <w:rPr>
      <w:rFonts w:ascii="宋体"/>
      <w:sz w:val="24"/>
    </w:rPr>
  </w:style>
  <w:style w:type="character" w:customStyle="1" w:styleId="90">
    <w:name w:val="正文文本首行缩进 字符2"/>
    <w:qFormat/>
    <w:uiPriority w:val="0"/>
    <w:rPr>
      <w:kern w:val="2"/>
      <w:sz w:val="21"/>
      <w:szCs w:val="24"/>
    </w:rPr>
  </w:style>
  <w:style w:type="character" w:customStyle="1" w:styleId="91">
    <w:name w:val="报告正文 Char"/>
    <w:link w:val="92"/>
    <w:qFormat/>
    <w:uiPriority w:val="0"/>
    <w:rPr>
      <w:snapToGrid/>
      <w:kern w:val="24"/>
      <w:sz w:val="21"/>
    </w:rPr>
  </w:style>
  <w:style w:type="paragraph" w:customStyle="1" w:styleId="92">
    <w:name w:val="报告正文"/>
    <w:basedOn w:val="1"/>
    <w:link w:val="91"/>
    <w:qFormat/>
    <w:uiPriority w:val="0"/>
    <w:pPr>
      <w:adjustRightInd w:val="0"/>
      <w:spacing w:beforeLines="25" w:line="360" w:lineRule="auto"/>
      <w:ind w:firstLine="482"/>
      <w:textAlignment w:val="baseline"/>
    </w:pPr>
    <w:rPr>
      <w:snapToGrid w:val="0"/>
      <w:kern w:val="24"/>
      <w:szCs w:val="20"/>
    </w:rPr>
  </w:style>
  <w:style w:type="character" w:customStyle="1" w:styleId="93">
    <w:name w:val="批注文字 字符1"/>
    <w:semiHidden/>
    <w:qFormat/>
    <w:uiPriority w:val="0"/>
    <w:rPr>
      <w:rFonts w:ascii="Times New Roman" w:hAnsi="Times New Roman" w:eastAsia="宋体"/>
      <w:sz w:val="24"/>
    </w:rPr>
  </w:style>
  <w:style w:type="character" w:customStyle="1" w:styleId="94">
    <w:name w:val="日期 字符"/>
    <w:semiHidden/>
    <w:qFormat/>
    <w:uiPriority w:val="0"/>
    <w:rPr>
      <w:rFonts w:ascii="Times New Roman" w:hAnsi="Times New Roman" w:eastAsia="宋体"/>
      <w:sz w:val="24"/>
    </w:rPr>
  </w:style>
  <w:style w:type="character" w:customStyle="1" w:styleId="95">
    <w:name w:val="a51"/>
    <w:qFormat/>
    <w:uiPriority w:val="0"/>
    <w:rPr>
      <w:rFonts w:cs="Times New Roman"/>
      <w:color w:val="000000"/>
      <w:sz w:val="18"/>
      <w:szCs w:val="18"/>
      <w:u w:val="none"/>
    </w:rPr>
  </w:style>
  <w:style w:type="character" w:customStyle="1" w:styleId="96">
    <w:name w:val="apple-converted-space"/>
    <w:qFormat/>
    <w:uiPriority w:val="0"/>
    <w:rPr>
      <w:rFonts w:cs="Times New Roman"/>
    </w:rPr>
  </w:style>
  <w:style w:type="character" w:customStyle="1" w:styleId="97">
    <w:name w:val="正文文本 (2)_"/>
    <w:link w:val="98"/>
    <w:qFormat/>
    <w:uiPriority w:val="0"/>
    <w:rPr>
      <w:rFonts w:ascii="MingLiU" w:hAnsi="MingLiU" w:eastAsia="MingLiU"/>
      <w:sz w:val="22"/>
      <w:shd w:val="clear" w:color="auto" w:fill="FFFFFF"/>
    </w:rPr>
  </w:style>
  <w:style w:type="paragraph" w:customStyle="1" w:styleId="98">
    <w:name w:val="正文文本 (2)"/>
    <w:basedOn w:val="1"/>
    <w:link w:val="97"/>
    <w:qFormat/>
    <w:uiPriority w:val="0"/>
    <w:pPr>
      <w:shd w:val="clear" w:color="auto" w:fill="FFFFFF"/>
      <w:spacing w:before="840" w:line="466" w:lineRule="exact"/>
      <w:ind w:hanging="160"/>
      <w:jc w:val="distribute"/>
    </w:pPr>
    <w:rPr>
      <w:rFonts w:ascii="MingLiU" w:hAnsi="MingLiU" w:eastAsia="MingLiU"/>
      <w:kern w:val="0"/>
      <w:sz w:val="22"/>
      <w:szCs w:val="20"/>
    </w:rPr>
  </w:style>
  <w:style w:type="character" w:customStyle="1" w:styleId="99">
    <w:name w:val="正文1 字符"/>
    <w:link w:val="100"/>
    <w:qFormat/>
    <w:uiPriority w:val="0"/>
    <w:rPr>
      <w:rFonts w:cs="宋体"/>
      <w:snapToGrid/>
      <w:color w:val="000000"/>
      <w:kern w:val="24"/>
      <w:sz w:val="21"/>
      <w:lang w:val="zh-CN"/>
    </w:rPr>
  </w:style>
  <w:style w:type="paragraph" w:customStyle="1" w:styleId="100">
    <w:name w:val="正文1"/>
    <w:basedOn w:val="92"/>
    <w:link w:val="99"/>
    <w:qFormat/>
    <w:uiPriority w:val="0"/>
    <w:pPr>
      <w:spacing w:beforeLines="0"/>
      <w:ind w:firstLine="200" w:firstLineChars="200"/>
    </w:pPr>
    <w:rPr>
      <w:rFonts w:cs="宋体"/>
      <w:color w:val="000000"/>
      <w:lang w:val="zh-CN"/>
    </w:rPr>
  </w:style>
  <w:style w:type="character" w:customStyle="1" w:styleId="101">
    <w:name w:val="正文缩进 Char3"/>
    <w:qFormat/>
    <w:uiPriority w:val="0"/>
    <w:rPr>
      <w:kern w:val="2"/>
      <w:sz w:val="24"/>
    </w:rPr>
  </w:style>
  <w:style w:type="character" w:customStyle="1" w:styleId="102">
    <w:name w:val="报告书正文 Char"/>
    <w:link w:val="103"/>
    <w:qFormat/>
    <w:uiPriority w:val="0"/>
    <w:rPr>
      <w:sz w:val="24"/>
    </w:rPr>
  </w:style>
  <w:style w:type="paragraph" w:customStyle="1" w:styleId="103">
    <w:name w:val="报告书正文"/>
    <w:basedOn w:val="1"/>
    <w:link w:val="102"/>
    <w:qFormat/>
    <w:uiPriority w:val="0"/>
    <w:pPr>
      <w:spacing w:line="400" w:lineRule="atLeast"/>
      <w:ind w:firstLine="567"/>
    </w:pPr>
    <w:rPr>
      <w:kern w:val="0"/>
      <w:sz w:val="24"/>
      <w:szCs w:val="20"/>
    </w:rPr>
  </w:style>
  <w:style w:type="paragraph" w:customStyle="1" w:styleId="104">
    <w:name w:val="List Paragraph1"/>
    <w:basedOn w:val="1"/>
    <w:qFormat/>
    <w:uiPriority w:val="0"/>
    <w:pPr>
      <w:ind w:firstLine="420" w:firstLineChars="200"/>
    </w:pPr>
  </w:style>
  <w:style w:type="paragraph" w:customStyle="1" w:styleId="105">
    <w:name w:val="_Style 54"/>
    <w:basedOn w:val="1"/>
    <w:next w:val="106"/>
    <w:qFormat/>
    <w:uiPriority w:val="0"/>
    <w:pPr>
      <w:ind w:firstLine="420" w:firstLineChars="200"/>
    </w:pPr>
    <w:rPr>
      <w:szCs w:val="21"/>
    </w:rPr>
  </w:style>
  <w:style w:type="paragraph" w:customStyle="1" w:styleId="106">
    <w:name w:val="List Paragraph2"/>
    <w:basedOn w:val="1"/>
    <w:qFormat/>
    <w:uiPriority w:val="0"/>
    <w:pPr>
      <w:ind w:firstLine="420" w:firstLineChars="200"/>
    </w:pPr>
  </w:style>
  <w:style w:type="paragraph" w:customStyle="1" w:styleId="107">
    <w:name w:val="首行缩进"/>
    <w:basedOn w:val="1"/>
    <w:qFormat/>
    <w:uiPriority w:val="0"/>
    <w:pPr>
      <w:adjustRightInd w:val="0"/>
      <w:spacing w:line="360" w:lineRule="auto"/>
      <w:ind w:firstLine="480" w:firstLineChars="200"/>
      <w:textAlignment w:val="baseline"/>
    </w:pPr>
    <w:rPr>
      <w:sz w:val="24"/>
    </w:rPr>
  </w:style>
  <w:style w:type="paragraph" w:customStyle="1" w:styleId="108">
    <w:name w:val="样式 样式 首行缩进:  0.85 厘米 + 段前: 0.5 行"/>
    <w:basedOn w:val="1"/>
    <w:qFormat/>
    <w:uiPriority w:val="0"/>
    <w:pPr>
      <w:spacing w:before="50" w:line="360" w:lineRule="auto"/>
      <w:ind w:firstLine="482"/>
    </w:pPr>
    <w:rPr>
      <w:sz w:val="24"/>
      <w:szCs w:val="20"/>
    </w:rPr>
  </w:style>
  <w:style w:type="paragraph" w:customStyle="1" w:styleId="109">
    <w:name w:val="——表文"/>
    <w:basedOn w:val="1"/>
    <w:qFormat/>
    <w:uiPriority w:val="0"/>
    <w:pPr>
      <w:widowControl/>
      <w:adjustRightInd w:val="0"/>
      <w:snapToGrid w:val="0"/>
      <w:spacing w:line="240" w:lineRule="atLeast"/>
      <w:jc w:val="center"/>
    </w:pPr>
    <w:rPr>
      <w:rFonts w:cs="宋体"/>
      <w:color w:val="000000"/>
      <w:kern w:val="0"/>
      <w:szCs w:val="21"/>
    </w:rPr>
  </w:style>
  <w:style w:type="paragraph" w:customStyle="1" w:styleId="110">
    <w:name w:val="正文缩进1"/>
    <w:basedOn w:val="1"/>
    <w:qFormat/>
    <w:uiPriority w:val="0"/>
    <w:pPr>
      <w:adjustRightInd w:val="0"/>
      <w:ind w:firstLine="420" w:firstLineChars="200"/>
      <w:textAlignment w:val="baseline"/>
    </w:pPr>
    <w:rPr>
      <w:rFonts w:hAnsi="宋体"/>
      <w:sz w:val="24"/>
      <w:szCs w:val="20"/>
    </w:rPr>
  </w:style>
  <w:style w:type="paragraph" w:customStyle="1" w:styleId="111">
    <w:name w:val="表格正文"/>
    <w:basedOn w:val="8"/>
    <w:qFormat/>
    <w:uiPriority w:val="0"/>
    <w:pPr>
      <w:adjustRightInd w:val="0"/>
      <w:ind w:firstLine="0"/>
    </w:pPr>
    <w:rPr>
      <w:color w:val="000000"/>
      <w:spacing w:val="12"/>
      <w:sz w:val="24"/>
    </w:rPr>
  </w:style>
  <w:style w:type="paragraph" w:customStyle="1" w:styleId="11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3">
    <w:name w:val="列出段落2"/>
    <w:basedOn w:val="1"/>
    <w:qFormat/>
    <w:uiPriority w:val="0"/>
    <w:pPr>
      <w:ind w:firstLine="420" w:firstLineChars="200"/>
    </w:pPr>
    <w:rPr>
      <w:rFonts w:ascii="Calibri" w:hAnsi="Calibri"/>
      <w:szCs w:val="22"/>
    </w:rPr>
  </w:style>
  <w:style w:type="paragraph" w:customStyle="1" w:styleId="114">
    <w:name w:val="Body Text 22"/>
    <w:basedOn w:val="1"/>
    <w:qFormat/>
    <w:uiPriority w:val="0"/>
    <w:pPr>
      <w:adjustRightInd w:val="0"/>
      <w:spacing w:line="440" w:lineRule="atLeast"/>
      <w:ind w:firstLine="480"/>
      <w:textAlignment w:val="baseline"/>
    </w:pPr>
    <w:rPr>
      <w:rFonts w:eastAsia="Times New Roman"/>
      <w:sz w:val="24"/>
      <w:szCs w:val="20"/>
    </w:rPr>
  </w:style>
  <w:style w:type="paragraph" w:customStyle="1" w:styleId="115">
    <w:name w:val="_Style 105"/>
    <w:semiHidden/>
    <w:qFormat/>
    <w:uiPriority w:val="99"/>
    <w:rPr>
      <w:rFonts w:ascii="Times New Roman" w:hAnsi="Times New Roman" w:eastAsia="宋体" w:cs="Times New Roman"/>
      <w:kern w:val="2"/>
      <w:sz w:val="21"/>
      <w:szCs w:val="24"/>
      <w:lang w:val="en-US" w:eastAsia="zh-CN" w:bidi="ar-SA"/>
    </w:rPr>
  </w:style>
  <w:style w:type="paragraph" w:customStyle="1" w:styleId="116">
    <w:name w:val="表标"/>
    <w:basedOn w:val="1"/>
    <w:qFormat/>
    <w:uiPriority w:val="0"/>
    <w:pPr>
      <w:wordWrap w:val="0"/>
      <w:adjustRightInd w:val="0"/>
      <w:snapToGrid w:val="0"/>
      <w:spacing w:line="360" w:lineRule="auto"/>
      <w:jc w:val="right"/>
    </w:pPr>
    <w:rPr>
      <w:rFonts w:ascii="黑体" w:hAnsi="宋体" w:eastAsia="黑体"/>
      <w:szCs w:val="21"/>
    </w:rPr>
  </w:style>
  <w:style w:type="paragraph" w:customStyle="1" w:styleId="117">
    <w:name w:val="p0"/>
    <w:basedOn w:val="1"/>
    <w:qFormat/>
    <w:uiPriority w:val="0"/>
    <w:pPr>
      <w:widowControl/>
      <w:autoSpaceDE w:val="0"/>
      <w:autoSpaceDN w:val="0"/>
      <w:spacing w:line="540" w:lineRule="atLeast"/>
    </w:pPr>
    <w:rPr>
      <w:rFonts w:ascii="華康中楷體" w:eastAsia="華康中楷體"/>
      <w:spacing w:val="20"/>
      <w:kern w:val="0"/>
      <w:sz w:val="28"/>
      <w:szCs w:val="28"/>
      <w:lang w:eastAsia="zh-TW"/>
    </w:rPr>
  </w:style>
  <w:style w:type="paragraph" w:customStyle="1" w:styleId="118">
    <w:name w:val="表格1"/>
    <w:basedOn w:val="1"/>
    <w:next w:val="1"/>
    <w:qFormat/>
    <w:uiPriority w:val="0"/>
    <w:pPr>
      <w:spacing w:line="360" w:lineRule="auto"/>
      <w:jc w:val="center"/>
    </w:pPr>
    <w:rPr>
      <w:rFonts w:ascii="宋体"/>
      <w:sz w:val="24"/>
      <w:szCs w:val="20"/>
    </w:rPr>
  </w:style>
  <w:style w:type="paragraph" w:customStyle="1" w:styleId="119">
    <w:name w:val="图表文字"/>
    <w:basedOn w:val="1"/>
    <w:qFormat/>
    <w:uiPriority w:val="0"/>
    <w:pPr>
      <w:jc w:val="center"/>
    </w:pPr>
    <w:rPr>
      <w:rFonts w:ascii="仿宋_GB2312" w:eastAsia="仿宋_GB2312"/>
      <w:szCs w:val="20"/>
    </w:rPr>
  </w:style>
  <w:style w:type="paragraph" w:customStyle="1" w:styleId="120">
    <w:name w:val="表头宋体黑色"/>
    <w:basedOn w:val="1"/>
    <w:qFormat/>
    <w:uiPriority w:val="0"/>
    <w:pPr>
      <w:widowControl/>
      <w:topLinePunct/>
      <w:spacing w:beforeLines="50"/>
      <w:ind w:firstLine="200" w:firstLineChars="200"/>
      <w:jc w:val="center"/>
    </w:pPr>
    <w:rPr>
      <w:color w:val="000000"/>
      <w:sz w:val="24"/>
      <w:szCs w:val="28"/>
      <w:lang w:eastAsia="en-US"/>
    </w:rPr>
  </w:style>
  <w:style w:type="paragraph" w:customStyle="1" w:styleId="121">
    <w:name w:val="hhcwt正文"/>
    <w:basedOn w:val="1"/>
    <w:qFormat/>
    <w:uiPriority w:val="0"/>
    <w:pPr>
      <w:spacing w:line="360" w:lineRule="auto"/>
      <w:ind w:firstLine="480" w:firstLineChars="200"/>
    </w:pPr>
    <w:rPr>
      <w:rFonts w:ascii="宋体" w:hAnsi="宋体" w:cs="宋体"/>
      <w:sz w:val="24"/>
    </w:rPr>
  </w:style>
  <w:style w:type="paragraph" w:customStyle="1" w:styleId="12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23">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styleId="124">
    <w:name w:val="List Paragraph"/>
    <w:basedOn w:val="1"/>
    <w:qFormat/>
    <w:uiPriority w:val="34"/>
    <w:pPr>
      <w:ind w:firstLine="420" w:firstLineChars="200"/>
    </w:pPr>
  </w:style>
  <w:style w:type="paragraph" w:customStyle="1" w:styleId="125">
    <w:name w:val="宋体正文小四蓝色"/>
    <w:qFormat/>
    <w:uiPriority w:val="0"/>
    <w:pPr>
      <w:spacing w:line="500" w:lineRule="exact"/>
      <w:ind w:firstLine="480" w:firstLineChars="200"/>
    </w:pPr>
    <w:rPr>
      <w:rFonts w:ascii="Times New Roman" w:hAnsi="宋体" w:eastAsia="宋体" w:cs="Times New Roman"/>
      <w:color w:val="0000FF"/>
      <w:kern w:val="2"/>
      <w:sz w:val="24"/>
      <w:szCs w:val="24"/>
      <w:lang w:val="en-US" w:eastAsia="zh-CN" w:bidi="ar-SA"/>
    </w:rPr>
  </w:style>
  <w:style w:type="paragraph" w:customStyle="1" w:styleId="126">
    <w:name w:val="图表标题1"/>
    <w:basedOn w:val="1"/>
    <w:next w:val="1"/>
    <w:qFormat/>
    <w:uiPriority w:val="0"/>
    <w:pPr>
      <w:adjustRightInd w:val="0"/>
      <w:snapToGrid w:val="0"/>
      <w:jc w:val="center"/>
    </w:pPr>
    <w:rPr>
      <w:b/>
      <w:sz w:val="24"/>
      <w:szCs w:val="21"/>
    </w:rPr>
  </w:style>
  <w:style w:type="paragraph" w:customStyle="1" w:styleId="127">
    <w:name w:val="Char"/>
    <w:basedOn w:val="1"/>
    <w:qFormat/>
    <w:uiPriority w:val="0"/>
    <w:rPr>
      <w:sz w:val="24"/>
      <w:szCs w:val="20"/>
    </w:rPr>
  </w:style>
  <w:style w:type="paragraph" w:customStyle="1" w:styleId="128">
    <w:name w:val="无间隔1"/>
    <w:qFormat/>
    <w:uiPriority w:val="1"/>
    <w:pPr>
      <w:adjustRightInd w:val="0"/>
      <w:snapToGrid w:val="0"/>
    </w:pPr>
    <w:rPr>
      <w:rFonts w:ascii="Tahoma" w:hAnsi="Tahoma" w:eastAsia="微软雅黑" w:cs="Times New Roman"/>
      <w:sz w:val="22"/>
      <w:szCs w:val="22"/>
      <w:lang w:val="en-US" w:eastAsia="zh-CN" w:bidi="ar-SA"/>
    </w:rPr>
  </w:style>
  <w:style w:type="paragraph" w:customStyle="1" w:styleId="129">
    <w:name w:val="表蕊居中"/>
    <w:qFormat/>
    <w:uiPriority w:val="0"/>
    <w:pPr>
      <w:spacing w:line="320" w:lineRule="exact"/>
      <w:jc w:val="center"/>
    </w:pPr>
    <w:rPr>
      <w:rFonts w:ascii="Times New Roman" w:hAnsi="Times New Roman" w:eastAsia="宋体" w:cs="Times New Roman"/>
      <w:spacing w:val="8"/>
      <w:sz w:val="21"/>
      <w:szCs w:val="28"/>
      <w:lang w:val="en-US" w:eastAsia="zh-CN" w:bidi="ar-SA"/>
    </w:rPr>
  </w:style>
  <w:style w:type="paragraph" w:customStyle="1" w:styleId="130">
    <w:name w:val="新表"/>
    <w:basedOn w:val="1"/>
    <w:qFormat/>
    <w:uiPriority w:val="0"/>
    <w:pPr>
      <w:spacing w:line="320" w:lineRule="exact"/>
      <w:jc w:val="center"/>
    </w:pPr>
    <w:rPr>
      <w:bCs/>
    </w:rPr>
  </w:style>
  <w:style w:type="paragraph" w:customStyle="1" w:styleId="131">
    <w:name w:val="样式1"/>
    <w:basedOn w:val="1"/>
    <w:next w:val="14"/>
    <w:qFormat/>
    <w:uiPriority w:val="0"/>
    <w:pPr>
      <w:adjustRightInd w:val="0"/>
      <w:snapToGrid w:val="0"/>
      <w:jc w:val="center"/>
    </w:pPr>
    <w:rPr>
      <w:kern w:val="44"/>
      <w:szCs w:val="21"/>
    </w:rPr>
  </w:style>
  <w:style w:type="paragraph" w:customStyle="1" w:styleId="132">
    <w:name w:val="Table Paragraph"/>
    <w:basedOn w:val="1"/>
    <w:qFormat/>
    <w:uiPriority w:val="1"/>
    <w:pPr>
      <w:jc w:val="left"/>
    </w:pPr>
    <w:rPr>
      <w:rFonts w:ascii="Calibri" w:hAnsi="Calibri"/>
      <w:kern w:val="0"/>
      <w:sz w:val="22"/>
      <w:szCs w:val="22"/>
      <w:lang w:eastAsia="en-US"/>
    </w:rPr>
  </w:style>
  <w:style w:type="table" w:customStyle="1" w:styleId="133">
    <w:name w:val="网格型11"/>
    <w:basedOn w:val="32"/>
    <w:qFormat/>
    <w:uiPriority w:val="0"/>
    <w:rPr>
      <w:rFonts w:cs="仿宋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4">
    <w:name w:val="font11"/>
    <w:qFormat/>
    <w:uiPriority w:val="0"/>
    <w:rPr>
      <w:rFonts w:hint="eastAsia" w:ascii="宋体" w:hAnsi="宋体" w:eastAsia="宋体" w:cs="宋体"/>
      <w:color w:val="000000"/>
      <w:sz w:val="21"/>
      <w:szCs w:val="21"/>
      <w:u w:val="none"/>
    </w:rPr>
  </w:style>
  <w:style w:type="paragraph" w:customStyle="1" w:styleId="135">
    <w:name w:val="正文_29"/>
    <w:qFormat/>
    <w:uiPriority w:val="0"/>
    <w:pPr>
      <w:widowControl w:val="0"/>
      <w:jc w:val="both"/>
    </w:pPr>
    <w:rPr>
      <w:rFonts w:ascii="Calibri" w:hAnsi="Calibri" w:eastAsia="宋体" w:cs="Times New Roman"/>
      <w:kern w:val="2"/>
      <w:sz w:val="21"/>
      <w:lang w:val="en-US" w:eastAsia="zh-CN" w:bidi="ar-SA"/>
    </w:rPr>
  </w:style>
  <w:style w:type="paragraph" w:customStyle="1" w:styleId="136">
    <w:name w:val="01正文"/>
    <w:basedOn w:val="1"/>
    <w:link w:val="137"/>
    <w:qFormat/>
    <w:uiPriority w:val="0"/>
    <w:pPr>
      <w:autoSpaceDE w:val="0"/>
      <w:autoSpaceDN w:val="0"/>
      <w:adjustRightInd w:val="0"/>
      <w:snapToGrid w:val="0"/>
      <w:spacing w:line="360" w:lineRule="auto"/>
      <w:ind w:firstLine="480" w:firstLineChars="200"/>
    </w:pPr>
    <w:rPr>
      <w:sz w:val="24"/>
      <w:lang w:val="zh-CN"/>
    </w:rPr>
  </w:style>
  <w:style w:type="character" w:customStyle="1" w:styleId="137">
    <w:name w:val="01正文 Char"/>
    <w:link w:val="136"/>
    <w:qFormat/>
    <w:uiPriority w:val="0"/>
    <w:rPr>
      <w:sz w:val="24"/>
      <w:szCs w:val="24"/>
      <w:lang w:val="zh-CN"/>
    </w:rPr>
  </w:style>
  <w:style w:type="character" w:customStyle="1" w:styleId="138">
    <w:name w:val="apple-style-span"/>
    <w:qFormat/>
    <w:uiPriority w:val="0"/>
  </w:style>
  <w:style w:type="paragraph" w:customStyle="1" w:styleId="139">
    <w:name w:val="Plain Text2"/>
    <w:basedOn w:val="1"/>
    <w:qFormat/>
    <w:uiPriority w:val="0"/>
    <w:pPr>
      <w:autoSpaceDE w:val="0"/>
      <w:autoSpaceDN w:val="0"/>
      <w:adjustRightInd w:val="0"/>
      <w:textAlignment w:val="baseline"/>
    </w:pPr>
    <w:rPr>
      <w:rFonts w:ascii="宋体" w:hAnsi="Tms Rmn" w:cs="宋体"/>
      <w:kern w:val="0"/>
      <w:szCs w:val="21"/>
    </w:rPr>
  </w:style>
  <w:style w:type="character" w:customStyle="1" w:styleId="140">
    <w:name w:val="font81"/>
    <w:qFormat/>
    <w:uiPriority w:val="0"/>
    <w:rPr>
      <w:rFonts w:hint="eastAsia" w:ascii="宋体" w:hAnsi="宋体" w:eastAsia="宋体" w:cs="宋体"/>
      <w:b/>
      <w:color w:val="000000"/>
      <w:sz w:val="21"/>
      <w:szCs w:val="21"/>
      <w:u w:val="none"/>
    </w:rPr>
  </w:style>
  <w:style w:type="character" w:customStyle="1" w:styleId="141">
    <w:name w:val="font91"/>
    <w:qFormat/>
    <w:uiPriority w:val="0"/>
    <w:rPr>
      <w:rFonts w:hint="default" w:ascii="Times New Roman" w:hAnsi="Times New Roman" w:cs="Times New Roman"/>
      <w:color w:val="000000"/>
      <w:sz w:val="21"/>
      <w:szCs w:val="21"/>
      <w:u w:val="none"/>
    </w:rPr>
  </w:style>
  <w:style w:type="paragraph" w:customStyle="1" w:styleId="142">
    <w:name w:val="标题 4 + 首行缩进:  2 字符 + 首行缩进:  0 字符"/>
    <w:basedOn w:val="1"/>
    <w:qFormat/>
    <w:uiPriority w:val="0"/>
    <w:pPr>
      <w:spacing w:line="520" w:lineRule="exact"/>
      <w:outlineLvl w:val="3"/>
    </w:pPr>
    <w:rPr>
      <w:rFonts w:cs="宋体"/>
      <w:bCs/>
      <w:sz w:val="28"/>
      <w:szCs w:val="28"/>
    </w:rPr>
  </w:style>
  <w:style w:type="character" w:customStyle="1" w:styleId="143">
    <w:name w:val="font51"/>
    <w:qFormat/>
    <w:uiPriority w:val="0"/>
    <w:rPr>
      <w:rFonts w:hint="default" w:ascii="Times New Roman" w:hAnsi="Times New Roman" w:cs="Times New Roman"/>
      <w:color w:val="000000"/>
      <w:sz w:val="21"/>
      <w:szCs w:val="21"/>
      <w:u w:val="none"/>
      <w:vertAlign w:val="subscript"/>
    </w:rPr>
  </w:style>
  <w:style w:type="character" w:customStyle="1" w:styleId="144">
    <w:name w:val="font31"/>
    <w:basedOn w:val="34"/>
    <w:qFormat/>
    <w:uiPriority w:val="0"/>
    <w:rPr>
      <w:rFonts w:hint="eastAsia" w:ascii="宋体" w:hAnsi="宋体" w:eastAsia="宋体" w:cs="宋体"/>
      <w:color w:val="000000"/>
      <w:sz w:val="21"/>
      <w:szCs w:val="21"/>
      <w:u w:val="none"/>
    </w:rPr>
  </w:style>
  <w:style w:type="paragraph" w:customStyle="1" w:styleId="145">
    <w:name w:val="11"/>
    <w:basedOn w:val="1"/>
    <w:qFormat/>
    <w:uiPriority w:val="0"/>
  </w:style>
  <w:style w:type="paragraph" w:customStyle="1" w:styleId="146">
    <w:name w:val="样式 XYF1 + 宋体"/>
    <w:basedOn w:val="1"/>
    <w:qFormat/>
    <w:uiPriority w:val="0"/>
    <w:pPr>
      <w:tabs>
        <w:tab w:val="left" w:pos="1080"/>
      </w:tabs>
      <w:spacing w:line="480" w:lineRule="exact"/>
      <w:ind w:firstLine="200" w:firstLineChars="200"/>
    </w:pPr>
    <w:rPr>
      <w:rFonts w:ascii="宋体" w:hAnsi="宋体" w:cs="宋体"/>
      <w:sz w:val="28"/>
    </w:rPr>
  </w:style>
  <w:style w:type="paragraph" w:customStyle="1" w:styleId="147">
    <w:name w:val="我的样式（正文）"/>
    <w:basedOn w:val="1"/>
    <w:qFormat/>
    <w:uiPriority w:val="0"/>
    <w:pPr>
      <w:spacing w:line="440" w:lineRule="exact"/>
    </w:pPr>
    <w:rPr>
      <w:rFonts w:ascii="宋体"/>
    </w:rPr>
  </w:style>
  <w:style w:type="paragraph" w:customStyle="1" w:styleId="148">
    <w:name w:val="标题 4级"/>
    <w:qFormat/>
    <w:uiPriority w:val="0"/>
    <w:pPr>
      <w:numPr>
        <w:ilvl w:val="3"/>
        <w:numId w:val="11"/>
      </w:numPr>
      <w:adjustRightInd w:val="0"/>
      <w:spacing w:before="62" w:after="62" w:line="500" w:lineRule="exact"/>
      <w:outlineLvl w:val="3"/>
    </w:pPr>
    <w:rPr>
      <w:rFonts w:ascii="Times New Roman" w:hAnsi="Times New Roman" w:eastAsia="仿宋_GB2312" w:cs="Times New Roman"/>
      <w:b/>
      <w:kern w:val="2"/>
      <w:sz w:val="28"/>
      <w:szCs w:val="24"/>
      <w:lang w:val="en-US" w:eastAsia="zh-CN" w:bidi="ar-SA"/>
    </w:rPr>
  </w:style>
  <w:style w:type="paragraph" w:customStyle="1" w:styleId="149">
    <w:name w:val="报告书 正文"/>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paragraph" w:customStyle="1" w:styleId="150">
    <w:name w:val="图表 标题"/>
    <w:qFormat/>
    <w:uiPriority w:val="0"/>
    <w:pPr>
      <w:snapToGrid w:val="0"/>
      <w:spacing w:before="20" w:beforeLines="20" w:after="20" w:afterLines="20" w:line="500" w:lineRule="exact"/>
      <w:jc w:val="center"/>
    </w:pPr>
    <w:rPr>
      <w:rFonts w:ascii="Times New Roman" w:hAnsi="Times New Roman" w:eastAsia="仿宋_GB2312" w:cs="Times New Roman"/>
      <w:b/>
      <w:sz w:val="24"/>
      <w:szCs w:val="24"/>
      <w:lang w:val="en-US" w:eastAsia="zh-CN" w:bidi="ar-SA"/>
    </w:rPr>
  </w:style>
  <w:style w:type="paragraph" w:customStyle="1" w:styleId="151">
    <w:name w:val="2"/>
    <w:basedOn w:val="1"/>
    <w:next w:val="25"/>
    <w:qFormat/>
    <w:uiPriority w:val="0"/>
    <w:pPr>
      <w:tabs>
        <w:tab w:val="left" w:pos="604"/>
      </w:tabs>
      <w:spacing w:line="360" w:lineRule="auto"/>
      <w:ind w:firstLine="600"/>
    </w:pPr>
    <w:rPr>
      <w:sz w:val="24"/>
    </w:rPr>
  </w:style>
  <w:style w:type="character" w:customStyle="1" w:styleId="152">
    <w:name w:val="font41"/>
    <w:basedOn w:val="34"/>
    <w:qFormat/>
    <w:uiPriority w:val="0"/>
    <w:rPr>
      <w:rFonts w:hint="default" w:ascii="Times New Roman" w:hAnsi="Times New Roman" w:cs="Times New Roman"/>
      <w:b/>
      <w:bCs/>
      <w:color w:val="000000"/>
      <w:sz w:val="21"/>
      <w:szCs w:val="21"/>
      <w:u w:val="none"/>
    </w:rPr>
  </w:style>
  <w:style w:type="paragraph" w:customStyle="1" w:styleId="153">
    <w:name w:val="Other|1"/>
    <w:basedOn w:val="1"/>
    <w:qFormat/>
    <w:uiPriority w:val="0"/>
    <w:rPr>
      <w:rFonts w:ascii="MingLiU" w:hAnsi="MingLiU" w:eastAsia="MingLiU" w:cs="MingLiU"/>
      <w:sz w:val="20"/>
      <w:lang w:val="zh-TW" w:eastAsia="zh-TW" w:bidi="zh-TW"/>
    </w:rPr>
  </w:style>
  <w:style w:type="paragraph" w:customStyle="1" w:styleId="154">
    <w:name w:val="+正文"/>
    <w:basedOn w:val="1"/>
    <w:qFormat/>
    <w:uiPriority w:val="0"/>
    <w:pPr>
      <w:spacing w:line="360" w:lineRule="auto"/>
      <w:ind w:firstLine="200" w:firstLineChars="200"/>
    </w:pPr>
    <w:rPr>
      <w:rFonts w:ascii="TimesNewRoman" w:hAnsi="TimesNewRoman"/>
      <w:sz w:val="28"/>
      <w:szCs w:val="28"/>
    </w:rPr>
  </w:style>
  <w:style w:type="paragraph" w:customStyle="1" w:styleId="155">
    <w:name w:val="市局正文"/>
    <w:basedOn w:val="1"/>
    <w:qFormat/>
    <w:uiPriority w:val="0"/>
    <w:pPr>
      <w:adjustRightInd w:val="0"/>
      <w:snapToGrid w:val="0"/>
      <w:spacing w:afterLines="30" w:line="360" w:lineRule="auto"/>
      <w:ind w:firstLine="480" w:firstLineChars="200"/>
    </w:pPr>
    <w:rPr>
      <w:rFonts w:ascii="宋体" w:hAnsi="宋体"/>
      <w:kern w:val="0"/>
      <w:sz w:val="24"/>
    </w:rPr>
  </w:style>
  <w:style w:type="paragraph" w:customStyle="1" w:styleId="156">
    <w:name w:val="_Style 2"/>
    <w:basedOn w:val="1"/>
    <w:qFormat/>
    <w:uiPriority w:val="34"/>
    <w:pPr>
      <w:ind w:firstLine="420" w:firstLineChars="200"/>
    </w:pPr>
    <w:rPr>
      <w:rFonts w:ascii="Calibri" w:hAnsi="Calibri"/>
      <w:szCs w:val="22"/>
    </w:rPr>
  </w:style>
  <w:style w:type="paragraph" w:customStyle="1" w:styleId="157">
    <w:name w:val="表格内容自定"/>
    <w:basedOn w:val="1"/>
    <w:qFormat/>
    <w:uiPriority w:val="0"/>
    <w:pPr>
      <w:spacing w:line="280" w:lineRule="exact"/>
      <w:jc w:val="center"/>
    </w:pPr>
    <w:rPr>
      <w:kern w:val="0"/>
      <w:sz w:val="18"/>
      <w:szCs w:val="21"/>
    </w:rPr>
  </w:style>
  <w:style w:type="paragraph" w:customStyle="1" w:styleId="158">
    <w:name w:val="表格内容"/>
    <w:basedOn w:val="1"/>
    <w:qFormat/>
    <w:uiPriority w:val="0"/>
    <w:pPr>
      <w:jc w:val="center"/>
    </w:pPr>
    <w:rPr>
      <w:snapToGrid w:val="0"/>
      <w:kern w:val="0"/>
      <w:szCs w:val="21"/>
    </w:rPr>
  </w:style>
  <w:style w:type="paragraph" w:customStyle="1" w:styleId="159">
    <w:name w:val="列出段落1"/>
    <w:basedOn w:val="1"/>
    <w:qFormat/>
    <w:uiPriority w:val="34"/>
    <w:pPr>
      <w:ind w:firstLine="420" w:firstLineChars="200"/>
    </w:pPr>
  </w:style>
  <w:style w:type="paragraph" w:customStyle="1" w:styleId="160">
    <w:name w:val="表格内2"/>
    <w:basedOn w:val="1"/>
    <w:qFormat/>
    <w:uiPriority w:val="0"/>
    <w:pPr>
      <w:adjustRightInd w:val="0"/>
      <w:snapToGrid w:val="0"/>
      <w:spacing w:line="360" w:lineRule="auto"/>
    </w:pPr>
    <w:rPr>
      <w:sz w:val="24"/>
    </w:rPr>
  </w:style>
  <w:style w:type="paragraph" w:customStyle="1" w:styleId="161">
    <w:name w:val="表格内"/>
    <w:basedOn w:val="1"/>
    <w:qFormat/>
    <w:uiPriority w:val="0"/>
    <w:pPr>
      <w:adjustRightInd w:val="0"/>
      <w:snapToGrid w:val="0"/>
      <w:spacing w:line="360" w:lineRule="auto"/>
      <w:ind w:firstLine="720" w:firstLineChars="200"/>
    </w:pPr>
    <w:rPr>
      <w:rFonts w:hint="eastAsia"/>
      <w:sz w:val="24"/>
    </w:rPr>
  </w:style>
  <w:style w:type="paragraph" w:customStyle="1" w:styleId="162">
    <w:name w:val="第四章表头"/>
    <w:basedOn w:val="1"/>
    <w:next w:val="1"/>
    <w:qFormat/>
    <w:uiPriority w:val="0"/>
    <w:pPr>
      <w:numPr>
        <w:ilvl w:val="0"/>
        <w:numId w:val="12"/>
      </w:numPr>
      <w:autoSpaceDE w:val="0"/>
      <w:autoSpaceDN w:val="0"/>
      <w:adjustRightInd w:val="0"/>
      <w:snapToGrid w:val="0"/>
      <w:spacing w:line="240" w:lineRule="auto"/>
      <w:ind w:firstLine="0" w:firstLineChars="0"/>
      <w:jc w:val="center"/>
    </w:pPr>
    <w:rPr>
      <w:rFonts w:hint="eastAsia"/>
      <w:b/>
      <w:sz w:val="24"/>
    </w:rPr>
  </w:style>
  <w:style w:type="paragraph" w:customStyle="1" w:styleId="163">
    <w:name w:val="表头"/>
    <w:basedOn w:val="1"/>
    <w:qFormat/>
    <w:uiPriority w:val="0"/>
    <w:pPr>
      <w:adjustRightInd w:val="0"/>
      <w:spacing w:line="600" w:lineRule="atLeast"/>
      <w:jc w:val="center"/>
      <w:textAlignment w:val="baseline"/>
    </w:pPr>
    <w:rPr>
      <w:rFonts w:ascii="宋体" w:eastAsia="黑体"/>
      <w:spacing w:val="6"/>
      <w:kern w:val="0"/>
      <w:szCs w:val="20"/>
    </w:rPr>
  </w:style>
  <w:style w:type="table" w:customStyle="1" w:styleId="164">
    <w:name w:val="Table Normal"/>
    <w:autoRedefine/>
    <w:semiHidden/>
    <w:unhideWhenUsed/>
    <w:qFormat/>
    <w:uiPriority w:val="0"/>
    <w:tblPr>
      <w:tblCellMar>
        <w:top w:w="0" w:type="dxa"/>
        <w:left w:w="0" w:type="dxa"/>
        <w:bottom w:w="0" w:type="dxa"/>
        <w:right w:w="0" w:type="dxa"/>
      </w:tblCellMar>
    </w:tblPr>
  </w:style>
  <w:style w:type="character" w:customStyle="1" w:styleId="165">
    <w:name w:val="第三章表头 Char"/>
    <w:link w:val="40"/>
    <w:qFormat/>
    <w:uiPriority w:val="0"/>
    <w:rPr>
      <w:b/>
      <w:color w:val="000000"/>
      <w:sz w:val="24"/>
      <w:szCs w:val="20"/>
    </w:rPr>
  </w:style>
  <w:style w:type="paragraph" w:customStyle="1" w:styleId="166">
    <w:name w:val="正文 首行缩进:  2 字符"/>
    <w:basedOn w:val="1"/>
    <w:qFormat/>
    <w:uiPriority w:val="99"/>
    <w:pPr>
      <w:ind w:firstLine="579" w:firstLineChars="200"/>
    </w:pPr>
    <w:rPr>
      <w:rFonts w:cs="宋体"/>
      <w:szCs w:val="20"/>
    </w:rPr>
  </w:style>
  <w:style w:type="paragraph" w:customStyle="1" w:styleId="167">
    <w:name w:val="1表格字体"/>
    <w:basedOn w:val="1"/>
    <w:qFormat/>
    <w:uiPriority w:val="0"/>
    <w:pPr>
      <w:widowControl/>
      <w:spacing w:line="240" w:lineRule="auto"/>
      <w:ind w:firstLine="0" w:firstLineChars="0"/>
      <w:jc w:val="center"/>
    </w:pPr>
    <w:rPr>
      <w:snapToGrid w:val="0"/>
      <w:kern w:val="0"/>
      <w:sz w:val="21"/>
      <w:szCs w:val="21"/>
    </w:rPr>
  </w:style>
  <w:style w:type="paragraph" w:customStyle="1" w:styleId="168">
    <w:name w:val="1.表标题"/>
    <w:basedOn w:val="28"/>
    <w:next w:val="167"/>
    <w:qFormat/>
    <w:uiPriority w:val="0"/>
    <w:pPr>
      <w:spacing w:before="0" w:after="0" w:line="240" w:lineRule="auto"/>
      <w:ind w:firstLine="0" w:firstLineChars="0"/>
      <w:outlineLvl w:val="9"/>
    </w:pPr>
    <w:rPr>
      <w:rFonts w:ascii="Times New Roman" w:hAnsi="Times New Roman" w:cs="Times New Roman"/>
      <w:bCs w:val="0"/>
      <w:color w:val="000000"/>
      <w:sz w:val="24"/>
      <w:szCs w:val="20"/>
    </w:rPr>
  </w:style>
  <w:style w:type="character" w:customStyle="1" w:styleId="169">
    <w:name w:val="第二章表头 Char"/>
    <w:link w:val="44"/>
    <w:qFormat/>
    <w:uiPriority w:val="0"/>
    <w:rPr>
      <w:rFonts w:ascii="Times New Roman" w:hAnsi="Times New Roman" w:eastAsia="宋体" w:cs="Times New Roman"/>
      <w:sz w:val="24"/>
      <w:szCs w:val="22"/>
    </w:rPr>
  </w:style>
  <w:style w:type="character" w:customStyle="1" w:styleId="170">
    <w:name w:val="正文文字 6 Char"/>
    <w:link w:val="48"/>
    <w:qFormat/>
    <w:uiPriority w:val="0"/>
    <w:rPr>
      <w:rFonts w:ascii="宋体" w:hAnsi="Times New Roman" w:eastAsia="宋体" w:cs="Times New Roman"/>
      <w:b/>
      <w:bCs/>
      <w:kern w:val="2"/>
      <w:sz w:val="32"/>
      <w:szCs w:val="32"/>
      <w:lang w:val="en-US" w:eastAsia="zh-CN" w:bidi="ar-SA"/>
    </w:rPr>
  </w:style>
  <w:style w:type="paragraph" w:customStyle="1" w:styleId="171">
    <w:name w:val="（1）小标题"/>
    <w:basedOn w:val="28"/>
    <w:autoRedefine/>
    <w:qFormat/>
    <w:uiPriority w:val="0"/>
    <w:pPr>
      <w:autoSpaceDE w:val="0"/>
      <w:autoSpaceDN w:val="0"/>
      <w:adjustRightInd w:val="0"/>
      <w:snapToGrid w:val="0"/>
      <w:spacing w:before="0" w:after="0" w:line="460" w:lineRule="exact"/>
      <w:ind w:firstLine="480" w:firstLineChars="200"/>
      <w:jc w:val="left"/>
    </w:pPr>
    <w:rPr>
      <w:rFonts w:ascii="Times New Roman" w:hAnsi="Times New Roman"/>
      <w:b w:val="0"/>
      <w:color w:val="FF0000"/>
      <w:kern w:val="0"/>
      <w:sz w:val="24"/>
      <w:szCs w:val="21"/>
    </w:rPr>
  </w:style>
  <w:style w:type="paragraph" w:customStyle="1" w:styleId="172">
    <w:name w:val="正文-lcc"/>
    <w:basedOn w:val="1"/>
    <w:autoRedefine/>
    <w:qFormat/>
    <w:uiPriority w:val="0"/>
    <w:pPr>
      <w:snapToGrid w:val="0"/>
      <w:spacing w:line="360" w:lineRule="auto"/>
      <w:ind w:firstLine="200" w:firstLineChars="200"/>
    </w:pPr>
    <w:rPr>
      <w:rFonts w:eastAsia="仿宋"/>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9.wmf"/><Relationship Id="rId43" Type="http://schemas.openxmlformats.org/officeDocument/2006/relationships/oleObject" Target="embeddings/oleObject4.bin"/><Relationship Id="rId42" Type="http://schemas.openxmlformats.org/officeDocument/2006/relationships/image" Target="media/image28.wmf"/><Relationship Id="rId41" Type="http://schemas.openxmlformats.org/officeDocument/2006/relationships/oleObject" Target="embeddings/oleObject3.bin"/><Relationship Id="rId40" Type="http://schemas.openxmlformats.org/officeDocument/2006/relationships/image" Target="media/image27.wmf"/><Relationship Id="rId4" Type="http://schemas.openxmlformats.org/officeDocument/2006/relationships/endnotes" Target="endnotes.xml"/><Relationship Id="rId39" Type="http://schemas.openxmlformats.org/officeDocument/2006/relationships/oleObject" Target="embeddings/oleObject2.bin"/><Relationship Id="rId38" Type="http://schemas.openxmlformats.org/officeDocument/2006/relationships/image" Target="media/image26.wmf"/><Relationship Id="rId37" Type="http://schemas.openxmlformats.org/officeDocument/2006/relationships/oleObject" Target="embeddings/oleObject1.bin"/><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g1NjUyNjY2NzU5IiwKCSJHcm91cElkIiA6ICIxMTMyOTgyNTQ2IiwKCSJJbWFnZSIgOiAiaVZCT1J3MEtHZ29BQUFBTlNVaEVVZ0FBQlhFQUFBUFZDQVlBQUFBZ1RLbjNBQUFBQVhOU1IwSUFyczRjNlFBQUlBQkpSRUZVZUp6czNYdWNsSFg1Ly9IM2RjL3NjalpRWUZGUlVGR1F3ekwzcktqcDEweUxQT2Vwck1nc1RUT3o3MDg4WkdvZU1UVlRFMDJVMVB4Nnprd3RUTkZRc3p5bjd0eXp5NElpQ0ppb25FTE91K3pPM05mdkQzWnBkOWxkRGdLend1djVlUGlZbWM5cHJudDBScmptTTlkSEF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lDQitqL1JqQ2tOQU8yWW9BQUFBQUJKUlU1RXJrSmdnZz09IiwKCSJUaGVtZSIgOiAiIiwKCSJUeXBlIiA6ICJmbG93IiwKCSJVc2VySWQiIDogIjEwNjU3NjM4NzIiLAoJIlZlcnNpb24iIDogIjc0Igp9Cg=="/>
    </extobj>
    <extobj name="ECB019B1-382A-4266-B25C-5B523AA43C14-2">
      <extobjdata type="ECB019B1-382A-4266-B25C-5B523AA43C14" data="ewoJIkZpbGVJZCIgOiAiMzg1NjQwODc4NTQyIiwKCSJHcm91cElkIiA6ICIxMTMyOTgyNTQ2IiwKCSJJbWFnZSIgOiAiaVZCT1J3MEtHZ29BQUFBTlNVaEVVZ0FBQlljQUFBT0tDQVlBQUFEQXh1OExBQUFBQVhOU1IwSUFyczRjNlFBQUlBQkpSRUZVZUp6czNYbDRWT1gxQi9EdnVYZXlBQW1MckNJSVloUU1JWmw3UjNDcnUxaWx4UVV0VnFxb3VOVnFmNElMVlZ0UmNkOHFWUkJRdE81Vks2MG9vcUs0MUEyWDNEdFpBUW1MZ2tvZ0FnR1NETW5NUGI4L01vbVRaTEt3SnNEMzh6dyt5YnpiUFhka0JuTHl6bmtC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VCUDl2OEJPRjJpc3N2SnU1OEFBQUFBU1VWT1JLNUNZSUk9IiwKCSJUaGVtZSIgOiAiIiwKCSJUeXBlIiA6ICJmbG93IiwKCSJVc2VySWQiIDogIjEwNjU3NjM4NzIiLAoJIlZlcnNpb24iIDogIjUyIgp9Cg=="/>
    </extobj>
    <extobj name="ECB019B1-382A-4266-B25C-5B523AA43C14-3">
      <extobjdata type="ECB019B1-382A-4266-B25C-5B523AA43C14" data="ewoJIkZpbGVJZCIgOiAiMzg1ODk4NDQ0NTgwIiwKCSJHcm91cElkIiA6ICIxMTMyOTgyNTQ2IiwKCSJJbWFnZSIgOiAiaVZCT1J3MEtHZ29BQUFBTlNVaEVVZ0FBQlljQUFBT0tDQVlBQUFEQXh1OExBQUFBQVhOU1IwSUFyczRjNlFBQUlBQkpSRUZVZUp6czNYbDhWT1hWQi9EZnVYZXlBQWtTWkJOUlVDUEJCSko1N3FoVldxdWd1TllGdFZhdEwzVkhxMWF4YXRYM0ZTMVcyMXF0UzhVTmF0MUsxV3BiS1dpTFltc3JndGJjT3drQlFVR2k0b0trckZsbnVlZjlJek54a3N3a0lRSmgrWDAvSHo2WisyejN6SVJNSm1lZU9SY2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GRuL0FsTjlzYllaWE0yZkFBQUFBRWxGVGtTdVFtQ0MiLAoJIlRoZW1lIiA6ICIiLAoJIlR5cGUiIDogImZsb3ciLAoJIlVzZXJJZCIgOiAiMTA2NTc2Mzg3MiIsCgkiVmVyc2lvbiIgOiAiIgp9Cg=="/>
    </extobj>
    <extobj name="ECB019B1-382A-4266-B25C-5B523AA43C14-4">
      <extobjdata type="ECB019B1-382A-4266-B25C-5B523AA43C14" data="ewoJIkZpbGVJZCIgOiAiMzg1OTEwODgwNDEzIiwKCSJHcm91cElkIiA6ICIxMTMyOTgyNTQ2IiwKCSJJbWFnZSIgOiAiaVZCT1J3MEtHZ29BQUFBTlNVaEVVZ0FBQlpBQUFBYVNDQVlBQUFDNENkckxBQUFBQVhOU1IwSUFyczRjNlFBQUlBQkpSRUZVZUp6czNYbDhWT1gxUC9EUHVYZXlBQW15YnlKRWpRUUNKblB2Q0c1ZlJWU3FvbFpCU3l0VjNFRXFWbkNyK3F1SXVCV1ZpbFlFbFZvVTZrTFZpZ1ZVRkhjUmxjeE1RZ2hFQW9rU2tFQUVBaUhyekQyL1B6S0pXU1loZ1VBQ2ZONnZGeTh5OXo3UHVlZE95d2hubm5zZW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dQZ1h3NmRwNThJQlRJVUFBQUFBU1VWT1JLNUNZSUk9IiwKCSJUaGVtZSIgOiAiIiwKCSJUeXBlIiA6ICJmbG93IiwKCSJVc2VySWQiIDogIjEwNjU3NjM4NzIiLAoJIlZlcnNpb24iIDogIiIKfQo="/>
    </extobj>
    <extobj name="ECB019B1-382A-4266-B25C-5B523AA43C14-5">
      <extobjdata type="ECB019B1-382A-4266-B25C-5B523AA43C14" data="ewoJIkZpbGVJZCIgOiAiMjAxNTc2MjA1MTU1IiwKCSJHcm91cElkIiA6ICIxMTMyOTgyNTQ2IiwKCSJJbWFnZSIgOiAiaVZCT1J3MEtHZ29BQUFBTlNVaEVVZ0FBQWdZQUFBR0ZDQVlBQUFDRzh6dExBQUFBQ1hCSVdYTUFBQXNUQUFBTEV3RUFtcHdZQUFBZ0FFbEVRVlI0bk96ZGVYeFUxZjAvL3RlOXMyVW1rMlVta3oxa0k0UmxDTWtNNmtkYVFiQmF4US9GdGRacXRYWDU0RkpCWEZEYnVsRnFyZFZxNjg5UFVkR1BDbGlYcjNXRlVrV1JvcWlWa2tsSXdqcGszOGxrbVNTVFdUTDMvdjVJWnB3TUNVbllFc2pyK1hqd3lOeHp6N24zUFpNdzg1NXp6ajBYS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"/>
    </extobj>
    <extobj name="ECB019B1-382A-4266-B25C-5B523AA43C14-6">
      <extobjdata type="ECB019B1-382A-4266-B25C-5B523AA43C14" data="ewoJIkZpbGVJZCIgOiAiMjAxNTg2OTIxMzU4IiwKCSJHcm91cElkIiA6ICIxMTMyOTgyNTQ2IiwKCSJJbWFnZSIgOiAiaVZCT1J3MEtHZ29BQUFBTlNVaEVVZ0FBQWY0QUFBRklDQVlBQUFDeC9KeE5BQUFBQ1hCSVdYTUFBQXNUQUFBTEV3RUFtcHdZQUFBZ0FFbEVRVlI0bk96ZGVYaFU1ZmszOE8rWm1jeStacG1aWkxJbkpJR1FaWVpxRlF0WVJWc29TS2w3M1NwV1c2MGdpaFcxS0M2dCtIUGZyYTlWVVZHVW9xMGFSQVYzY1MxSlNFZ2daRjhteTB3bWs4eStuL2VQWk9Ka0NKQUVKQ0Z6ZjY2TGl6blBlYzQ1OTB3Zzk1em5QQXRB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"/>
    </extobj>
    <extobj name="ECB019B1-382A-4266-B25C-5B523AA43C14-7">
      <extobjdata type="ECB019B1-382A-4266-B25C-5B523AA43C14" data="ewoJIkZpbGVJZCIgOiAiMzgyMzYzNzQxMDgzIiwKCSJHcm91cElkIiA6ICIxMTMyOTgyNTQ2IiwKCSJJbWFnZSIgOiAiaVZCT1J3MEtHZ29BQUFBTlNVaEVVZ0FBQXc4QUFBSW1DQVlBQUFBVkNMYWNBQUFBQVhOU1IwSUFyczRjNlFBQUlBQkpSRUZVZUp6czNYbDhWT1c1Qi9EZmM4NWtJUVJrRTFEcEZSRkVRcFo1ejZCV3JidFYyMXExMWFyWHVsMjFkZDlSdkhXcm9xMkthMTFiOTJMMXVpOTFxVnZyWGhkeXpza2tSTUdvcUZoUk5sa0NKSmw1bi90SFpzWmhtQ1FUSUFUeDkvMTg4c2s1NzNiZVNUSnduam52QWh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Uc4Ny9COTNTSER1T3RoRUJBQUFBQUVsRlRrU3VRbUNDIiwKCSJUaGVtZSIgOiAiIiwKCSJUeXBlIiA6ICJmbG93IiwKCSJVc2VySWQiIDogIjEwNjU3NjM4NzIiLAoJIlZlcnNpb24iIDogIjMyIgp9Cg=="/>
    </extobj>
    <extobj name="ECB019B1-382A-4266-B25C-5B523AA43C14-8">
      <extobjdata type="ECB019B1-382A-4266-B25C-5B523AA43C14" data="ewoJIkZpbGVJZCIgOiAiMzgyNDA5NjU4NzAxIiwKCSJHcm91cElkIiA6ICIxMTMyOTgyNTQ2IiwKCSJJbWFnZSIgOiAiaVZCT1J3MEtHZ29BQUFBTlNVaEVVZ0FBQXJzQUFBS1dDQVlBQUFCSlVWRnFBQUFBQVhOU1IwSUFyczRjNlFBQUlBQkpSRUZVZUp6czNYdWNYUFA5UC9EWCszUE83RzV1bThSbEV3UmIxaVdiWk9aOFBvTlNsNGF2UzF1cW9WR1VxRkxxRWkxYWJWRjFyN3NXZFFrcGlvb2ZVVnFsN3ZjbzJqbm43Q1JXd3FvZ0pkS0lKSks5enZtOGYzL016SnFkekY2em0yeDRQeDhQRHpPZjIvbWNTU2J6bnM5OExvQ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MmEvOGZPYy83OTMvRTJCQUFBQUFBU1VWT1JLNUNZSUk9IiwKCSJUaGVtZSIgOiAiIiwKCSJUeXBlIiA6ICJmbG93IiwKCSJVc2VySWQiIDogIjEwNjU3NjM4NzIiLAoJIlZlcnNpb24iIDogIjMxIgp9Cg=="/>
    </extobj>
    <extobj name="ECB019B1-382A-4266-B25C-5B523AA43C14-9">
      <extobjdata type="ECB019B1-382A-4266-B25C-5B523AA43C14" data="ewoJIkZpbGVJZCIgOiAiMzgyNDQ2MzczODc3IiwKCSJHcm91cElkIiA6ICIxMTMyOTgyNTQ2IiwKCSJJbWFnZSIgOiAiaVZCT1J3MEtHZ29BQUFBTlNVaEVVZ0FBQXdNQUFBSUVDQVlBQUFCRlVQSXZBQUFBQVhOU1IwSUFyczRjNlFBQUlBQkpSRUZVZUp6czNYbDhWTlg1UC9EUGMrNU1KZ1FTRmdGUm9hWTZDb1JrNXA0N0x2Z1YxNkoyVVhHdnU5VldhN1ZxdFhheDduWGY5d1gzcFdwRmJhMUxxV2dGcllwRjU5NmJBU0pJVUxTSW9CQlpzbWZtUEw4L01wUGZaSmdKU1FBeDhMeGZMMTdNbk8yZU84N0YrOHc5Q3lD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RVUGYwL08wV2FaeFlxa2JzQUFBQUFTVVZPUks1Q1lJST0iLAoJIlRoZW1lIiA6ICIiLAoJIlR5cGUiIDogImZsb3ciLAoJIlVzZXJJZCIgOiAiMTA2NTc2Mzg3MiIsCgkiVmVyc2lvbiIgOiAiMjMiCn0K"/>
    </extobj>
    <extobj name="ECB019B1-382A-4266-B25C-5B523AA43C14-10">
      <extobjdata type="ECB019B1-382A-4266-B25C-5B523AA43C14" data="ewoJIkZpbGVJZCIgOiAiMzgyNDQ3MTk5NjgwIiwKCSJHcm91cElkIiA6ICIxMTMyOTgyNTQ2IiwKCSJJbWFnZSIgOiAiaVZCT1J3MEtHZ29BQUFBTlNVaEVVZ0FBQXdNQUFBSlVDQVlBQUFCSjN2cllBQUFBQVhOU1IwSUFyczRjNlFBQUlBQkpSRUZVZUp6czNYbDRGRlhXQnZEMzNPb3NRQVFNeU1kb2xNaUFPQkdUcm1wM0JGRnhHd1VkVVZ6QkJYVVUzRmNVSFdZYzNGY1FjVU4weGcyWGNXWVlGUlZIUlZ4R29iczZFUU1vRGxHaktDQnJDRm02NjN4L3BMdnRyQ1FNcElGK2Y4L0RrNjViOTk0NjFRYXBVMVgzWG9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NieFA4SGcwc2FxMlFhdXBvQUFBQUFTVVZPUks1Q1lJST0iLAoJIlRoZW1lIiA6ICIiLAoJIlR5cGUiIDogImZsb3ciLAoJIlVzZXJJZCIgOiAiMTA2NTc2Mzg3MiIsCgkiVmVyc2lvbiIgOiAiIgp9Cg=="/>
    </extobj>
    <extobj name="ECB019B1-382A-4266-B25C-5B523AA43C14-11">
      <extobjdata type="ECB019B1-382A-4266-B25C-5B523AA43C14" data="ewoJIkZpbGVJZCIgOiAiMzgyNDUyODg3NDUwIiwKCSJHcm91cElkIiA6ICIxMTMyOTgyNTQ2IiwKCSJJbWFnZSIgOiAiaVZCT1J3MEtHZ29BQUFBTlNVaEVVZ0FBQXRrQUFBSWVDQVlBQUFCdW9CT1NBQUFBQVhOU1IwSUFyczRjNlFBQUlBQkpSRUZVZUp6czNYbDhWTlg1UC9EUGMrOU1GcGFBQ0lxS0VtMFVESkRNdmFOMUF5dnVQN2RhYTB0clhWcnR0MXExZGQrMWlrdjd0VW9yOWV0V3RWS3g3bHZkYWkxdVJWekozTWtRd21KVVVGQUVsQ1dCYkhQUDgvc2pNK05rTWdsSkhKZ0FuL2ZyaFpsN3R2dE1uSUZuN3B4N0Rr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pQVQrRDRCdU9vRi8zYTFQQUFBQUFFbEZUa1N1UW1DQyIsCgkiVGhlbWUiIDogIiIsCgkiVHlwZSIgOiAiZmxvdyIsCgkiVXNlcklkIiA6ICIxMDY1NzYzODcyIiwKCSJWZXJzaW9uIiA6ICIxOSIKfQo="/>
    </extobj>
    <extobj name="ECB019B1-382A-4266-B25C-5B523AA43C14-12">
      <extobjdata type="ECB019B1-382A-4266-B25C-5B523AA43C14" data="ewoJIkZpbGVJZCIgOiAiMzgyNDUzMDMyOTA4IiwKCSJHcm91cElkIiA6ICIxMTMyOTgyNTQ2IiwKCSJJbWFnZSIgOiAiaVZCT1J3MEtHZ29BQUFBTlNVaEVVZ0FBQkhVQUFBUFBDQVlBQUFCS1pQZXdBQUFBQVhOU1IwSUFyczRjNlFBQUlBQkpSRUZVZUp6czNYbDhWTlg5Ly9IM3VYZENFa0pZbEZXaVlBR0JRSks1RXdYUnVsdVh0dksxMW1wYmw3YTQxUFVMV2hYcVF2M0tUM0hCdHRncXVMZkZmVzlyYTFXS0xiZ0FkcFlrRUVDRGdrYkZnb29oUUphWmUzNS9aR2tTa2hBb3lXVHc5WHc4OG1EbW5IUFAvVXdlUG1KNGM4ODVF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o4WC9CMW5LL1JtS3FiWE9BQUFBQUVsRlRrU3VRbUNDIiwKCSJUaGVtZSIgOiAiIiwKCSJUeXBlIiA6ICJmbG93IiwKCSJVc2VySWQiIDogIjEwNjU3NjM4NzIiLAoJIlZlcnNpb24iIDogIiIKfQo="/>
    </extobj>
    <extobj name="ECB019B1-382A-4266-B25C-5B523AA43C14-13">
      <extobjdata type="ECB019B1-382A-4266-B25C-5B523AA43C14" data="ewoJIkZpbGVJZCIgOiAiMjAxNTc2MjA1MTU1IiwKCSJHcm91cElkIiA6ICIxMTMyOTgyNTQ2IiwKCSJJbWFnZSIgOiAiaVZCT1J3MEtHZ29BQUFBTlNVaEVVZ0FBQWdZQUFBR0ZDQVlBQUFDRzh6dExBQUFBQ1hCSVdYTUFBQXNUQUFBTEV3RUFtcHdZQUFBZ0FFbEVRVlI0bk96ZGVYeFUxZjAvL3RlOXMyVW1rMlVta3oxa0k0UmxDTWtNNmtkYVFiQmF4US9GdGRacXRYWDU0RkpCWEZEYnVsRnFyZFZxNjg5UFVkR1BDbGlYcjNXRlVrV1JvcWlWa2tsSXdqcGszOGxrbVNTVFdUTDMvdjVJWnB3TUNVbllFc2pyK1hqd3lOeHp6N24zUFpNdzg1NXp6ajBYS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"/>
    </extobj>
    <extobj name="ECB019B1-382A-4266-B25C-5B523AA43C14-14">
      <extobjdata type="ECB019B1-382A-4266-B25C-5B523AA43C14" data="ewoJIkZpbGVJZCIgOiAiMjAxNTg2OTIxMzU4IiwKCSJHcm91cElkIiA6ICIxMTMyOTgyNTQ2IiwKCSJJbWFnZSIgOiAiaVZCT1J3MEtHZ29BQUFBTlNVaEVVZ0FBQWY0QUFBRklDQVlBQUFDeC9KeE5BQUFBQ1hCSVdYTUFBQXNUQUFBTEV3RUFtcHdZQUFBZ0FFbEVRVlI0bk96ZGVYaFU1ZmszOE8rWm1jeStacG1aWkxJbkpJR1FaWVpxRlF0WVJWc29TS2w3M1NwV1c2MGdpaFcxS0M2dCtIUGZyYTlWVVZHVW9xMGFSQVYzY1MxSlNFZ2daRjhteTB3bWs4eStuL2VQWk9Ka0NKQUVKQ0Z6ZjY2TGl6blBlYzQ1OTB3Zzk1em5QQXRB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"/>
    </extobj>
    <extobj name="ECB019B1-382A-4266-B25C-5B523AA43C14-15">
      <extobjdata type="ECB019B1-382A-4266-B25C-5B523AA43C14" data="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115</Pages>
  <Words>14862</Words>
  <Characters>15690</Characters>
  <Lines>398</Lines>
  <Paragraphs>112</Paragraphs>
  <TotalTime>6</TotalTime>
  <ScaleCrop>false</ScaleCrop>
  <LinksUpToDate>false</LinksUpToDate>
  <CharactersWithSpaces>15726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2021-03-11T09:16:00Z</dcterms:created>
  <dc:creator>lhj</dc:creator>
  <cp:lastModifiedBy>ZHL</cp:lastModifiedBy>
  <cp:lastPrinted>2021-09-06T12:42:00Z</cp:lastPrinted>
  <dcterms:modified xsi:type="dcterms:W3CDTF">2025-04-01T20:38:17Z</dcterms:modified>
  <dc:title>附件2</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7ACD4921F9B84278A47A79A942A9B77B</vt:lpwstr>
  </property>
  <property fmtid="{D5CDD505-2E9C-101B-9397-08002B2CF9AE}" pid="4" name="KSOTemplateDocerSaveRecord">
    <vt:lpwstr>eyJoZGlkIjoiYjQ1ODRhMjgyYmQxYTNmY2IwZjNiNjIyZjM4ZmM1ZTMiLCJ1c2VySWQiOiIxMDY1NzYzODcyIn0=</vt:lpwstr>
  </property>
</Properties>
</file>